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450F" w14:textId="77777777" w:rsidR="00956191" w:rsidRPr="005C349A" w:rsidRDefault="008643DF" w:rsidP="00E602BD">
      <w:pPr>
        <w:jc w:val="both"/>
        <w:rPr>
          <w:rFonts w:asciiTheme="minorEastAsia" w:hAnsiTheme="minorEastAsia"/>
          <w:color w:val="000000" w:themeColor="text1"/>
          <w:sz w:val="20"/>
          <w:szCs w:val="20"/>
        </w:rPr>
      </w:pPr>
      <w:r w:rsidRPr="008643DF">
        <w:rPr>
          <w:rFonts w:asciiTheme="minorEastAsia" w:hAnsiTheme="minorEastAsia"/>
          <w:b/>
          <w:bCs/>
          <w:color w:val="000000" w:themeColor="text1"/>
          <w:sz w:val="20"/>
          <w:szCs w:val="20"/>
        </w:rPr>
        <w:t>“Conflicts surrounding the pharmacological management of acute agitation and violence: Balancing Medical Necessity and Human Rights in Psychiatric Care”</w:t>
      </w:r>
    </w:p>
    <w:p w14:paraId="67554A81" w14:textId="77777777" w:rsidR="009D0751" w:rsidRPr="00F517AB" w:rsidRDefault="009D0751" w:rsidP="00E602BD">
      <w:pPr>
        <w:jc w:val="both"/>
        <w:rPr>
          <w:rFonts w:asciiTheme="minorEastAsia" w:hAnsiTheme="minorEastAsia"/>
          <w:b/>
          <w:bCs/>
          <w:color w:val="0432FF"/>
          <w:sz w:val="20"/>
          <w:szCs w:val="20"/>
        </w:rPr>
      </w:pPr>
      <w:r w:rsidRPr="00142C87">
        <w:rPr>
          <w:rFonts w:asciiTheme="minorEastAsia" w:hAnsiTheme="minorEastAsia"/>
          <w:b/>
          <w:bCs/>
          <w:color w:val="0432FF"/>
          <w:sz w:val="20"/>
          <w:szCs w:val="20"/>
        </w:rPr>
        <w:t>I.</w:t>
      </w:r>
      <w:r w:rsidRPr="00F517AB">
        <w:rPr>
          <w:rFonts w:asciiTheme="minorEastAsia" w:hAnsiTheme="minorEastAsia"/>
          <w:b/>
          <w:bCs/>
          <w:color w:val="0432FF"/>
          <w:sz w:val="20"/>
          <w:szCs w:val="20"/>
        </w:rPr>
        <w:t xml:space="preserve"> Introduction</w:t>
      </w:r>
    </w:p>
    <w:p w14:paraId="4E183305" w14:textId="77777777" w:rsidR="00BF11D1" w:rsidRDefault="003F7BB8" w:rsidP="003F7BB8">
      <w:pPr>
        <w:jc w:val="both"/>
        <w:rPr>
          <w:rFonts w:asciiTheme="minorEastAsia" w:hAnsiTheme="minorEastAsia"/>
          <w:color w:val="0432FF"/>
          <w:sz w:val="20"/>
          <w:szCs w:val="20"/>
        </w:rPr>
      </w:pPr>
      <w:r w:rsidRPr="00F517AB">
        <w:rPr>
          <w:rFonts w:asciiTheme="minorEastAsia" w:hAnsiTheme="minorEastAsia" w:hint="eastAsia"/>
          <w:color w:val="0432FF"/>
          <w:sz w:val="20"/>
          <w:szCs w:val="20"/>
        </w:rPr>
        <w:t>정신과 치료에서 급성 흥분과 폭력은 심각한 임상적 문제를 야기하며, 환자, 의료진 및 주변 사람들에게 해를 끼치는 것을 방지하기 위해 신속한 개입이 필요한 경우가 많다.</w:t>
      </w:r>
      <w:r w:rsidRPr="00F517AB">
        <w:rPr>
          <w:rFonts w:asciiTheme="minorEastAsia" w:hAnsiTheme="minorEastAsia"/>
          <w:color w:val="0432FF"/>
          <w:sz w:val="20"/>
          <w:szCs w:val="20"/>
        </w:rPr>
        <w:t xml:space="preserve"> </w:t>
      </w:r>
      <w:r w:rsidR="0027018A" w:rsidRPr="00F517AB">
        <w:rPr>
          <w:rFonts w:asciiTheme="minorEastAsia" w:hAnsiTheme="minorEastAsia"/>
          <w:color w:val="0432FF"/>
          <w:sz w:val="20"/>
          <w:szCs w:val="20"/>
        </w:rPr>
        <w:t xml:space="preserve">이러한 상황에서는 불확실한 조건 하에서 신속한 의사결정이 요구되며, 즉각적인 안전 확보와 환자의 권리·존엄성·자율성을 존중하는 원칙 사이에서 섬세한 균형을 유지하는 것이 중요하다. </w:t>
      </w:r>
    </w:p>
    <w:p w14:paraId="116A1FD6" w14:textId="77777777" w:rsidR="0027018A" w:rsidRPr="00F517AB" w:rsidRDefault="0027018A" w:rsidP="003F7BB8">
      <w:pPr>
        <w:jc w:val="both"/>
        <w:rPr>
          <w:rFonts w:asciiTheme="minorEastAsia" w:hAnsiTheme="minorEastAsia"/>
          <w:color w:val="0432FF"/>
          <w:sz w:val="20"/>
          <w:szCs w:val="20"/>
        </w:rPr>
      </w:pPr>
      <w:r w:rsidRPr="00F517AB">
        <w:rPr>
          <w:rFonts w:asciiTheme="minorEastAsia" w:hAnsiTheme="minorEastAsia"/>
          <w:color w:val="0432FF"/>
          <w:sz w:val="20"/>
          <w:szCs w:val="20"/>
        </w:rPr>
        <w:t>Acute agitation and violence in psychiatric care constitute serious clinical challenges and often require rapid intervention to prevent harm to patients, healthcare professionals, and others in the surrounding environment. In such situations, clinicians are compelled to make prompt decisions under conditions of uncertainty, while carefully maintaining a delicate balance between ensuring immediate safety and upholding the principles of patients’ rights, dignity, and autonomy. This clinical complexity has provided the backdrop for ongoing academic and ethical debates concerning the legitimacy, scope, and ethical boundaries of the pharmacological management of acute agitation and violence in psychiatric practice.</w:t>
      </w:r>
    </w:p>
    <w:p w14:paraId="2F540021" w14:textId="77777777" w:rsidR="00BF11D1" w:rsidRPr="00F517AB" w:rsidRDefault="00F517AB" w:rsidP="00BF11D1">
      <w:pPr>
        <w:jc w:val="both"/>
        <w:rPr>
          <w:rFonts w:asciiTheme="minorEastAsia" w:hAnsiTheme="minorEastAsia"/>
          <w:color w:val="0432FF"/>
          <w:sz w:val="20"/>
          <w:szCs w:val="20"/>
        </w:rPr>
      </w:pPr>
      <w:r w:rsidRPr="002441B4">
        <w:rPr>
          <w:rFonts w:asciiTheme="minorEastAsia" w:hAnsiTheme="minorEastAsia" w:hint="eastAsia"/>
          <w:color w:val="0432FF"/>
          <w:sz w:val="20"/>
          <w:szCs w:val="20"/>
        </w:rPr>
        <w:t xml:space="preserve">이러한 맥락에서 사용되는 약물학적 개입은, </w:t>
      </w:r>
      <w:r w:rsidR="00B675B0" w:rsidRPr="002441B4">
        <w:rPr>
          <w:rFonts w:asciiTheme="minorEastAsia" w:hAnsiTheme="minorEastAsia"/>
          <w:color w:val="0432FF"/>
          <w:sz w:val="20"/>
          <w:szCs w:val="20"/>
        </w:rPr>
        <w:t xml:space="preserve">환자의 의사에 반하여 약물을 투여하여 환자를 진정시키거나 움직임을 제한하는 </w:t>
      </w:r>
      <w:r w:rsidR="00F3419A" w:rsidRPr="002441B4">
        <w:rPr>
          <w:rFonts w:asciiTheme="minorEastAsia" w:hAnsiTheme="minorEastAsia" w:hint="eastAsia"/>
          <w:color w:val="0432FF"/>
          <w:sz w:val="20"/>
          <w:szCs w:val="20"/>
        </w:rPr>
        <w:t>소위 ‘화학적 억제(chemical restraint)’로 불리우는 것</w:t>
      </w:r>
      <w:r w:rsidR="00B675B0" w:rsidRPr="002441B4">
        <w:rPr>
          <w:rFonts w:asciiTheme="minorEastAsia" w:hAnsiTheme="minorEastAsia" w:hint="eastAsia"/>
          <w:color w:val="0432FF"/>
          <w:sz w:val="20"/>
          <w:szCs w:val="20"/>
        </w:rPr>
        <w:t xml:space="preserve">으로 </w:t>
      </w:r>
      <w:r w:rsidR="0044446F" w:rsidRPr="002441B4">
        <w:rPr>
          <w:rFonts w:asciiTheme="minorEastAsia" w:hAnsiTheme="minorEastAsia"/>
          <w:color w:val="0432FF"/>
          <w:sz w:val="20"/>
          <w:szCs w:val="20"/>
        </w:rPr>
        <w:t xml:space="preserve">비판론자들은 </w:t>
      </w:r>
      <w:r w:rsidR="0044446F" w:rsidRPr="002441B4">
        <w:rPr>
          <w:rFonts w:asciiTheme="minorEastAsia" w:hAnsiTheme="minorEastAsia" w:hint="eastAsia"/>
          <w:color w:val="0432FF"/>
          <w:sz w:val="20"/>
          <w:szCs w:val="20"/>
        </w:rPr>
        <w:t xml:space="preserve">환자의 존엄성과 자율성을 둘러싼 윤리적 쟁점을 제기하며, </w:t>
      </w:r>
      <w:r w:rsidR="00624CA5" w:rsidRPr="002441B4">
        <w:rPr>
          <w:rFonts w:asciiTheme="minorEastAsia" w:hAnsiTheme="minorEastAsia" w:hint="eastAsia"/>
          <w:color w:val="0432FF"/>
          <w:sz w:val="20"/>
          <w:szCs w:val="20"/>
        </w:rPr>
        <w:t>덜 제한적인 방법으로도 충분할 수 있는 상황에서 과도한 사용</w:t>
      </w:r>
      <w:r w:rsidR="0044446F" w:rsidRPr="002441B4">
        <w:rPr>
          <w:rFonts w:asciiTheme="minorEastAsia" w:hAnsiTheme="minorEastAsia" w:hint="eastAsia"/>
          <w:color w:val="0432FF"/>
          <w:sz w:val="20"/>
          <w:szCs w:val="20"/>
        </w:rPr>
        <w:t xml:space="preserve">, </w:t>
      </w:r>
      <w:r w:rsidR="00624CA5" w:rsidRPr="002441B4">
        <w:rPr>
          <w:rFonts w:asciiTheme="minorEastAsia" w:hAnsiTheme="minorEastAsia" w:hint="eastAsia"/>
          <w:color w:val="0432FF"/>
          <w:sz w:val="20"/>
          <w:szCs w:val="20"/>
        </w:rPr>
        <w:t>합병증</w:t>
      </w:r>
      <w:r w:rsidR="0044446F" w:rsidRPr="002441B4">
        <w:rPr>
          <w:rFonts w:asciiTheme="minorEastAsia" w:hAnsiTheme="minorEastAsia" w:hint="eastAsia"/>
          <w:color w:val="0432FF"/>
          <w:sz w:val="20"/>
          <w:szCs w:val="20"/>
        </w:rPr>
        <w:t xml:space="preserve">, 그리고 치료적 관계에 미치는 부정적 영향에 대한 우려를 지속적으로 제기하여 왔다. </w:t>
      </w:r>
      <w:r w:rsidR="00142C87" w:rsidRPr="00F517AB">
        <w:rPr>
          <w:rFonts w:asciiTheme="minorEastAsia" w:hAnsiTheme="minorEastAsia" w:hint="eastAsia"/>
          <w:color w:val="0432FF"/>
          <w:sz w:val="20"/>
          <w:szCs w:val="20"/>
        </w:rPr>
        <w:t>그럼에도 불구하고, 비약물적 전략이 충분한 효과를 보이지 않는 상황에서는 약물학적 조치가 응급 정신의학적 치료의 필수적인 구성 요소로 남아 있</w:t>
      </w:r>
      <w:r w:rsidR="00142C87">
        <w:rPr>
          <w:rFonts w:asciiTheme="minorEastAsia" w:hAnsiTheme="minorEastAsia" w:hint="eastAsia"/>
          <w:color w:val="0432FF"/>
          <w:sz w:val="20"/>
          <w:szCs w:val="20"/>
        </w:rPr>
        <w:t xml:space="preserve">다는 것은 </w:t>
      </w:r>
      <w:r w:rsidR="007824EA">
        <w:rPr>
          <w:rFonts w:asciiTheme="minorEastAsia" w:hAnsiTheme="minorEastAsia"/>
          <w:color w:val="0432FF"/>
          <w:sz w:val="20"/>
          <w:szCs w:val="20"/>
        </w:rPr>
        <w:t>‘</w:t>
      </w:r>
      <w:r w:rsidR="000F2290" w:rsidRPr="002441B4">
        <w:rPr>
          <w:rFonts w:asciiTheme="minorEastAsia" w:hAnsiTheme="minorEastAsia" w:hint="eastAsia"/>
          <w:color w:val="0432FF"/>
          <w:sz w:val="20"/>
          <w:szCs w:val="20"/>
        </w:rPr>
        <w:t>화학적 억제(chemical restraint)’를 현장에서 수행하는</w:t>
      </w:r>
      <w:r w:rsidR="000F2290">
        <w:rPr>
          <w:rFonts w:asciiTheme="minorEastAsia" w:hAnsiTheme="minorEastAsia" w:hint="eastAsia"/>
          <w:color w:val="0432FF"/>
          <w:sz w:val="20"/>
          <w:szCs w:val="20"/>
        </w:rPr>
        <w:t xml:space="preserve"> 전문가들은 </w:t>
      </w:r>
      <w:r w:rsidR="000F6A7F">
        <w:rPr>
          <w:rFonts w:asciiTheme="minorEastAsia" w:hAnsiTheme="minorEastAsia" w:hint="eastAsia"/>
          <w:color w:val="0432FF"/>
          <w:sz w:val="20"/>
          <w:szCs w:val="20"/>
        </w:rPr>
        <w:t xml:space="preserve">이 문제와 관련된 윤리적 갈등의 해소가 </w:t>
      </w:r>
      <w:r w:rsidR="000F6A7F" w:rsidRPr="002441B4">
        <w:rPr>
          <w:rFonts w:asciiTheme="minorEastAsia" w:hAnsiTheme="minorEastAsia" w:hint="eastAsia"/>
          <w:color w:val="0432FF"/>
          <w:sz w:val="20"/>
          <w:szCs w:val="20"/>
        </w:rPr>
        <w:t>극도로 시간 제약이 심한 환경에서 내려</w:t>
      </w:r>
      <w:r w:rsidR="000F6A7F">
        <w:rPr>
          <w:rFonts w:asciiTheme="minorEastAsia" w:hAnsiTheme="minorEastAsia" w:hint="eastAsia"/>
          <w:color w:val="0432FF"/>
          <w:sz w:val="20"/>
          <w:szCs w:val="20"/>
        </w:rPr>
        <w:t>져야 하</w:t>
      </w:r>
      <w:r w:rsidR="000F6A7F" w:rsidRPr="002441B4">
        <w:rPr>
          <w:rFonts w:asciiTheme="minorEastAsia" w:hAnsiTheme="minorEastAsia" w:hint="eastAsia"/>
          <w:color w:val="0432FF"/>
          <w:sz w:val="20"/>
          <w:szCs w:val="20"/>
        </w:rPr>
        <w:t xml:space="preserve">는 의사결정의 미묘함을 </w:t>
      </w:r>
      <w:r w:rsidR="000F6A7F">
        <w:rPr>
          <w:rFonts w:asciiTheme="minorEastAsia" w:hAnsiTheme="minorEastAsia" w:hint="eastAsia"/>
          <w:color w:val="0432FF"/>
          <w:sz w:val="20"/>
          <w:szCs w:val="20"/>
        </w:rPr>
        <w:t xml:space="preserve">이와 관련된 </w:t>
      </w:r>
      <w:r w:rsidR="000F6A7F">
        <w:rPr>
          <w:rFonts w:asciiTheme="minorEastAsia" w:hAnsiTheme="minorEastAsia"/>
          <w:color w:val="0432FF"/>
          <w:sz w:val="20"/>
          <w:szCs w:val="20"/>
        </w:rPr>
        <w:t>“</w:t>
      </w:r>
      <w:r w:rsidR="000F6A7F">
        <w:rPr>
          <w:rFonts w:asciiTheme="minorEastAsia" w:hAnsiTheme="minorEastAsia" w:hint="eastAsia"/>
          <w:color w:val="0432FF"/>
          <w:sz w:val="20"/>
          <w:szCs w:val="20"/>
        </w:rPr>
        <w:t>현장</w:t>
      </w:r>
      <w:r w:rsidR="000F6A7F">
        <w:rPr>
          <w:rFonts w:asciiTheme="minorEastAsia" w:hAnsiTheme="minorEastAsia"/>
          <w:color w:val="0432FF"/>
          <w:sz w:val="20"/>
          <w:szCs w:val="20"/>
        </w:rPr>
        <w:t>”</w:t>
      </w:r>
      <w:r w:rsidR="000F6A7F">
        <w:rPr>
          <w:rFonts w:asciiTheme="minorEastAsia" w:hAnsiTheme="minorEastAsia" w:hint="eastAsia"/>
          <w:color w:val="0432FF"/>
          <w:sz w:val="20"/>
          <w:szCs w:val="20"/>
        </w:rPr>
        <w:t xml:space="preserve">을 경험한 일이 없는 </w:t>
      </w:r>
      <w:r w:rsidR="007A561F">
        <w:rPr>
          <w:rFonts w:asciiTheme="minorEastAsia" w:hAnsiTheme="minorEastAsia"/>
          <w:color w:val="0432FF"/>
          <w:sz w:val="20"/>
          <w:szCs w:val="20"/>
        </w:rPr>
        <w:t>“</w:t>
      </w:r>
      <w:r w:rsidR="000F6A7F">
        <w:rPr>
          <w:rFonts w:asciiTheme="minorEastAsia" w:hAnsiTheme="minorEastAsia" w:hint="eastAsia"/>
          <w:color w:val="0432FF"/>
          <w:sz w:val="20"/>
          <w:szCs w:val="20"/>
        </w:rPr>
        <w:t>전문가들</w:t>
      </w:r>
      <w:r w:rsidR="007A561F">
        <w:rPr>
          <w:rFonts w:asciiTheme="minorEastAsia" w:hAnsiTheme="minorEastAsia"/>
          <w:color w:val="0432FF"/>
          <w:sz w:val="20"/>
          <w:szCs w:val="20"/>
        </w:rPr>
        <w:t>”</w:t>
      </w:r>
      <w:r w:rsidR="000F6A7F">
        <w:rPr>
          <w:rFonts w:asciiTheme="minorEastAsia" w:hAnsiTheme="minorEastAsia" w:hint="eastAsia"/>
          <w:color w:val="0432FF"/>
          <w:sz w:val="20"/>
          <w:szCs w:val="20"/>
        </w:rPr>
        <w:t xml:space="preserve">에 의하여 도출된 이론으로 </w:t>
      </w:r>
      <w:r w:rsidR="00142C87">
        <w:rPr>
          <w:rFonts w:asciiTheme="minorEastAsia" w:hAnsiTheme="minorEastAsia" w:hint="eastAsia"/>
          <w:color w:val="0432FF"/>
          <w:sz w:val="20"/>
          <w:szCs w:val="20"/>
        </w:rPr>
        <w:t xml:space="preserve">원천적으로 </w:t>
      </w:r>
      <w:r w:rsidR="007824EA">
        <w:rPr>
          <w:rFonts w:asciiTheme="minorEastAsia" w:hAnsiTheme="minorEastAsia" w:hint="eastAsia"/>
          <w:color w:val="0432FF"/>
          <w:sz w:val="20"/>
          <w:szCs w:val="20"/>
        </w:rPr>
        <w:t xml:space="preserve">충분한 검토가 이루어질 수 있는 </w:t>
      </w:r>
      <w:r w:rsidR="00142C87">
        <w:rPr>
          <w:rFonts w:asciiTheme="minorEastAsia" w:hAnsiTheme="minorEastAsia" w:hint="eastAsia"/>
          <w:color w:val="0432FF"/>
          <w:sz w:val="20"/>
          <w:szCs w:val="20"/>
        </w:rPr>
        <w:t>지</w:t>
      </w:r>
      <w:r w:rsidR="007824EA">
        <w:rPr>
          <w:rFonts w:asciiTheme="minorEastAsia" w:hAnsiTheme="minorEastAsia" w:hint="eastAsia"/>
          <w:color w:val="0432FF"/>
          <w:sz w:val="20"/>
          <w:szCs w:val="20"/>
        </w:rPr>
        <w:t>하는 것이다.</w:t>
      </w:r>
      <w:r w:rsidR="007824EA">
        <w:rPr>
          <w:rFonts w:asciiTheme="minorEastAsia" w:hAnsiTheme="minorEastAsia"/>
          <w:color w:val="0432FF"/>
          <w:sz w:val="20"/>
          <w:szCs w:val="20"/>
        </w:rPr>
        <w:t xml:space="preserve"> </w:t>
      </w:r>
      <w:r w:rsidR="002441B4">
        <w:rPr>
          <w:rFonts w:asciiTheme="minorEastAsia" w:hAnsiTheme="minorEastAsia"/>
          <w:color w:val="000000" w:themeColor="text1"/>
          <w:sz w:val="20"/>
          <w:szCs w:val="20"/>
        </w:rPr>
        <w:t>(</w:t>
      </w:r>
      <w:r w:rsidR="002441B4" w:rsidRPr="000739A7">
        <w:rPr>
          <w:rFonts w:asciiTheme="minorEastAsia" w:hAnsiTheme="minorEastAsia"/>
          <w:color w:val="7030A0"/>
          <w:sz w:val="20"/>
          <w:szCs w:val="20"/>
        </w:rPr>
        <w:t>John Jesus, Shamai A. Grossman, Arthur R. Derse, James Adams, Richard Wolfe, Peter Rosen, Preface, Ethical problems in emergency medicine: A discussion-based review. John Wiley &amp; Sons., 2012</w:t>
      </w:r>
      <w:r w:rsidR="002441B4">
        <w:rPr>
          <w:rFonts w:asciiTheme="minorEastAsia" w:hAnsiTheme="minorEastAsia"/>
          <w:color w:val="000000" w:themeColor="text1"/>
          <w:sz w:val="20"/>
          <w:szCs w:val="20"/>
        </w:rPr>
        <w:t>)</w:t>
      </w:r>
      <w:r w:rsidR="00BF11D1">
        <w:rPr>
          <w:rFonts w:asciiTheme="minorEastAsia" w:hAnsiTheme="minorEastAsia"/>
          <w:color w:val="000000" w:themeColor="text1"/>
          <w:sz w:val="20"/>
          <w:szCs w:val="20"/>
        </w:rPr>
        <w:t xml:space="preserve"> </w:t>
      </w:r>
      <w:r w:rsidR="00BF11D1" w:rsidRPr="00142C87">
        <w:rPr>
          <w:rFonts w:asciiTheme="minorEastAsia" w:hAnsiTheme="minorEastAsia" w:hint="eastAsia"/>
          <w:color w:val="0432FF"/>
          <w:sz w:val="20"/>
          <w:szCs w:val="20"/>
        </w:rPr>
        <w:t xml:space="preserve">이러한 </w:t>
      </w:r>
      <w:r w:rsidR="00142C87" w:rsidRPr="00142C87">
        <w:rPr>
          <w:rFonts w:asciiTheme="minorEastAsia" w:hAnsiTheme="minorEastAsia" w:hint="eastAsia"/>
          <w:color w:val="0432FF"/>
          <w:sz w:val="20"/>
          <w:szCs w:val="20"/>
        </w:rPr>
        <w:t xml:space="preserve">상황의 </w:t>
      </w:r>
      <w:r w:rsidR="00BF11D1" w:rsidRPr="00142C87">
        <w:rPr>
          <w:rFonts w:asciiTheme="minorEastAsia" w:hAnsiTheme="minorEastAsia" w:hint="eastAsia"/>
          <w:color w:val="0432FF"/>
          <w:sz w:val="20"/>
          <w:szCs w:val="20"/>
        </w:rPr>
        <w:t>복잡성은 급성 흥분과 폭력의 약물학적 관리가 지니는 정당성, 범위, 그리고 윤리적 한계를 둘러싼 끊이지 않는 학술적·윤리적 논쟁의 배경을 형성해왔다.</w:t>
      </w:r>
      <w:r w:rsidR="00BF11D1" w:rsidRPr="00F517AB">
        <w:rPr>
          <w:rFonts w:asciiTheme="minorEastAsia" w:hAnsiTheme="minorEastAsia"/>
          <w:color w:val="0432FF"/>
          <w:sz w:val="20"/>
          <w:szCs w:val="20"/>
        </w:rPr>
        <w:t xml:space="preserve"> </w:t>
      </w:r>
    </w:p>
    <w:p w14:paraId="4495ABFC" w14:textId="77777777" w:rsidR="00FD2598" w:rsidRDefault="00142C87" w:rsidP="00142C87">
      <w:pPr>
        <w:jc w:val="both"/>
        <w:rPr>
          <w:rFonts w:asciiTheme="minorEastAsia" w:hAnsiTheme="minorEastAsia"/>
          <w:color w:val="0432FF"/>
          <w:sz w:val="20"/>
          <w:szCs w:val="20"/>
        </w:rPr>
      </w:pPr>
      <w:r w:rsidRPr="00142C87">
        <w:rPr>
          <w:rFonts w:asciiTheme="minorEastAsia" w:hAnsiTheme="minorEastAsia"/>
          <w:color w:val="0432FF"/>
          <w:sz w:val="20"/>
          <w:szCs w:val="20"/>
        </w:rPr>
        <w:t xml:space="preserve">In this context, pharmacological interventions are often described as so-called “chemical restraint,” referring to the administration of medication against a patient’s will in order to sedate the patient or restrict movement. Critics have persistently raised ethical concerns regarding patients’ dignity </w:t>
      </w:r>
      <w:r w:rsidRPr="00142C87">
        <w:rPr>
          <w:rFonts w:asciiTheme="minorEastAsia" w:hAnsiTheme="minorEastAsia"/>
          <w:color w:val="0432FF"/>
          <w:sz w:val="20"/>
          <w:szCs w:val="20"/>
        </w:rPr>
        <w:lastRenderedPageBreak/>
        <w:t>and autonomy, emphasizing the risks of overuse in situations where less restrictive alternatives might be sufficient, as well as concerns about complications and the negative impact of such practices on therapeutic relationships. Nevertheless, clinicians who employ chemical restraint in practice emphasize that when non-pharmacological strategies fail to provide adequate control, pharmacological measures remain an essential component of emergency psychiatric care. They further argue that ethical critiques of chemical restraint are frequently grounded in theoretical analyses developed by experts who lack direct experience in managing psychiatric emergencies, and therefore may not fully capture the subtlety and complexity of clinical decision-making under conditions of extreme time pressure, where ethical conflicts must be addressed in real time (</w:t>
      </w:r>
      <w:r w:rsidRPr="00142C87">
        <w:rPr>
          <w:rFonts w:asciiTheme="minorEastAsia" w:hAnsiTheme="minorEastAsia"/>
          <w:color w:val="7030A0"/>
          <w:sz w:val="20"/>
          <w:szCs w:val="20"/>
        </w:rPr>
        <w:t>John Jesus, Shamai A. Grossman, Arthur R. Derse, James Adams, Richard Wolfe, Peter Rosen, Preface, Ethical Problems in Emergency Medicine: A Discussion-Based Review, John Wiley &amp; Sons, 2012</w:t>
      </w:r>
      <w:r w:rsidRPr="00142C87">
        <w:rPr>
          <w:rFonts w:asciiTheme="minorEastAsia" w:hAnsiTheme="minorEastAsia"/>
          <w:color w:val="0432FF"/>
          <w:sz w:val="20"/>
          <w:szCs w:val="20"/>
        </w:rPr>
        <w:t>). The complexity of these circumstances has thus provided the backdrop for ongoing academic and ethical debates concerning the legitimacy, scope, and ethical boundaries of the pharmacological management of acute agitation and violence.</w:t>
      </w:r>
    </w:p>
    <w:p w14:paraId="3CF3ACA7" w14:textId="77777777" w:rsidR="001F49FF" w:rsidRDefault="001F49FF" w:rsidP="00192A73">
      <w:pPr>
        <w:jc w:val="both"/>
        <w:rPr>
          <w:rFonts w:asciiTheme="minorEastAsia" w:hAnsiTheme="minorEastAsia"/>
          <w:color w:val="0432FF"/>
          <w:sz w:val="20"/>
          <w:szCs w:val="20"/>
        </w:rPr>
      </w:pPr>
      <w:r w:rsidRPr="001F49FF">
        <w:rPr>
          <w:rFonts w:asciiTheme="minorEastAsia" w:hAnsiTheme="minorEastAsia" w:hint="eastAsia"/>
          <w:color w:val="0432FF"/>
          <w:sz w:val="20"/>
          <w:szCs w:val="20"/>
        </w:rPr>
        <w:t>이 논쟁의 핵심에는 의학적 필요성에 대한 임상적 판단을 환자의 자율성과 인간의 권리를 존중하는 원칙과 어떻게 조화시킬 것인가라는 근본적인 문제가 자리하고 있다. 급성 흥분을 관리하기 위해 사용되는 약물학적 개입은, 명확한 임상적 적응증이 충족되는 경우 즉각적인 위해를 완화하는 데 의미 있는 기여를 할 수 있다. 그러나 정신과 치료 환경에서는, 특히 환자가 의사결정 능력을 유지하고 있다고 평가됨에도 불구하고 치료를 거부하는 상황에서, 이러한 개입을 둘러싼 윤리적 우려가 더욱 첨예해</w:t>
      </w:r>
      <w:r w:rsidR="008604A5">
        <w:rPr>
          <w:rFonts w:asciiTheme="minorEastAsia" w:hAnsiTheme="minorEastAsia" w:hint="eastAsia"/>
          <w:color w:val="0432FF"/>
          <w:sz w:val="20"/>
          <w:szCs w:val="20"/>
        </w:rPr>
        <w:t xml:space="preserve"> </w:t>
      </w:r>
      <w:r w:rsidRPr="001F49FF">
        <w:rPr>
          <w:rFonts w:asciiTheme="minorEastAsia" w:hAnsiTheme="minorEastAsia" w:hint="eastAsia"/>
          <w:color w:val="0432FF"/>
          <w:sz w:val="20"/>
          <w:szCs w:val="20"/>
        </w:rPr>
        <w:t>진다. 이러한 맥락에서 비자발적 약물학적 개입은 의사결정 능력을 어떻게 평가할 것인지, 동의의 범위와 의미를 어떻게 이해할 것인지, 그리고 임상적 개입이 허용될 수 있는 정당한 한계를 어디에 설정할 것인지에 관한 복합적이고 지속적인 윤리적 과제를 제기한다.</w:t>
      </w:r>
    </w:p>
    <w:p w14:paraId="6B334ECB" w14:textId="77777777" w:rsidR="00192A73" w:rsidRPr="00192A73" w:rsidRDefault="001F49FF" w:rsidP="00192A73">
      <w:pPr>
        <w:jc w:val="both"/>
        <w:rPr>
          <w:rFonts w:ascii="Malgun Gothic" w:eastAsia="Malgun Gothic" w:hAnsi="Malgun Gothic" w:cs="Times New Roman"/>
          <w:color w:val="0432FF"/>
          <w:sz w:val="20"/>
          <w:szCs w:val="20"/>
        </w:rPr>
      </w:pPr>
      <w:r w:rsidRPr="001F49FF">
        <w:rPr>
          <w:rFonts w:ascii="Malgun Gothic" w:eastAsia="Malgun Gothic" w:hAnsi="Malgun Gothic" w:cs="Times New Roman"/>
          <w:color w:val="0432FF"/>
          <w:sz w:val="20"/>
          <w:szCs w:val="20"/>
        </w:rPr>
        <w:t>At the heart of this debate lies a fundamental question of how clinical judgments regarding medical necessity can be reconciled with principles that respect patient autonomy and human rights. Pharmacological interventions used to manage acute agitation may make a meaningful contribution to the mitigation of immediate risk when clear clinical indications are met. However, in psychiatric treatment settings, ethical concerns become particularly acute in situations where patients are assessed as retaining decision-making capacity yet refuse treatment. Within this context, involuntary pharmacological intervention raises complex and enduring ethical challenges regarding how decision-making capacity should be assessed, how the scope and meaning of consent ought to be understood, and where the legitimate limits of permissible clinical intervention should be drawn.</w:t>
      </w:r>
    </w:p>
    <w:p w14:paraId="2A62B091" w14:textId="77777777" w:rsidR="00192A73" w:rsidRDefault="00192A73" w:rsidP="00192A73">
      <w:pPr>
        <w:jc w:val="both"/>
        <w:rPr>
          <w:rFonts w:ascii="Malgun Gothic" w:eastAsia="Malgun Gothic" w:hAnsi="Malgun Gothic" w:cs="Times New Roman"/>
          <w:color w:val="0432FF"/>
          <w:sz w:val="20"/>
          <w:szCs w:val="20"/>
        </w:rPr>
      </w:pPr>
      <w:r w:rsidRPr="00192A73">
        <w:rPr>
          <w:rFonts w:ascii="Malgun Gothic" w:eastAsia="Malgun Gothic" w:hAnsi="Malgun Gothic" w:cs="Times New Roman"/>
          <w:color w:val="0432FF"/>
          <w:sz w:val="20"/>
          <w:szCs w:val="20"/>
        </w:rPr>
        <w:lastRenderedPageBreak/>
        <w:t>Pharmacological interventions used to manage acute agitation may make a meaningful contribution to the mitigation of immediate risk when clear clinical indications are met. However, in psychiatric treatment settings, ethical tensions become particularly pronounced in situations where patients are assessed as retaining decision-making capacity yet refuse treatment. Within this context, involuntary pharmacological intervention raises complex and enduring ethical challenges concerning the assessment of decision-making capacity, the scope and meaning of consent, and the legitimate limits of permissible clinical intervention.</w:t>
      </w:r>
    </w:p>
    <w:p w14:paraId="271C7708" w14:textId="77777777" w:rsidR="00907B16" w:rsidRPr="00907B16" w:rsidRDefault="00E8719D" w:rsidP="00610711">
      <w:pPr>
        <w:jc w:val="both"/>
        <w:rPr>
          <w:rFonts w:ascii="Malgun Gothic" w:eastAsia="Malgun Gothic" w:hAnsi="Malgun Gothic" w:cs="Times New Roman"/>
          <w:color w:val="0432FF"/>
          <w:sz w:val="20"/>
          <w:szCs w:val="20"/>
        </w:rPr>
      </w:pPr>
      <w:r w:rsidRPr="00E8719D">
        <w:rPr>
          <w:rFonts w:ascii="Malgun Gothic" w:eastAsia="Malgun Gothic" w:hAnsi="Malgun Gothic" w:cs="Times New Roman" w:hint="eastAsia"/>
          <w:color w:val="0432FF"/>
          <w:sz w:val="20"/>
          <w:szCs w:val="20"/>
        </w:rPr>
        <w:t>이러한 윤리적 긴장은 화학적 억제(chemical restraint)가 지닐 수 있는 잠재적인 장기적 심리적 영향으로 인해 더욱 복합적으로 드러난다. 화학적 억제는 단기적으로는 즉각적인 안전 확보에 기여할 수 있으나, 환자에게 강제적 개입으로 경험될 경우 환자–임상의 간 신뢰를 약화시키고 이후의 치료적 관계에 부정적인 영향을 미칠 수 있다. 특히 외상이나 학대 경험이 있는 개인에게서는 이러한 개입이 치료 참여를 저해하고, 장기적인 정신건강 결과에 부정적인 함의를 가질 가능성이 제기되어 왔다.</w:t>
      </w:r>
    </w:p>
    <w:p w14:paraId="0A0F24E8" w14:textId="77777777" w:rsidR="00DA7B17" w:rsidRPr="00BF2012" w:rsidRDefault="00E8719D" w:rsidP="00DA7B17">
      <w:pPr>
        <w:jc w:val="both"/>
        <w:rPr>
          <w:rFonts w:ascii="Malgun Gothic" w:eastAsia="Malgun Gothic" w:hAnsi="Malgun Gothic" w:cs="Times New Roman"/>
          <w:color w:val="0432FF"/>
          <w:sz w:val="20"/>
          <w:szCs w:val="20"/>
        </w:rPr>
      </w:pPr>
      <w:r w:rsidRPr="00E8719D">
        <w:rPr>
          <w:rFonts w:ascii="Malgun Gothic" w:eastAsia="Malgun Gothic" w:hAnsi="Malgun Gothic" w:cs="Times New Roman"/>
          <w:color w:val="0432FF"/>
          <w:sz w:val="20"/>
          <w:szCs w:val="20"/>
        </w:rPr>
        <w:t>This ethical tension is further complicated by the potential long-term psychological impacts associated with chemical restraint. While chemical restraint may contribute to immediate safety in the short term, when experienced by patients as a coercive intervention it can undermine patient–clinician trust and adversely affect subsequent therapeutic relationships. In particular, among individuals with prior experiences of trauma or abuse, such interventions may impede treatment engagement and carry potential negative implications for longer-term mental health outcomes.</w:t>
      </w:r>
    </w:p>
    <w:p w14:paraId="02079833" w14:textId="77777777" w:rsidR="00A27336" w:rsidRDefault="00A27336" w:rsidP="00DA7B17">
      <w:pPr>
        <w:jc w:val="both"/>
        <w:rPr>
          <w:rFonts w:asciiTheme="minorEastAsia" w:hAnsiTheme="minorEastAsia"/>
          <w:color w:val="0432FF"/>
          <w:sz w:val="20"/>
          <w:szCs w:val="20"/>
        </w:rPr>
      </w:pPr>
      <w:r w:rsidRPr="00A27336">
        <w:rPr>
          <w:rFonts w:asciiTheme="minorEastAsia" w:hAnsiTheme="minorEastAsia" w:hint="eastAsia"/>
          <w:color w:val="0432FF"/>
          <w:sz w:val="20"/>
          <w:szCs w:val="20"/>
        </w:rPr>
        <w:t xml:space="preserve">이와 같은 </w:t>
      </w:r>
      <w:r w:rsidR="00DB7C6C">
        <w:rPr>
          <w:rFonts w:asciiTheme="minorEastAsia" w:hAnsiTheme="minorEastAsia" w:hint="eastAsia"/>
          <w:color w:val="0432FF"/>
          <w:sz w:val="20"/>
          <w:szCs w:val="20"/>
        </w:rPr>
        <w:t>지속적이면서 치열</w:t>
      </w:r>
      <w:r w:rsidR="005425BE">
        <w:rPr>
          <w:rFonts w:asciiTheme="minorEastAsia" w:hAnsiTheme="minorEastAsia" w:hint="eastAsia"/>
          <w:color w:val="0432FF"/>
          <w:sz w:val="20"/>
          <w:szCs w:val="20"/>
        </w:rPr>
        <w:t xml:space="preserve">한 </w:t>
      </w:r>
      <w:r w:rsidRPr="00A27336">
        <w:rPr>
          <w:rFonts w:asciiTheme="minorEastAsia" w:hAnsiTheme="minorEastAsia" w:hint="eastAsia"/>
          <w:color w:val="0432FF"/>
          <w:sz w:val="20"/>
          <w:szCs w:val="20"/>
        </w:rPr>
        <w:t xml:space="preserve">윤리적·임상적 논쟁의 맥락에서, 본 논문은 정신과 진료에서 화학적 억제(chemical restraint)의 사용을 둘러싼 논쟁을 비판적으로 검토하고, 그 역할을 실제 임상 환경 속에서 </w:t>
      </w:r>
      <w:r w:rsidR="005425BE">
        <w:rPr>
          <w:rFonts w:asciiTheme="minorEastAsia" w:hAnsiTheme="minorEastAsia" w:hint="eastAsia"/>
          <w:color w:val="0432FF"/>
          <w:sz w:val="20"/>
          <w:szCs w:val="20"/>
        </w:rPr>
        <w:t xml:space="preserve">개념적으로 </w:t>
      </w:r>
      <w:r w:rsidRPr="00A27336">
        <w:rPr>
          <w:rFonts w:asciiTheme="minorEastAsia" w:hAnsiTheme="minorEastAsia" w:hint="eastAsia"/>
          <w:color w:val="0432FF"/>
          <w:sz w:val="20"/>
          <w:szCs w:val="20"/>
        </w:rPr>
        <w:t xml:space="preserve">위치 짓는 것을 목표로 한다. 이를 위해 정신과적 개입이 유독 강도 높은 윤리적 검토의 대상이 되어 온 배경에 기여한 역사적·철학적·사회적 요인들을 고찰하고, 원칙주의(principlism)를 중심으로 한 주요 윤리적 틀이 현대 정신과 진료의 규범적 구조와 임상가의 전문적 책임을 어떻게 형성해 왔는지를 분석한다. 또한 급성 흥분과 폭력의 관리에 관한 최근의 논의를 검토하면서, 환자의 안전 확보라는 임상적 요구와 인간의 권리 보호라는 윤리적 요청 사이의 긴장을 어떻게 조정하려는 다양한 접근들을 조명한다. 이러한 논의를 통해 본 논문은 급성 정신과 진료에서 약물학적 개입의 역할을 단순한 임상 기법의 문제로 환원하기보다, 윤리적 정당화와 실천적 판단이 교차하는 영역으로 재조명하고자 한다. 다만 본 고찰은 특정 약물이나 개별 임상 개입의 유효성 또는 우월성을 평가하거나 개별 사례에 대한 규범적 판단을 제시하는 것을 목적으로 하지 않으며, 기존 문헌과 윤리 이론에 근거한 개념적·비판적 논의에 초점을 둔다. 따라서 본 논문의 논의는 경험적 자료의 체계적 메타분석이나 </w:t>
      </w:r>
      <w:r w:rsidRPr="00A27336">
        <w:rPr>
          <w:rFonts w:asciiTheme="minorEastAsia" w:hAnsiTheme="minorEastAsia" w:hint="eastAsia"/>
          <w:color w:val="0432FF"/>
          <w:sz w:val="20"/>
          <w:szCs w:val="20"/>
        </w:rPr>
        <w:lastRenderedPageBreak/>
        <w:t>법적 규제에 대한 포괄적 비교를 제공하기보다는, 급성기 안전과 인권 보호 사이의 긴장을 이해하고 윤리적 성찰을 심화시키기 위한 이론적·개념적 틀을 제시하는 데 그 범위를 한정한다.</w:t>
      </w:r>
    </w:p>
    <w:p w14:paraId="78668DAD" w14:textId="77777777" w:rsidR="005425BE" w:rsidRPr="005425BE" w:rsidRDefault="005425BE" w:rsidP="005425BE">
      <w:pPr>
        <w:jc w:val="both"/>
        <w:rPr>
          <w:rFonts w:asciiTheme="minorEastAsia" w:hAnsiTheme="minorEastAsia"/>
          <w:color w:val="0432FF"/>
          <w:sz w:val="20"/>
          <w:szCs w:val="20"/>
        </w:rPr>
      </w:pPr>
      <w:r w:rsidRPr="005425BE">
        <w:rPr>
          <w:rFonts w:asciiTheme="minorEastAsia" w:hAnsiTheme="minorEastAsia"/>
          <w:color w:val="0432FF"/>
          <w:sz w:val="20"/>
          <w:szCs w:val="20"/>
        </w:rPr>
        <w:t>This paper aims to critically examine the controversies surrounding the use of chemical restraint and to conceptually situate its role within real-world clinical settings. To this end, it explores the historical, philosophical, and social factors that have contributed to the particularly intense ethical scrutiny of psychiatric interventions, and analyzes how major ethical frameworks—especially principlism—have shaped the normative structure of contemporary psychiatric practice and the professional responsibilities of clinicians. In addition, the paper reviews recent discussions on the management of acute agitation and violence, highlighting diverse approaches that seek to negotiate the tension between the clinical imperative to ensure patient safety and the ethical obligation to protect human rights. Through this analysis, the paper seeks to reframe the role of pharmacological interventions in acute psychiatric care not merely as a matter of clinical technique, but as a domain in which ethical justification and practical judgment intersect.</w:t>
      </w:r>
    </w:p>
    <w:p w14:paraId="11562C0D" w14:textId="77777777" w:rsidR="00947711" w:rsidRDefault="005425BE" w:rsidP="005425BE">
      <w:pPr>
        <w:jc w:val="both"/>
        <w:rPr>
          <w:rFonts w:asciiTheme="minorEastAsia" w:hAnsiTheme="minorEastAsia"/>
          <w:color w:val="0432FF"/>
          <w:sz w:val="20"/>
          <w:szCs w:val="20"/>
        </w:rPr>
      </w:pPr>
      <w:r w:rsidRPr="005425BE">
        <w:rPr>
          <w:rFonts w:asciiTheme="minorEastAsia" w:hAnsiTheme="minorEastAsia"/>
          <w:color w:val="0432FF"/>
          <w:sz w:val="20"/>
          <w:szCs w:val="20"/>
        </w:rPr>
        <w:t>However, this review does not aim to evaluate the efficacy or superiority of specific medications or individual clinical interventions, nor does it seek to offer normative judgments on particular cases. Rather, it focuses on conceptual and critical analysis grounded in existing literature and ethical theory. Accordingly, the scope of this paper is limited to providing a theoretical and conceptual framework for understanding the tension between acute safety and the protection of human rights, rather than offering systematic empirical meta-analyses or comprehensive comparisons of legal regulatory regimes.</w:t>
      </w:r>
    </w:p>
    <w:p w14:paraId="31E49F0D" w14:textId="77777777" w:rsidR="00FC0785" w:rsidRDefault="00FC0785" w:rsidP="005425BE">
      <w:pPr>
        <w:jc w:val="both"/>
        <w:rPr>
          <w:rFonts w:asciiTheme="minorEastAsia" w:hAnsiTheme="minorEastAsia"/>
          <w:color w:val="0432FF"/>
          <w:sz w:val="20"/>
          <w:szCs w:val="20"/>
        </w:rPr>
      </w:pPr>
    </w:p>
    <w:p w14:paraId="2AB695A2" w14:textId="77777777" w:rsidR="0001153C" w:rsidRPr="004759C1" w:rsidRDefault="0001153C" w:rsidP="005425BE">
      <w:pPr>
        <w:jc w:val="both"/>
        <w:rPr>
          <w:rFonts w:asciiTheme="minorEastAsia" w:hAnsiTheme="minorEastAsia"/>
          <w:b/>
          <w:bCs/>
          <w:color w:val="0432FF"/>
          <w:sz w:val="20"/>
          <w:szCs w:val="20"/>
        </w:rPr>
      </w:pPr>
      <w:r w:rsidRPr="004759C1">
        <w:rPr>
          <w:rFonts w:asciiTheme="minorEastAsia" w:hAnsiTheme="minorEastAsia"/>
          <w:b/>
          <w:bCs/>
          <w:color w:val="0432FF"/>
          <w:sz w:val="20"/>
          <w:szCs w:val="20"/>
        </w:rPr>
        <w:t xml:space="preserve">II. </w:t>
      </w:r>
      <w:r w:rsidR="004848D8" w:rsidRPr="004759C1">
        <w:rPr>
          <w:rFonts w:asciiTheme="minorEastAsia" w:hAnsiTheme="minorEastAsia"/>
          <w:b/>
          <w:bCs/>
          <w:color w:val="0432FF"/>
          <w:sz w:val="20"/>
          <w:szCs w:val="20"/>
        </w:rPr>
        <w:t>“</w:t>
      </w:r>
      <w:r w:rsidR="0077791B" w:rsidRPr="004759C1">
        <w:rPr>
          <w:rFonts w:asciiTheme="minorEastAsia" w:hAnsiTheme="minorEastAsia" w:hint="eastAsia"/>
          <w:b/>
          <w:bCs/>
          <w:color w:val="0432FF"/>
          <w:sz w:val="20"/>
          <w:szCs w:val="20"/>
        </w:rPr>
        <w:t xml:space="preserve">소위 </w:t>
      </w:r>
      <w:r w:rsidR="004848D8" w:rsidRPr="004759C1">
        <w:rPr>
          <w:rFonts w:asciiTheme="minorEastAsia" w:hAnsiTheme="minorEastAsia" w:hint="eastAsia"/>
          <w:b/>
          <w:bCs/>
          <w:color w:val="0432FF"/>
          <w:sz w:val="20"/>
          <w:szCs w:val="20"/>
        </w:rPr>
        <w:t>비인도적</w:t>
      </w:r>
      <w:r w:rsidR="004848D8" w:rsidRPr="004759C1">
        <w:rPr>
          <w:rFonts w:asciiTheme="minorEastAsia" w:hAnsiTheme="minorEastAsia"/>
          <w:b/>
          <w:bCs/>
          <w:color w:val="0432FF"/>
          <w:sz w:val="20"/>
          <w:szCs w:val="20"/>
        </w:rPr>
        <w:t>”</w:t>
      </w:r>
      <w:r w:rsidR="004848D8" w:rsidRPr="004759C1">
        <w:rPr>
          <w:rFonts w:asciiTheme="minorEastAsia" w:hAnsiTheme="minorEastAsia" w:hint="eastAsia"/>
          <w:b/>
          <w:bCs/>
          <w:color w:val="0432FF"/>
          <w:sz w:val="20"/>
          <w:szCs w:val="20"/>
        </w:rPr>
        <w:t xml:space="preserve"> 정신의학적 관행의 유산을 둘러싼 논쟁</w:t>
      </w:r>
    </w:p>
    <w:p w14:paraId="39972E82" w14:textId="77777777" w:rsidR="004848D8" w:rsidRPr="004759C1" w:rsidRDefault="004848D8" w:rsidP="007E2A0D">
      <w:pPr>
        <w:jc w:val="both"/>
        <w:rPr>
          <w:rFonts w:asciiTheme="minorEastAsia" w:hAnsiTheme="minorEastAsia"/>
          <w:b/>
          <w:bCs/>
          <w:color w:val="0432FF"/>
          <w:sz w:val="20"/>
          <w:szCs w:val="20"/>
        </w:rPr>
      </w:pPr>
      <w:r w:rsidRPr="004759C1">
        <w:rPr>
          <w:rFonts w:asciiTheme="minorEastAsia" w:hAnsiTheme="minorEastAsia"/>
          <w:b/>
          <w:bCs/>
          <w:color w:val="0432FF"/>
          <w:sz w:val="20"/>
          <w:szCs w:val="20"/>
        </w:rPr>
        <w:t>Debates on the Legacy of “</w:t>
      </w:r>
      <w:r w:rsidR="0077791B" w:rsidRPr="004759C1">
        <w:rPr>
          <w:rFonts w:asciiTheme="minorEastAsia" w:hAnsiTheme="minorEastAsia"/>
          <w:b/>
          <w:bCs/>
          <w:color w:val="0432FF"/>
          <w:sz w:val="20"/>
          <w:szCs w:val="20"/>
        </w:rPr>
        <w:t xml:space="preserve">So-called </w:t>
      </w:r>
      <w:r w:rsidRPr="004759C1">
        <w:rPr>
          <w:rFonts w:asciiTheme="minorEastAsia" w:hAnsiTheme="minorEastAsia"/>
          <w:b/>
          <w:bCs/>
          <w:color w:val="0432FF"/>
          <w:sz w:val="20"/>
          <w:szCs w:val="20"/>
        </w:rPr>
        <w:t>Inhumane” Psychiatric Practices</w:t>
      </w:r>
    </w:p>
    <w:p w14:paraId="77E01614" w14:textId="77777777" w:rsidR="00D40063" w:rsidRDefault="005C2CF0" w:rsidP="007E2A0D">
      <w:pPr>
        <w:jc w:val="both"/>
        <w:rPr>
          <w:rFonts w:ascii="Malgun Gothic" w:eastAsia="Malgun Gothic" w:hAnsi="Malgun Gothic" w:cs="Times New Roman"/>
          <w:color w:val="7030A0"/>
          <w:sz w:val="20"/>
          <w:szCs w:val="20"/>
        </w:rPr>
      </w:pPr>
      <w:r w:rsidRPr="005C2CF0">
        <w:rPr>
          <w:rFonts w:asciiTheme="minorEastAsia" w:hAnsiTheme="minorEastAsia" w:hint="eastAsia"/>
          <w:color w:val="0432FF"/>
          <w:sz w:val="20"/>
          <w:szCs w:val="20"/>
        </w:rPr>
        <w:t xml:space="preserve">정신의학 역사의 궤적을 추적하는 것은 다소 어려운 작업일 수 있는데, 이는 </w:t>
      </w:r>
      <w:r w:rsidR="001F18E2" w:rsidRPr="005C2CF0">
        <w:rPr>
          <w:rFonts w:asciiTheme="minorEastAsia" w:hAnsiTheme="minorEastAsia" w:hint="eastAsia"/>
          <w:color w:val="0432FF"/>
          <w:sz w:val="20"/>
          <w:szCs w:val="20"/>
        </w:rPr>
        <w:t>역사 전반에 걸쳐 인간 존재에서 인간 정신의 역할과 정신 질환의 발현에 관해 다양한 관점과 방법론이 등장해 왔</w:t>
      </w:r>
      <w:r w:rsidR="001F18E2">
        <w:rPr>
          <w:rFonts w:asciiTheme="minorEastAsia" w:hAnsiTheme="minorEastAsia" w:hint="eastAsia"/>
          <w:color w:val="0432FF"/>
          <w:sz w:val="20"/>
          <w:szCs w:val="20"/>
        </w:rPr>
        <w:t>으며,</w:t>
      </w:r>
      <w:r w:rsidR="001F18E2">
        <w:rPr>
          <w:rFonts w:asciiTheme="minorEastAsia" w:hAnsiTheme="minorEastAsia"/>
          <w:color w:val="0432FF"/>
          <w:sz w:val="20"/>
          <w:szCs w:val="20"/>
        </w:rPr>
        <w:t xml:space="preserve"> </w:t>
      </w:r>
      <w:r w:rsidRPr="005C2CF0">
        <w:rPr>
          <w:rFonts w:asciiTheme="minorEastAsia" w:hAnsiTheme="minorEastAsia" w:hint="eastAsia"/>
          <w:color w:val="0432FF"/>
          <w:sz w:val="20"/>
          <w:szCs w:val="20"/>
        </w:rPr>
        <w:t xml:space="preserve">근대 </w:t>
      </w:r>
      <w:r w:rsidR="007451AD">
        <w:rPr>
          <w:rFonts w:asciiTheme="minorEastAsia" w:hAnsiTheme="minorEastAsia" w:hint="eastAsia"/>
          <w:color w:val="0432FF"/>
          <w:sz w:val="20"/>
          <w:szCs w:val="20"/>
        </w:rPr>
        <w:t xml:space="preserve">이전에는 </w:t>
      </w:r>
      <w:r w:rsidRPr="005C2CF0">
        <w:rPr>
          <w:rFonts w:asciiTheme="minorEastAsia" w:hAnsiTheme="minorEastAsia" w:hint="eastAsia"/>
          <w:color w:val="0432FF"/>
          <w:sz w:val="20"/>
          <w:szCs w:val="20"/>
        </w:rPr>
        <w:t>이 분야에 전념하는 별도의 의학 분야가 없었기 때문</w:t>
      </w:r>
      <w:r w:rsidR="001F18E2">
        <w:rPr>
          <w:rFonts w:asciiTheme="minorEastAsia" w:hAnsiTheme="minorEastAsia" w:hint="eastAsia"/>
          <w:color w:val="0432FF"/>
          <w:sz w:val="20"/>
          <w:szCs w:val="20"/>
        </w:rPr>
        <w:t>이</w:t>
      </w:r>
      <w:r w:rsidRPr="005C2CF0">
        <w:rPr>
          <w:rFonts w:asciiTheme="minorEastAsia" w:hAnsiTheme="minorEastAsia" w:hint="eastAsia"/>
          <w:color w:val="0432FF"/>
          <w:sz w:val="20"/>
          <w:szCs w:val="20"/>
        </w:rPr>
        <w:t xml:space="preserve">다. </w:t>
      </w:r>
      <w:r w:rsidR="006D7B25" w:rsidRPr="006D7B25">
        <w:rPr>
          <w:rFonts w:asciiTheme="minorEastAsia" w:hAnsiTheme="minorEastAsia" w:hint="eastAsia"/>
          <w:color w:val="0432FF"/>
          <w:sz w:val="20"/>
          <w:szCs w:val="20"/>
        </w:rPr>
        <w:t xml:space="preserve">또한 정신질환에 대한 이해는 시대와 사회적 맥락에 따라 크게 달라져 왔으며, 종교적·도덕적 해석에서 점차 의학적·과학적 접근으로 전환되는 긴 역사적 과정을 거쳐 왔다. </w:t>
      </w:r>
      <w:r w:rsidR="006D7B25">
        <w:rPr>
          <w:rFonts w:asciiTheme="minorEastAsia" w:hAnsiTheme="minorEastAsia" w:hint="eastAsia"/>
          <w:color w:val="0432FF"/>
          <w:sz w:val="20"/>
          <w:szCs w:val="20"/>
        </w:rPr>
        <w:t xml:space="preserve">이러한 이유로 </w:t>
      </w:r>
      <w:r w:rsidR="006D7B25" w:rsidRPr="006D7B25">
        <w:rPr>
          <w:rFonts w:asciiTheme="minorEastAsia" w:hAnsiTheme="minorEastAsia" w:hint="eastAsia"/>
          <w:color w:val="0432FF"/>
          <w:sz w:val="20"/>
          <w:szCs w:val="20"/>
        </w:rPr>
        <w:t>정신의학의 역사적 발전을 이해하기 위해서는 특정 시기의 임상 실천을 그 시대의 사회적·문화적 맥락 속에서 위치시켜 해석하려는 접근이 필요하다</w:t>
      </w:r>
      <w:r w:rsidR="007F673D" w:rsidRPr="0032405B">
        <w:rPr>
          <w:rFonts w:asciiTheme="minorEastAsia" w:hAnsiTheme="minorEastAsia"/>
          <w:color w:val="0432FF"/>
          <w:sz w:val="20"/>
          <w:szCs w:val="20"/>
        </w:rPr>
        <w:t xml:space="preserve"> </w:t>
      </w:r>
      <w:r w:rsidR="0032405B">
        <w:rPr>
          <w:rFonts w:asciiTheme="minorEastAsia" w:hAnsiTheme="minorEastAsia" w:hint="eastAsia"/>
          <w:color w:val="000000" w:themeColor="text1"/>
          <w:sz w:val="20"/>
          <w:szCs w:val="20"/>
        </w:rPr>
        <w:t>(</w:t>
      </w:r>
      <w:r w:rsidR="00730565" w:rsidRPr="00466D82">
        <w:rPr>
          <w:rFonts w:asciiTheme="minorEastAsia" w:hAnsiTheme="minorEastAsia"/>
          <w:color w:val="7030A0"/>
          <w:sz w:val="20"/>
          <w:szCs w:val="20"/>
        </w:rPr>
        <w:t xml:space="preserve">Blomberg TG, Forward, (2002) </w:t>
      </w:r>
      <w:r w:rsidR="00466D82" w:rsidRPr="00466D82">
        <w:rPr>
          <w:rFonts w:asciiTheme="minorEastAsia" w:hAnsiTheme="minorEastAsia"/>
          <w:color w:val="7030A0"/>
          <w:sz w:val="20"/>
          <w:szCs w:val="20"/>
        </w:rPr>
        <w:t xml:space="preserve">In </w:t>
      </w:r>
      <w:r w:rsidR="00466D82" w:rsidRPr="00466D82">
        <w:rPr>
          <w:rFonts w:ascii="Malgun Gothic" w:eastAsia="Malgun Gothic" w:hAnsi="Malgun Gothic" w:cs="Times New Roman"/>
          <w:color w:val="7030A0"/>
          <w:sz w:val="20"/>
          <w:szCs w:val="20"/>
        </w:rPr>
        <w:t>Rothman, D. J. (2002). *The discovery of the asylum: Social order and disorder in the new republic* (Rev. ed.). Aldine de Gruyter. (Original work published 1971)</w:t>
      </w:r>
      <w:r w:rsidR="006D7B25">
        <w:rPr>
          <w:rFonts w:ascii="Malgun Gothic" w:eastAsia="Malgun Gothic" w:hAnsi="Malgun Gothic" w:cs="Times New Roman"/>
          <w:color w:val="7030A0"/>
          <w:sz w:val="20"/>
          <w:szCs w:val="20"/>
        </w:rPr>
        <w:t xml:space="preserve">. </w:t>
      </w:r>
      <w:r w:rsidR="00D40063" w:rsidRPr="00D40063">
        <w:rPr>
          <w:rFonts w:ascii="Malgun Gothic" w:eastAsia="Malgun Gothic" w:hAnsi="Malgun Gothic" w:cs="Times New Roman" w:hint="eastAsia"/>
          <w:color w:val="0432FF"/>
          <w:sz w:val="20"/>
          <w:szCs w:val="20"/>
        </w:rPr>
        <w:t xml:space="preserve">의철학자 알렉스 브로드벤트(Alex Broadbent)는 </w:t>
      </w:r>
      <w:r w:rsidR="00D40063" w:rsidRPr="00D40063">
        <w:rPr>
          <w:rFonts w:ascii="Malgun Gothic" w:eastAsia="Malgun Gothic" w:hAnsi="Malgun Gothic" w:cs="Times New Roman" w:hint="eastAsia"/>
          <w:color w:val="0432FF"/>
          <w:sz w:val="20"/>
          <w:szCs w:val="20"/>
        </w:rPr>
        <w:lastRenderedPageBreak/>
        <w:t xml:space="preserve">의학의 ‘핵심적 권한’은 치료에 있지만, 이러한 점에 집중하여 의학을 정의할 경우 우리는 “현재 의학이 기반하고 있는 과거의 기반에 대한 경멸적 태도”를 취하게 되며 “전통들 간의 유익한 협력을 증진시키는 데 실패”할 수 있다고 경고하였다 </w:t>
      </w:r>
      <w:r w:rsidR="00D40063" w:rsidRPr="00D40063">
        <w:rPr>
          <w:rFonts w:ascii="Malgun Gothic" w:eastAsia="Malgun Gothic" w:hAnsi="Malgun Gothic" w:cs="Times New Roman" w:hint="eastAsia"/>
          <w:color w:val="7030A0"/>
          <w:sz w:val="20"/>
          <w:szCs w:val="20"/>
        </w:rPr>
        <w:t>(</w:t>
      </w:r>
      <w:r w:rsidR="007E2A0D" w:rsidRPr="007E2A0D">
        <w:rPr>
          <w:rFonts w:ascii="Malgun Gothic" w:eastAsia="Malgun Gothic" w:hAnsi="Malgun Gothic" w:cs="Times New Roman"/>
          <w:color w:val="7030A0"/>
          <w:sz w:val="20"/>
          <w:szCs w:val="20"/>
        </w:rPr>
        <w:t xml:space="preserve">Broadbent, Alex, “The Inquiry Model of Medicine,” Canadian Medical Association Journal 194 (4) (2019a). Accessed August 20, 2020, </w:t>
      </w:r>
      <w:hyperlink r:id="rId7" w:history="1">
        <w:r w:rsidR="007E2A0D" w:rsidRPr="00D34106">
          <w:rPr>
            <w:rStyle w:val="Hyperlink"/>
            <w:rFonts w:ascii="Malgun Gothic" w:eastAsia="Malgun Gothic" w:hAnsi="Malgun Gothic" w:cs="Times New Roman"/>
            <w:sz w:val="20"/>
            <w:szCs w:val="20"/>
          </w:rPr>
          <w:t>https://www.cmaj.ca/</w:t>
        </w:r>
      </w:hyperlink>
      <w:r w:rsidR="007E2A0D">
        <w:rPr>
          <w:rFonts w:ascii="Malgun Gothic" w:eastAsia="Malgun Gothic" w:hAnsi="Malgun Gothic" w:cs="Times New Roman"/>
          <w:color w:val="7030A0"/>
          <w:sz w:val="20"/>
          <w:szCs w:val="20"/>
        </w:rPr>
        <w:t xml:space="preserve"> </w:t>
      </w:r>
      <w:r w:rsidR="007E2A0D" w:rsidRPr="007E2A0D">
        <w:rPr>
          <w:rFonts w:ascii="Malgun Gothic" w:eastAsia="Malgun Gothic" w:hAnsi="Malgun Gothic" w:cs="Times New Roman"/>
          <w:color w:val="7030A0"/>
          <w:sz w:val="20"/>
          <w:szCs w:val="20"/>
        </w:rPr>
        <w:t>content/191/4/E105.</w:t>
      </w:r>
      <w:r w:rsidR="007E2A0D">
        <w:rPr>
          <w:rFonts w:ascii="Malgun Gothic" w:eastAsia="Malgun Gothic" w:hAnsi="Malgun Gothic" w:cs="Times New Roman"/>
          <w:color w:val="7030A0"/>
          <w:sz w:val="20"/>
          <w:szCs w:val="20"/>
        </w:rPr>
        <w:t xml:space="preserve"> </w:t>
      </w:r>
      <w:r w:rsidR="007E2A0D" w:rsidRPr="007E2A0D">
        <w:rPr>
          <w:rFonts w:ascii="Malgun Gothic" w:eastAsia="Malgun Gothic" w:hAnsi="Malgun Gothic" w:cs="Times New Roman"/>
          <w:color w:val="7030A0"/>
          <w:sz w:val="20"/>
          <w:szCs w:val="20"/>
        </w:rPr>
        <w:t>Broadbent, Alex,</w:t>
      </w:r>
      <w:r w:rsidR="007E2A0D">
        <w:rPr>
          <w:rFonts w:ascii="Malgun Gothic" w:eastAsia="Malgun Gothic" w:hAnsi="Malgun Gothic" w:cs="Times New Roman"/>
          <w:color w:val="7030A0"/>
          <w:sz w:val="20"/>
          <w:szCs w:val="20"/>
        </w:rPr>
        <w:t xml:space="preserve"> </w:t>
      </w:r>
      <w:r w:rsidR="007E2A0D" w:rsidRPr="007E2A0D">
        <w:rPr>
          <w:rFonts w:ascii="Malgun Gothic" w:eastAsia="Malgun Gothic" w:hAnsi="Malgun Gothic" w:cs="Times New Roman"/>
          <w:color w:val="7030A0"/>
          <w:sz w:val="20"/>
          <w:szCs w:val="20"/>
        </w:rPr>
        <w:t xml:space="preserve">“What Is Medicine? Why It’s So Important to Answer This Question,” Medical Press, January 30, 2019b. Accessed August 20, 2020, </w:t>
      </w:r>
      <w:hyperlink r:id="rId8" w:history="1">
        <w:r w:rsidR="007E2A0D" w:rsidRPr="00D34106">
          <w:rPr>
            <w:rStyle w:val="Hyperlink"/>
            <w:rFonts w:ascii="Malgun Gothic" w:eastAsia="Malgun Gothic" w:hAnsi="Malgun Gothic" w:cs="Times New Roman"/>
            <w:sz w:val="20"/>
            <w:szCs w:val="20"/>
          </w:rPr>
          <w:t>https://medicalxpress.com/news/2019-01-medicine-important.htmlBroadbentBroadbent</w:t>
        </w:r>
      </w:hyperlink>
      <w:r w:rsidR="00D40063" w:rsidRPr="00D40063">
        <w:rPr>
          <w:rFonts w:ascii="Malgun Gothic" w:eastAsia="Malgun Gothic" w:hAnsi="Malgun Gothic" w:cs="Times New Roman" w:hint="eastAsia"/>
          <w:color w:val="7030A0"/>
          <w:sz w:val="20"/>
          <w:szCs w:val="20"/>
        </w:rPr>
        <w:t>;</w:t>
      </w:r>
      <w:r w:rsidR="007E2A0D">
        <w:rPr>
          <w:rFonts w:ascii="Malgun Gothic" w:eastAsia="Malgun Gothic" w:hAnsi="Malgun Gothic" w:cs="Times New Roman"/>
          <w:color w:val="7030A0"/>
          <w:sz w:val="20"/>
          <w:szCs w:val="20"/>
        </w:rPr>
        <w:t xml:space="preserve"> </w:t>
      </w:r>
      <w:r w:rsidR="007E2A0D" w:rsidRPr="007E2A0D">
        <w:rPr>
          <w:rFonts w:ascii="Malgun Gothic" w:eastAsia="Malgun Gothic" w:hAnsi="Malgun Gothic" w:cs="Times New Roman" w:hint="eastAsia"/>
          <w:color w:val="7030A0"/>
          <w:sz w:val="20"/>
          <w:szCs w:val="20"/>
        </w:rPr>
        <w:t>이현주. 서양의학사 연구 동향과 전망, 2011~ 2020: 연구주제의 확장과 새로운 방법론의 모색. 의사학. 2020 Dec;29(3):783-842</w:t>
      </w:r>
      <w:r w:rsidR="00D40063" w:rsidRPr="00D40063">
        <w:rPr>
          <w:rFonts w:ascii="Malgun Gothic" w:eastAsia="Malgun Gothic" w:hAnsi="Malgun Gothic" w:cs="Times New Roman" w:hint="eastAsia"/>
          <w:color w:val="7030A0"/>
          <w:sz w:val="20"/>
          <w:szCs w:val="20"/>
        </w:rPr>
        <w:t>).</w:t>
      </w:r>
    </w:p>
    <w:p w14:paraId="6ABBE9D6" w14:textId="77777777" w:rsidR="0009785E" w:rsidRDefault="007B64F8" w:rsidP="004525F7">
      <w:pPr>
        <w:jc w:val="both"/>
        <w:rPr>
          <w:rFonts w:ascii="Malgun Gothic" w:eastAsia="Malgun Gothic" w:hAnsi="Malgun Gothic" w:cs="Times New Roman"/>
          <w:color w:val="7030A0"/>
          <w:sz w:val="20"/>
          <w:szCs w:val="20"/>
        </w:rPr>
      </w:pPr>
      <w:r w:rsidRPr="007B64F8">
        <w:rPr>
          <w:rFonts w:ascii="Malgun Gothic" w:eastAsia="Malgun Gothic" w:hAnsi="Malgun Gothic" w:cs="Times New Roman" w:hint="eastAsia"/>
          <w:color w:val="0432FF"/>
          <w:sz w:val="20"/>
          <w:szCs w:val="20"/>
        </w:rPr>
        <w:t xml:space="preserve">그러나 </w:t>
      </w:r>
      <w:r w:rsidR="006D7B25" w:rsidRPr="006D7B25">
        <w:rPr>
          <w:rFonts w:ascii="Malgun Gothic" w:eastAsia="Malgun Gothic" w:hAnsi="Malgun Gothic" w:cs="Times New Roman" w:hint="eastAsia"/>
          <w:color w:val="0432FF"/>
          <w:sz w:val="20"/>
          <w:szCs w:val="20"/>
        </w:rPr>
        <w:t>비인간적인 정신과 진료 관행</w:t>
      </w:r>
      <w:r w:rsidR="006D7B25">
        <w:rPr>
          <w:rFonts w:ascii="Malgun Gothic" w:eastAsia="Malgun Gothic" w:hAnsi="Malgun Gothic" w:cs="Times New Roman" w:hint="eastAsia"/>
          <w:color w:val="0432FF"/>
          <w:sz w:val="20"/>
          <w:szCs w:val="20"/>
        </w:rPr>
        <w:t xml:space="preserve">의 서술에서는 </w:t>
      </w:r>
      <w:r w:rsidRPr="007B64F8">
        <w:rPr>
          <w:rFonts w:ascii="Malgun Gothic" w:eastAsia="Malgun Gothic" w:hAnsi="Malgun Gothic" w:cs="Times New Roman" w:hint="eastAsia"/>
          <w:color w:val="0432FF"/>
          <w:sz w:val="20"/>
          <w:szCs w:val="20"/>
        </w:rPr>
        <w:t>이러한 시도</w:t>
      </w:r>
      <w:r w:rsidR="007B1A68">
        <w:rPr>
          <w:rFonts w:ascii="Malgun Gothic" w:eastAsia="Malgun Gothic" w:hAnsi="Malgun Gothic" w:cs="Times New Roman" w:hint="eastAsia"/>
          <w:color w:val="0432FF"/>
          <w:sz w:val="20"/>
          <w:szCs w:val="20"/>
        </w:rPr>
        <w:t xml:space="preserve">가 </w:t>
      </w:r>
      <w:r w:rsidR="00372F82" w:rsidRPr="00372F82">
        <w:rPr>
          <w:rFonts w:asciiTheme="minorEastAsia" w:hAnsiTheme="minorEastAsia" w:hint="eastAsia"/>
          <w:color w:val="0432FF"/>
          <w:sz w:val="20"/>
          <w:szCs w:val="20"/>
        </w:rPr>
        <w:t xml:space="preserve">충분히 고려되지 않은 채 과거의 정신과적 실천이 오늘날의 윤리적 기준에 의해 단선적으로 평가되는 경향이 존재한다. </w:t>
      </w:r>
      <w:r w:rsidR="00500155">
        <w:rPr>
          <w:rFonts w:ascii="Malgun Gothic" w:eastAsia="Malgun Gothic" w:hAnsi="Malgun Gothic" w:cs="Times New Roman"/>
          <w:color w:val="7030A0"/>
          <w:sz w:val="20"/>
          <w:szCs w:val="20"/>
        </w:rPr>
        <w:t>(</w:t>
      </w:r>
      <w:r w:rsidR="00500155" w:rsidRPr="00500155">
        <w:rPr>
          <w:rFonts w:ascii="Malgun Gothic" w:eastAsia="Malgun Gothic" w:hAnsi="Malgun Gothic" w:cs="Times New Roman"/>
          <w:color w:val="7030A0"/>
          <w:sz w:val="20"/>
          <w:szCs w:val="20"/>
        </w:rPr>
        <w:t>Scull, A. (2015). Madness in civilization: A cultural history of insanity, from the Bible to Freud, from the madhouse to modern medicine. Princeton University Press</w:t>
      </w:r>
      <w:r w:rsidR="00CB2902">
        <w:rPr>
          <w:rFonts w:ascii="Malgun Gothic" w:eastAsia="Malgun Gothic" w:hAnsi="Malgun Gothic" w:cs="Times New Roman"/>
          <w:color w:val="7030A0"/>
          <w:sz w:val="20"/>
          <w:szCs w:val="20"/>
        </w:rPr>
        <w:t xml:space="preserve">) </w:t>
      </w:r>
      <w:r w:rsidR="00372F82" w:rsidRPr="00372F82">
        <w:rPr>
          <w:rFonts w:asciiTheme="minorEastAsia" w:hAnsiTheme="minorEastAsia" w:hint="eastAsia"/>
          <w:color w:val="0432FF"/>
          <w:sz w:val="20"/>
          <w:szCs w:val="20"/>
        </w:rPr>
        <w:t>역사학에서는 이러한 접근을 흔히 "anachronistic judgment"</w:t>
      </w:r>
      <w:r w:rsidR="00372F82">
        <w:rPr>
          <w:rFonts w:asciiTheme="minorEastAsia" w:hAnsiTheme="minorEastAsia"/>
          <w:color w:val="0432FF"/>
          <w:sz w:val="20"/>
          <w:szCs w:val="20"/>
        </w:rPr>
        <w:t xml:space="preserve"> </w:t>
      </w:r>
      <w:r w:rsidR="00372F82" w:rsidRPr="00372F82">
        <w:rPr>
          <w:rFonts w:asciiTheme="minorEastAsia" w:hAnsiTheme="minorEastAsia" w:hint="eastAsia"/>
          <w:color w:val="0432FF"/>
          <w:sz w:val="20"/>
          <w:szCs w:val="20"/>
        </w:rPr>
        <w:t>(시대착오적</w:t>
      </w:r>
      <w:r w:rsidR="00372F82">
        <w:rPr>
          <w:rFonts w:asciiTheme="minorEastAsia" w:hAnsiTheme="minorEastAsia"/>
          <w:color w:val="0432FF"/>
          <w:sz w:val="20"/>
          <w:szCs w:val="20"/>
        </w:rPr>
        <w:t xml:space="preserve"> </w:t>
      </w:r>
      <w:r w:rsidR="00372F82" w:rsidRPr="00372F82">
        <w:rPr>
          <w:rFonts w:asciiTheme="minorEastAsia" w:hAnsiTheme="minorEastAsia" w:hint="eastAsia"/>
          <w:color w:val="0432FF"/>
          <w:sz w:val="20"/>
          <w:szCs w:val="20"/>
        </w:rPr>
        <w:t>판단)</w:t>
      </w:r>
      <w:r w:rsidR="007B1A68">
        <w:rPr>
          <w:rFonts w:asciiTheme="minorEastAsia" w:hAnsiTheme="minorEastAsia"/>
          <w:color w:val="0432FF"/>
          <w:sz w:val="20"/>
          <w:szCs w:val="20"/>
        </w:rPr>
        <w:t xml:space="preserve"> </w:t>
      </w:r>
      <w:r w:rsidR="007B1A68">
        <w:rPr>
          <w:rFonts w:asciiTheme="minorEastAsia" w:hAnsiTheme="minorEastAsia" w:hint="eastAsia"/>
          <w:color w:val="0432FF"/>
          <w:sz w:val="20"/>
          <w:szCs w:val="20"/>
        </w:rPr>
        <w:t xml:space="preserve">또는 </w:t>
      </w:r>
      <w:r w:rsidR="00372F82" w:rsidRPr="00372F82">
        <w:rPr>
          <w:rFonts w:asciiTheme="minorEastAsia" w:hAnsiTheme="minorEastAsia" w:hint="eastAsia"/>
          <w:color w:val="0432FF"/>
          <w:sz w:val="20"/>
          <w:szCs w:val="20"/>
        </w:rPr>
        <w:t>현재주의적 해석(presentism)으로 지적해 왔</w:t>
      </w:r>
      <w:r w:rsidR="007B1A68">
        <w:rPr>
          <w:rFonts w:asciiTheme="minorEastAsia" w:hAnsiTheme="minorEastAsia" w:hint="eastAsia"/>
          <w:color w:val="0432FF"/>
          <w:sz w:val="20"/>
          <w:szCs w:val="20"/>
        </w:rPr>
        <w:t>다.</w:t>
      </w:r>
      <w:r w:rsidR="00372F82" w:rsidRPr="00372F82">
        <w:rPr>
          <w:rFonts w:asciiTheme="minorEastAsia" w:hAnsiTheme="minorEastAsia" w:hint="eastAsia"/>
          <w:color w:val="0432FF"/>
          <w:sz w:val="20"/>
          <w:szCs w:val="20"/>
        </w:rPr>
        <w:t xml:space="preserve"> 이는 과거의 사회적 조건과 지식 체계 속에서 형성된 의료 실천을 충분히 설명하지 못</w:t>
      </w:r>
      <w:r w:rsidR="00372F82">
        <w:rPr>
          <w:rFonts w:asciiTheme="minorEastAsia" w:hAnsiTheme="minorEastAsia" w:hint="eastAsia"/>
          <w:color w:val="0432FF"/>
          <w:sz w:val="20"/>
          <w:szCs w:val="20"/>
        </w:rPr>
        <w:t xml:space="preserve">하고 </w:t>
      </w:r>
      <w:r w:rsidR="00372F82" w:rsidRPr="00372F82">
        <w:rPr>
          <w:rFonts w:asciiTheme="minorEastAsia" w:hAnsiTheme="minorEastAsia" w:hint="eastAsia"/>
          <w:color w:val="0432FF"/>
          <w:sz w:val="20"/>
          <w:szCs w:val="20"/>
        </w:rPr>
        <w:t>의학 발전을 직선적 진보로만 보는 "승자의 역사"</w:t>
      </w:r>
      <w:r w:rsidR="00372F82">
        <w:rPr>
          <w:rFonts w:asciiTheme="minorEastAsia" w:hAnsiTheme="minorEastAsia" w:hint="eastAsia"/>
          <w:color w:val="0432FF"/>
          <w:sz w:val="20"/>
          <w:szCs w:val="20"/>
        </w:rPr>
        <w:t xml:space="preserve">로 </w:t>
      </w:r>
      <w:r w:rsidR="00372F82" w:rsidRPr="00372F82">
        <w:rPr>
          <w:rFonts w:asciiTheme="minorEastAsia" w:hAnsiTheme="minorEastAsia" w:hint="eastAsia"/>
          <w:color w:val="0432FF"/>
          <w:sz w:val="20"/>
          <w:szCs w:val="20"/>
        </w:rPr>
        <w:t>복잡한 시행착오 대신 "어둠의 시대</w:t>
      </w:r>
      <w:r w:rsidR="007B1A68">
        <w:rPr>
          <w:rFonts w:asciiTheme="minorEastAsia" w:hAnsiTheme="minorEastAsia" w:hint="eastAsia"/>
          <w:color w:val="0432FF"/>
          <w:sz w:val="20"/>
          <w:szCs w:val="20"/>
        </w:rPr>
        <w:t xml:space="preserve">로부터의 </w:t>
      </w:r>
      <w:r w:rsidR="00372F82" w:rsidRPr="00372F82">
        <w:rPr>
          <w:rFonts w:asciiTheme="minorEastAsia" w:hAnsiTheme="minorEastAsia" w:hint="eastAsia"/>
          <w:color w:val="0432FF"/>
          <w:sz w:val="20"/>
          <w:szCs w:val="20"/>
        </w:rPr>
        <w:t>계몽"</w:t>
      </w:r>
      <w:r w:rsidR="007B1A68">
        <w:rPr>
          <w:rFonts w:asciiTheme="minorEastAsia" w:hAnsiTheme="minorEastAsia" w:hint="eastAsia"/>
          <w:color w:val="0432FF"/>
          <w:sz w:val="20"/>
          <w:szCs w:val="20"/>
        </w:rPr>
        <w:t>과 같이</w:t>
      </w:r>
      <w:r w:rsidR="00372F82" w:rsidRPr="00372F82">
        <w:rPr>
          <w:rFonts w:asciiTheme="minorEastAsia" w:hAnsiTheme="minorEastAsia" w:hint="eastAsia"/>
          <w:color w:val="0432FF"/>
          <w:sz w:val="20"/>
          <w:szCs w:val="20"/>
        </w:rPr>
        <w:t xml:space="preserve"> 단순화할 위험이 있다 (</w:t>
      </w:r>
      <w:r w:rsidR="00372F82" w:rsidRPr="0051222C">
        <w:rPr>
          <w:rFonts w:asciiTheme="minorEastAsia" w:hAnsiTheme="minorEastAsia" w:hint="eastAsia"/>
          <w:color w:val="7030A0"/>
          <w:sz w:val="20"/>
          <w:szCs w:val="20"/>
        </w:rPr>
        <w:t>Blomberg &amp; Rothman, 2002</w:t>
      </w:r>
      <w:r w:rsidR="00372F82" w:rsidRPr="00372F82">
        <w:rPr>
          <w:rFonts w:asciiTheme="minorEastAsia" w:hAnsiTheme="minorEastAsia" w:hint="eastAsia"/>
          <w:color w:val="0432FF"/>
          <w:sz w:val="20"/>
          <w:szCs w:val="20"/>
        </w:rPr>
        <w:t>).</w:t>
      </w:r>
      <w:r w:rsidR="00372F82">
        <w:rPr>
          <w:rFonts w:asciiTheme="minorEastAsia" w:hAnsiTheme="minorEastAsia"/>
          <w:color w:val="0432FF"/>
          <w:sz w:val="20"/>
          <w:szCs w:val="20"/>
        </w:rPr>
        <w:t xml:space="preserve"> </w:t>
      </w:r>
      <w:r w:rsidR="0009785E" w:rsidRPr="0009785E">
        <w:rPr>
          <w:rFonts w:ascii="Malgun Gothic" w:eastAsia="Malgun Gothic" w:hAnsi="Malgun Gothic" w:cs="Times New Roman" w:hint="eastAsia"/>
          <w:color w:val="0432FF"/>
          <w:sz w:val="20"/>
          <w:szCs w:val="20"/>
        </w:rPr>
        <w:t>정신질환자의 격리(seclusion)와 강박(restraint)은 의학사에서 현재주의적 해석과 역사적 맥락이 가장 치열하게 충돌하는 대표적인 영역 가운데 하나로 지적되어 왔다</w:t>
      </w:r>
      <w:r w:rsidR="0009785E" w:rsidRPr="0009785E">
        <w:rPr>
          <w:rFonts w:ascii="Malgun Gothic" w:eastAsia="Malgun Gothic" w:hAnsi="Malgun Gothic" w:cs="Times New Roman" w:hint="eastAsia"/>
          <w:color w:val="7030A0"/>
          <w:sz w:val="20"/>
          <w:szCs w:val="20"/>
        </w:rPr>
        <w:t xml:space="preserve"> (Scull, 2015).</w:t>
      </w:r>
    </w:p>
    <w:p w14:paraId="46069839" w14:textId="77777777" w:rsidR="007E2A0D" w:rsidRPr="007E2A0D" w:rsidRDefault="007E2A0D" w:rsidP="007E2A0D">
      <w:pPr>
        <w:jc w:val="both"/>
        <w:rPr>
          <w:rFonts w:ascii="Malgun Gothic" w:eastAsia="Malgun Gothic" w:hAnsi="Malgun Gothic" w:cs="Times New Roman"/>
          <w:color w:val="0432FF"/>
          <w:sz w:val="20"/>
          <w:szCs w:val="20"/>
        </w:rPr>
      </w:pPr>
      <w:r w:rsidRPr="007E2A0D">
        <w:rPr>
          <w:rFonts w:ascii="Malgun Gothic" w:eastAsia="Malgun Gothic" w:hAnsi="Malgun Gothic" w:cs="Times New Roman"/>
          <w:color w:val="0432FF"/>
          <w:sz w:val="20"/>
          <w:szCs w:val="20"/>
        </w:rPr>
        <w:t>Tracing the trajectory of the history of psychiatry can be a challenging task. Throughout history, diverse perspectives and methodologies have emerged concerning the role of the human mind in human existence and the manifestation of mental illness, and prior to the modern era there was no distinct medical discipline devoted specifically to this field. Moreover, understandings of mental illness have varied considerably across historical periods and social contexts, undergoing a long process of transformation from predominantly religious and moral interpretations to increasingly medical and scientific approaches. For this reason, understanding the historical development of psychiatry requires an approach that situates clinical practices of a given period within their broader social and cultural contexts (</w:t>
      </w:r>
      <w:r w:rsidRPr="007E2A0D">
        <w:rPr>
          <w:rFonts w:ascii="Malgun Gothic" w:eastAsia="Malgun Gothic" w:hAnsi="Malgun Gothic" w:cs="Times New Roman"/>
          <w:color w:val="7030A0"/>
          <w:sz w:val="20"/>
          <w:szCs w:val="20"/>
        </w:rPr>
        <w:t>Blomberg &amp; Forward, 2002; Rothman, 2002</w:t>
      </w:r>
      <w:r w:rsidRPr="007E2A0D">
        <w:rPr>
          <w:rFonts w:ascii="Malgun Gothic" w:eastAsia="Malgun Gothic" w:hAnsi="Malgun Gothic" w:cs="Times New Roman"/>
          <w:color w:val="0432FF"/>
          <w:sz w:val="20"/>
          <w:szCs w:val="20"/>
        </w:rPr>
        <w:t>).</w:t>
      </w:r>
    </w:p>
    <w:p w14:paraId="060AA89D" w14:textId="77777777" w:rsidR="007E2A0D" w:rsidRPr="007E2A0D" w:rsidRDefault="007E2A0D" w:rsidP="007E2A0D">
      <w:pPr>
        <w:jc w:val="both"/>
        <w:rPr>
          <w:rFonts w:ascii="Malgun Gothic" w:eastAsia="Malgun Gothic" w:hAnsi="Malgun Gothic" w:cs="Times New Roman"/>
          <w:color w:val="0432FF"/>
          <w:sz w:val="20"/>
          <w:szCs w:val="20"/>
        </w:rPr>
      </w:pPr>
      <w:r w:rsidRPr="007E2A0D">
        <w:rPr>
          <w:rFonts w:ascii="Malgun Gothic" w:eastAsia="Malgun Gothic" w:hAnsi="Malgun Gothic" w:cs="Times New Roman"/>
          <w:color w:val="0432FF"/>
          <w:sz w:val="20"/>
          <w:szCs w:val="20"/>
        </w:rPr>
        <w:t>The philosopher of medicine Alex Broadbent has noted that although the “core authority” of medicine lies in treatment, defining medicine solely in terms of this function risks fostering “a contemptuous attitude toward the past on which present medicine is built” and may lead to a failure to promote productive collaboration between different intellectual traditions (</w:t>
      </w:r>
      <w:r w:rsidRPr="007E2A0D">
        <w:rPr>
          <w:rFonts w:ascii="Malgun Gothic" w:eastAsia="Malgun Gothic" w:hAnsi="Malgun Gothic" w:cs="Times New Roman"/>
          <w:color w:val="7030A0"/>
          <w:sz w:val="20"/>
          <w:szCs w:val="20"/>
        </w:rPr>
        <w:t>Broadbent, 2019a, 2019b; Lee, 2020</w:t>
      </w:r>
      <w:r w:rsidRPr="007E2A0D">
        <w:rPr>
          <w:rFonts w:ascii="Malgun Gothic" w:eastAsia="Malgun Gothic" w:hAnsi="Malgun Gothic" w:cs="Times New Roman"/>
          <w:color w:val="0432FF"/>
          <w:sz w:val="20"/>
          <w:szCs w:val="20"/>
        </w:rPr>
        <w:t>).</w:t>
      </w:r>
    </w:p>
    <w:p w14:paraId="61F343B5" w14:textId="77777777" w:rsidR="00D40063" w:rsidRPr="007E2A0D" w:rsidRDefault="007E2A0D" w:rsidP="007E2A0D">
      <w:pPr>
        <w:jc w:val="both"/>
        <w:rPr>
          <w:rFonts w:ascii="Malgun Gothic" w:eastAsia="Malgun Gothic" w:hAnsi="Malgun Gothic" w:cs="Times New Roman"/>
          <w:color w:val="7030A0"/>
          <w:sz w:val="20"/>
          <w:szCs w:val="20"/>
        </w:rPr>
      </w:pPr>
      <w:r w:rsidRPr="007E2A0D">
        <w:rPr>
          <w:rFonts w:ascii="Malgun Gothic" w:eastAsia="Malgun Gothic" w:hAnsi="Malgun Gothic" w:cs="Times New Roman"/>
          <w:color w:val="0432FF"/>
          <w:sz w:val="20"/>
          <w:szCs w:val="20"/>
        </w:rPr>
        <w:lastRenderedPageBreak/>
        <w:t xml:space="preserve">However, in many accounts describing inhumane psychiatric practices, such contextual approaches are often insufficiently considered, and past psychiatric practices are sometimes evaluated in a linear manner according to contemporary ethical standards (Scull, 2015). Historians have frequently criticized such interpretations as forms of “anachronistic judgment” or presentist interpretation (presentism). Such perspectives risk failing to adequately explain medical practices that were formed within the social conditions and knowledge systems of their time, and may portray the development of medicine as a linear progression, reducing complex processes of trial and error to a simplified narrative of “enlightenment emerging from a dark age” (Blomberg &amp; Rothman, 2002). The use of seclusion and restraint in the management of individuals with mental illness has been identified as one of the domains in the history of medicine where tensions between presentist interpretation and historical context most sharply intersect </w:t>
      </w:r>
      <w:r w:rsidRPr="007E2A0D">
        <w:rPr>
          <w:rFonts w:ascii="Malgun Gothic" w:eastAsia="Malgun Gothic" w:hAnsi="Malgun Gothic" w:cs="Times New Roman"/>
          <w:color w:val="7030A0"/>
          <w:sz w:val="20"/>
          <w:szCs w:val="20"/>
        </w:rPr>
        <w:t>(Scull, 2015</w:t>
      </w:r>
      <w:r w:rsidRPr="007E2A0D">
        <w:rPr>
          <w:rFonts w:ascii="Malgun Gothic" w:eastAsia="Malgun Gothic" w:hAnsi="Malgun Gothic" w:cs="Times New Roman"/>
          <w:color w:val="0432FF"/>
          <w:sz w:val="20"/>
          <w:szCs w:val="20"/>
        </w:rPr>
        <w:t>).</w:t>
      </w:r>
    </w:p>
    <w:p w14:paraId="4C796B31" w14:textId="77777777" w:rsidR="005C2CF0" w:rsidRDefault="001F18E2" w:rsidP="008E0434">
      <w:pPr>
        <w:jc w:val="both"/>
        <w:rPr>
          <w:rFonts w:asciiTheme="minorEastAsia" w:hAnsiTheme="minorEastAsia"/>
          <w:color w:val="0432FF"/>
          <w:sz w:val="20"/>
          <w:szCs w:val="20"/>
        </w:rPr>
      </w:pPr>
      <w:r w:rsidRPr="0014478B">
        <w:rPr>
          <w:rFonts w:asciiTheme="minorEastAsia" w:hAnsiTheme="minorEastAsia" w:hint="eastAsia"/>
          <w:color w:val="0432FF"/>
          <w:sz w:val="20"/>
          <w:szCs w:val="20"/>
        </w:rPr>
        <w:t xml:space="preserve">역사적으로 </w:t>
      </w:r>
      <w:r w:rsidR="009524D8" w:rsidRPr="009524D8">
        <w:rPr>
          <w:rFonts w:asciiTheme="minorEastAsia" w:hAnsiTheme="minorEastAsia" w:hint="eastAsia"/>
          <w:color w:val="0432FF"/>
          <w:sz w:val="20"/>
          <w:szCs w:val="20"/>
        </w:rPr>
        <w:t>사회적 통제(social containment)'의 목적</w:t>
      </w:r>
      <w:r w:rsidR="009524D8">
        <w:rPr>
          <w:rFonts w:asciiTheme="minorEastAsia" w:hAnsiTheme="minorEastAsia" w:hint="eastAsia"/>
          <w:color w:val="0432FF"/>
          <w:sz w:val="20"/>
          <w:szCs w:val="20"/>
        </w:rPr>
        <w:t xml:space="preserve">으로 한 </w:t>
      </w:r>
      <w:r w:rsidR="007451AD" w:rsidRPr="007451AD">
        <w:rPr>
          <w:rFonts w:asciiTheme="minorEastAsia" w:hAnsiTheme="minorEastAsia" w:hint="eastAsia"/>
          <w:color w:val="0432FF"/>
          <w:sz w:val="20"/>
          <w:szCs w:val="20"/>
        </w:rPr>
        <w:t xml:space="preserve">빈민, 노숙자, 장애인 등 </w:t>
      </w:r>
      <w:r w:rsidR="00B67B4A" w:rsidRPr="0014478B">
        <w:rPr>
          <w:rFonts w:asciiTheme="minorEastAsia" w:hAnsiTheme="minorEastAsia" w:hint="eastAsia"/>
          <w:color w:val="0432FF"/>
          <w:sz w:val="20"/>
          <w:szCs w:val="20"/>
        </w:rPr>
        <w:t>사회적 소수자를 수용하는 기관</w:t>
      </w:r>
      <w:r w:rsidR="00B67B4A">
        <w:rPr>
          <w:rFonts w:asciiTheme="minorEastAsia" w:hAnsiTheme="minorEastAsia" w:hint="eastAsia"/>
          <w:color w:val="0432FF"/>
          <w:sz w:val="20"/>
          <w:szCs w:val="20"/>
        </w:rPr>
        <w:t xml:space="preserve">이 </w:t>
      </w:r>
      <w:r w:rsidRPr="0014478B">
        <w:rPr>
          <w:rFonts w:asciiTheme="minorEastAsia" w:hAnsiTheme="minorEastAsia" w:hint="eastAsia"/>
          <w:color w:val="0432FF"/>
          <w:sz w:val="20"/>
          <w:szCs w:val="20"/>
        </w:rPr>
        <w:t>정신병원(asylums)의 출현보다 앞</w:t>
      </w:r>
      <w:r w:rsidR="00EB3C10">
        <w:rPr>
          <w:rFonts w:asciiTheme="minorEastAsia" w:hAnsiTheme="minorEastAsia" w:hint="eastAsia"/>
          <w:color w:val="0432FF"/>
          <w:sz w:val="20"/>
          <w:szCs w:val="20"/>
        </w:rPr>
        <w:t xml:space="preserve">섰으며 </w:t>
      </w:r>
      <w:r w:rsidR="00B67B4A">
        <w:rPr>
          <w:rFonts w:asciiTheme="minorEastAsia" w:hAnsiTheme="minorEastAsia" w:hint="eastAsia"/>
          <w:color w:val="0432FF"/>
          <w:sz w:val="20"/>
          <w:szCs w:val="20"/>
        </w:rPr>
        <w:t>이 가운데 일부</w:t>
      </w:r>
      <w:r w:rsidR="00FD6E36">
        <w:rPr>
          <w:rFonts w:asciiTheme="minorEastAsia" w:hAnsiTheme="minorEastAsia" w:hint="eastAsia"/>
          <w:color w:val="0432FF"/>
          <w:sz w:val="20"/>
          <w:szCs w:val="20"/>
        </w:rPr>
        <w:t>는</w:t>
      </w:r>
      <w:r w:rsidR="007451AD">
        <w:rPr>
          <w:rFonts w:asciiTheme="minorEastAsia" w:hAnsiTheme="minorEastAsia" w:hint="eastAsia"/>
          <w:color w:val="0432FF"/>
          <w:sz w:val="20"/>
          <w:szCs w:val="20"/>
        </w:rPr>
        <w:t xml:space="preserve"> </w:t>
      </w:r>
      <w:r w:rsidRPr="0014478B">
        <w:rPr>
          <w:rFonts w:asciiTheme="minorEastAsia" w:hAnsiTheme="minorEastAsia" w:hint="eastAsia"/>
          <w:color w:val="0432FF"/>
          <w:sz w:val="20"/>
          <w:szCs w:val="20"/>
        </w:rPr>
        <w:t>Bethlem 병원 같</w:t>
      </w:r>
      <w:r w:rsidR="00B67B4A">
        <w:rPr>
          <w:rFonts w:asciiTheme="minorEastAsia" w:hAnsiTheme="minorEastAsia" w:hint="eastAsia"/>
          <w:color w:val="0432FF"/>
          <w:sz w:val="20"/>
          <w:szCs w:val="20"/>
        </w:rPr>
        <w:t xml:space="preserve">이 </w:t>
      </w:r>
      <w:r w:rsidR="00FD6E36">
        <w:rPr>
          <w:rFonts w:asciiTheme="minorEastAsia" w:hAnsiTheme="minorEastAsia" w:hint="eastAsia"/>
          <w:color w:val="0432FF"/>
          <w:sz w:val="20"/>
          <w:szCs w:val="20"/>
        </w:rPr>
        <w:t xml:space="preserve">점차 </w:t>
      </w:r>
      <w:r w:rsidR="007D3E0B">
        <w:rPr>
          <w:rFonts w:asciiTheme="minorEastAsia" w:hAnsiTheme="minorEastAsia" w:hint="eastAsia"/>
          <w:color w:val="0432FF"/>
          <w:sz w:val="20"/>
          <w:szCs w:val="20"/>
        </w:rPr>
        <w:t xml:space="preserve">시간이 지나면서 </w:t>
      </w:r>
      <w:r w:rsidRPr="0014478B">
        <w:rPr>
          <w:rFonts w:asciiTheme="minorEastAsia" w:hAnsiTheme="minorEastAsia" w:hint="eastAsia"/>
          <w:color w:val="0432FF"/>
          <w:sz w:val="20"/>
          <w:szCs w:val="20"/>
        </w:rPr>
        <w:t xml:space="preserve">정신질환자 치료에 </w:t>
      </w:r>
      <w:r w:rsidR="00FD6E36">
        <w:rPr>
          <w:rFonts w:asciiTheme="minorEastAsia" w:hAnsiTheme="minorEastAsia" w:hint="eastAsia"/>
          <w:color w:val="0432FF"/>
          <w:sz w:val="20"/>
          <w:szCs w:val="20"/>
        </w:rPr>
        <w:t>특화되었고</w:t>
      </w:r>
      <w:r w:rsidR="007451AD">
        <w:rPr>
          <w:rFonts w:asciiTheme="minorEastAsia" w:hAnsiTheme="minorEastAsia"/>
          <w:color w:val="0432FF"/>
          <w:sz w:val="20"/>
          <w:szCs w:val="20"/>
        </w:rPr>
        <w:t xml:space="preserve"> </w:t>
      </w:r>
      <w:r w:rsidR="00B67B4A" w:rsidRPr="0014478B">
        <w:rPr>
          <w:rFonts w:asciiTheme="minorEastAsia" w:hAnsiTheme="minorEastAsia" w:hint="eastAsia"/>
          <w:color w:val="0432FF"/>
          <w:sz w:val="20"/>
          <w:szCs w:val="20"/>
        </w:rPr>
        <w:t>치료의 의학적 측면</w:t>
      </w:r>
      <w:r w:rsidR="00EB3C10">
        <w:rPr>
          <w:rFonts w:asciiTheme="minorEastAsia" w:hAnsiTheme="minorEastAsia" w:hint="eastAsia"/>
          <w:color w:val="0432FF"/>
          <w:sz w:val="20"/>
          <w:szCs w:val="20"/>
        </w:rPr>
        <w:t>도</w:t>
      </w:r>
      <w:r w:rsidR="00B67B4A" w:rsidRPr="0014478B">
        <w:rPr>
          <w:rFonts w:asciiTheme="minorEastAsia" w:hAnsiTheme="minorEastAsia" w:hint="eastAsia"/>
          <w:color w:val="0432FF"/>
          <w:sz w:val="20"/>
          <w:szCs w:val="20"/>
        </w:rPr>
        <w:t xml:space="preserve"> </w:t>
      </w:r>
      <w:r w:rsidRPr="0014478B">
        <w:rPr>
          <w:rFonts w:asciiTheme="minorEastAsia" w:hAnsiTheme="minorEastAsia" w:hint="eastAsia"/>
          <w:color w:val="0432FF"/>
          <w:sz w:val="20"/>
          <w:szCs w:val="20"/>
        </w:rPr>
        <w:t>발전했다.</w:t>
      </w:r>
      <w:r w:rsidRPr="0014478B">
        <w:rPr>
          <w:rFonts w:asciiTheme="minorEastAsia" w:hAnsiTheme="minorEastAsia"/>
          <w:color w:val="0432FF"/>
          <w:sz w:val="20"/>
          <w:szCs w:val="20"/>
        </w:rPr>
        <w:t xml:space="preserve"> </w:t>
      </w:r>
      <w:r w:rsidR="00EB3C10">
        <w:rPr>
          <w:rFonts w:asciiTheme="minorEastAsia" w:hAnsiTheme="minorEastAsia" w:hint="eastAsia"/>
          <w:color w:val="0432FF"/>
          <w:sz w:val="20"/>
          <w:szCs w:val="20"/>
        </w:rPr>
        <w:t xml:space="preserve">초기의 </w:t>
      </w:r>
      <w:r w:rsidRPr="0014478B">
        <w:rPr>
          <w:rFonts w:asciiTheme="minorEastAsia" w:hAnsiTheme="minorEastAsia" w:hint="eastAsia"/>
          <w:color w:val="0432FF"/>
          <w:sz w:val="20"/>
          <w:szCs w:val="20"/>
        </w:rPr>
        <w:t>정신과 의사들은 이러한 기관의 행정</w:t>
      </w:r>
      <w:r w:rsidR="007D3E0B">
        <w:rPr>
          <w:rFonts w:asciiTheme="minorEastAsia" w:hAnsiTheme="minorEastAsia" w:hint="eastAsia"/>
          <w:color w:val="0432FF"/>
          <w:sz w:val="20"/>
          <w:szCs w:val="20"/>
        </w:rPr>
        <w:t>과 운영</w:t>
      </w:r>
      <w:r w:rsidR="00EB3C10">
        <w:rPr>
          <w:rFonts w:asciiTheme="minorEastAsia" w:hAnsiTheme="minorEastAsia" w:hint="eastAsia"/>
          <w:color w:val="0432FF"/>
          <w:sz w:val="20"/>
          <w:szCs w:val="20"/>
        </w:rPr>
        <w:t xml:space="preserve">을 </w:t>
      </w:r>
      <w:r w:rsidRPr="0014478B">
        <w:rPr>
          <w:rFonts w:asciiTheme="minorEastAsia" w:hAnsiTheme="minorEastAsia" w:hint="eastAsia"/>
          <w:color w:val="0432FF"/>
          <w:sz w:val="20"/>
          <w:szCs w:val="20"/>
        </w:rPr>
        <w:t xml:space="preserve">맡은 의사들이었지만 시간이 지나면서 </w:t>
      </w:r>
      <w:r w:rsidR="007451AD" w:rsidRPr="0014478B">
        <w:rPr>
          <w:rFonts w:asciiTheme="minorEastAsia" w:hAnsiTheme="minorEastAsia" w:hint="eastAsia"/>
          <w:color w:val="0432FF"/>
          <w:sz w:val="20"/>
          <w:szCs w:val="20"/>
        </w:rPr>
        <w:t>그 안에 수용된 정신장애자들의 분리</w:t>
      </w:r>
      <w:r w:rsidR="007451AD">
        <w:rPr>
          <w:rFonts w:asciiTheme="minorEastAsia" w:hAnsiTheme="minorEastAsia" w:hint="eastAsia"/>
          <w:color w:val="0432FF"/>
          <w:sz w:val="20"/>
          <w:szCs w:val="20"/>
        </w:rPr>
        <w:t xml:space="preserve">도 같이 하여 </w:t>
      </w:r>
      <w:r w:rsidRPr="0014478B">
        <w:rPr>
          <w:rFonts w:asciiTheme="minorEastAsia" w:hAnsiTheme="minorEastAsia" w:hint="eastAsia"/>
          <w:color w:val="0432FF"/>
          <w:sz w:val="20"/>
          <w:szCs w:val="20"/>
        </w:rPr>
        <w:t>점차 환자, 진단, 치료에 특화</w:t>
      </w:r>
      <w:r w:rsidR="00FD6E36">
        <w:rPr>
          <w:rFonts w:asciiTheme="minorEastAsia" w:hAnsiTheme="minorEastAsia" w:hint="eastAsia"/>
          <w:color w:val="0432FF"/>
          <w:sz w:val="20"/>
          <w:szCs w:val="20"/>
        </w:rPr>
        <w:t>된 전문직으로 발전하였다.</w:t>
      </w:r>
      <w:r w:rsidR="00FD6E36">
        <w:rPr>
          <w:rFonts w:asciiTheme="minorEastAsia" w:hAnsiTheme="minorEastAsia"/>
          <w:color w:val="0432FF"/>
          <w:sz w:val="20"/>
          <w:szCs w:val="20"/>
        </w:rPr>
        <w:t xml:space="preserve"> </w:t>
      </w:r>
      <w:r w:rsidR="000C76BC" w:rsidRPr="000C76BC">
        <w:rPr>
          <w:rFonts w:asciiTheme="minorEastAsia" w:hAnsiTheme="minorEastAsia"/>
          <w:color w:val="0432FF"/>
          <w:sz w:val="20"/>
          <w:szCs w:val="20"/>
        </w:rPr>
        <w:t>(</w:t>
      </w:r>
      <w:r w:rsidR="000C76BC" w:rsidRPr="000C76BC">
        <w:rPr>
          <w:rFonts w:asciiTheme="minorEastAsia" w:hAnsiTheme="minorEastAsia"/>
          <w:color w:val="7030A0"/>
          <w:sz w:val="20"/>
          <w:szCs w:val="20"/>
        </w:rPr>
        <w:t xml:space="preserve">Yıldız A, Ekmekci PE, Özüçetin B, Çokaslan LB, Kale E, </w:t>
      </w:r>
      <w:r w:rsidR="000C76BC" w:rsidRPr="000C76BC">
        <w:rPr>
          <w:rFonts w:ascii="Calibri" w:hAnsi="Calibri" w:cs="Calibri"/>
          <w:color w:val="7030A0"/>
          <w:sz w:val="20"/>
          <w:szCs w:val="20"/>
        </w:rPr>
        <w:t>Ş</w:t>
      </w:r>
      <w:r w:rsidR="000C76BC" w:rsidRPr="000C76BC">
        <w:rPr>
          <w:rFonts w:asciiTheme="minorEastAsia" w:hAnsiTheme="minorEastAsia"/>
          <w:color w:val="7030A0"/>
          <w:sz w:val="20"/>
          <w:szCs w:val="20"/>
        </w:rPr>
        <w:t>ekerlisoy MB, Yolda</w:t>
      </w:r>
      <w:r w:rsidR="000C76BC" w:rsidRPr="000C76BC">
        <w:rPr>
          <w:rFonts w:ascii="Calibri" w:hAnsi="Calibri" w:cs="Calibri"/>
          <w:color w:val="7030A0"/>
          <w:sz w:val="20"/>
          <w:szCs w:val="20"/>
        </w:rPr>
        <w:t>ş</w:t>
      </w:r>
      <w:r w:rsidR="000C76BC" w:rsidRPr="000C76BC">
        <w:rPr>
          <w:rFonts w:asciiTheme="minorEastAsia" w:hAnsiTheme="minorEastAsia"/>
          <w:color w:val="7030A0"/>
          <w:sz w:val="20"/>
          <w:szCs w:val="20"/>
        </w:rPr>
        <w:t xml:space="preserve"> S. History of Psychiatry. In Ethical Dilemma in Psychiatry: Real Cases Scenario 2024 May 11 (pp. 9-32). Cham: Springer International Publishing</w:t>
      </w:r>
      <w:r w:rsidR="000C76BC" w:rsidRPr="000C76BC">
        <w:rPr>
          <w:rFonts w:asciiTheme="minorEastAsia" w:hAnsiTheme="minorEastAsia"/>
          <w:color w:val="0432FF"/>
          <w:sz w:val="20"/>
          <w:szCs w:val="20"/>
        </w:rPr>
        <w:t>)</w:t>
      </w:r>
      <w:r w:rsidR="00341AAC">
        <w:rPr>
          <w:rFonts w:asciiTheme="minorEastAsia" w:hAnsiTheme="minorEastAsia"/>
          <w:color w:val="0432FF"/>
          <w:sz w:val="20"/>
          <w:szCs w:val="20"/>
        </w:rPr>
        <w:t xml:space="preserve"> </w:t>
      </w:r>
    </w:p>
    <w:p w14:paraId="69121AFA" w14:textId="77777777" w:rsidR="00B035A3" w:rsidRPr="00B035A3" w:rsidRDefault="00B035A3" w:rsidP="00B035A3">
      <w:pPr>
        <w:jc w:val="both"/>
        <w:rPr>
          <w:rFonts w:asciiTheme="minorEastAsia" w:hAnsiTheme="minorEastAsia"/>
          <w:color w:val="0432FF"/>
          <w:sz w:val="20"/>
          <w:szCs w:val="20"/>
        </w:rPr>
      </w:pPr>
      <w:r w:rsidRPr="00B035A3">
        <w:rPr>
          <w:rFonts w:asciiTheme="minorEastAsia" w:hAnsiTheme="minorEastAsia"/>
          <w:color w:val="0432FF"/>
          <w:sz w:val="20"/>
          <w:szCs w:val="20"/>
        </w:rPr>
        <w:t>Historically, institutions designed to contain marginalized populations—such as the poor, the homeless, and individuals with disabilities—preceded the emergence of specialized psychiatric hospitals (asylums), often serving purposes of social containment. Some of these institutions, including hospitals such as Bethlem, gradually evolved into facilities more specifically devoted to the treatment of mental illness, and over time the medical aspects of care also developed.</w:t>
      </w:r>
    </w:p>
    <w:p w14:paraId="76A1E366" w14:textId="77777777" w:rsidR="00B035A3" w:rsidRPr="00B035A3" w:rsidRDefault="00B035A3" w:rsidP="00B035A3">
      <w:pPr>
        <w:jc w:val="both"/>
        <w:rPr>
          <w:rFonts w:asciiTheme="minorEastAsia" w:hAnsiTheme="minorEastAsia"/>
          <w:color w:val="0432FF"/>
          <w:sz w:val="20"/>
          <w:szCs w:val="20"/>
        </w:rPr>
      </w:pPr>
      <w:r w:rsidRPr="00B035A3">
        <w:rPr>
          <w:rFonts w:asciiTheme="minorEastAsia" w:hAnsiTheme="minorEastAsia"/>
          <w:color w:val="0432FF"/>
          <w:sz w:val="20"/>
          <w:szCs w:val="20"/>
        </w:rPr>
        <w:t>Early psychiatrists were often physicians responsible primarily for the administration and operation of such institutions. However, as time passed and individuals with mental illness began to be distinguished from other institutionalized populations, these physicians gradually developed into specialists focusing on patients, diagnosis, and treatment (Yıldız et al., 2024).</w:t>
      </w:r>
    </w:p>
    <w:p w14:paraId="3B9DC68D" w14:textId="77777777" w:rsidR="00B035A3" w:rsidRDefault="00B035A3" w:rsidP="00AF1577">
      <w:pPr>
        <w:jc w:val="both"/>
        <w:rPr>
          <w:rFonts w:asciiTheme="minorEastAsia" w:hAnsiTheme="minorEastAsia"/>
          <w:color w:val="0432FF"/>
          <w:sz w:val="20"/>
          <w:szCs w:val="20"/>
        </w:rPr>
      </w:pPr>
    </w:p>
    <w:p w14:paraId="2ED6EADD" w14:textId="77777777" w:rsidR="00035776" w:rsidRDefault="000C76BC" w:rsidP="00AF1577">
      <w:pPr>
        <w:jc w:val="both"/>
        <w:rPr>
          <w:rFonts w:asciiTheme="minorEastAsia" w:hAnsiTheme="minorEastAsia"/>
          <w:color w:val="0432FF"/>
          <w:sz w:val="20"/>
          <w:szCs w:val="20"/>
        </w:rPr>
      </w:pPr>
      <w:r w:rsidRPr="00AF1577">
        <w:rPr>
          <w:rFonts w:asciiTheme="minorEastAsia" w:hAnsiTheme="minorEastAsia" w:hint="eastAsia"/>
          <w:color w:val="0432FF"/>
          <w:sz w:val="20"/>
          <w:szCs w:val="20"/>
        </w:rPr>
        <w:t xml:space="preserve">이와 같은 </w:t>
      </w:r>
      <w:r w:rsidR="001F18E2" w:rsidRPr="00AF1577">
        <w:rPr>
          <w:rFonts w:asciiTheme="minorEastAsia" w:hAnsiTheme="minorEastAsia" w:hint="eastAsia"/>
          <w:color w:val="0432FF"/>
          <w:sz w:val="20"/>
          <w:szCs w:val="20"/>
        </w:rPr>
        <w:t>발전이 이루어지는 동안에도 정신</w:t>
      </w:r>
      <w:r w:rsidR="007D3E0B" w:rsidRPr="00AF1577">
        <w:rPr>
          <w:rFonts w:asciiTheme="minorEastAsia" w:hAnsiTheme="minorEastAsia" w:hint="eastAsia"/>
          <w:color w:val="0432FF"/>
          <w:sz w:val="20"/>
          <w:szCs w:val="20"/>
        </w:rPr>
        <w:t>질환</w:t>
      </w:r>
      <w:r w:rsidR="001F18E2" w:rsidRPr="00AF1577">
        <w:rPr>
          <w:rFonts w:asciiTheme="minorEastAsia" w:hAnsiTheme="minorEastAsia" w:hint="eastAsia"/>
          <w:color w:val="0432FF"/>
          <w:sz w:val="20"/>
          <w:szCs w:val="20"/>
        </w:rPr>
        <w:t>자에 대한 치료와 접근 방식</w:t>
      </w:r>
      <w:r w:rsidR="00AF1577" w:rsidRPr="00AF1577">
        <w:rPr>
          <w:rFonts w:asciiTheme="minorEastAsia" w:hAnsiTheme="minorEastAsia" w:hint="eastAsia"/>
          <w:color w:val="0432FF"/>
          <w:sz w:val="20"/>
          <w:szCs w:val="20"/>
        </w:rPr>
        <w:t>과 관련된 비인도적 처우와 부적절한 치료 관행이 지속적으로 보고되었다.</w:t>
      </w:r>
      <w:r w:rsidR="00AF1577" w:rsidRPr="00AF1577">
        <w:rPr>
          <w:rFonts w:asciiTheme="minorEastAsia" w:hAnsiTheme="minorEastAsia"/>
          <w:color w:val="0432FF"/>
          <w:sz w:val="20"/>
          <w:szCs w:val="20"/>
        </w:rPr>
        <w:t xml:space="preserve"> </w:t>
      </w:r>
      <w:r w:rsidR="0031339A">
        <w:rPr>
          <w:rFonts w:asciiTheme="minorEastAsia" w:hAnsiTheme="minorEastAsia" w:hint="eastAsia"/>
          <w:color w:val="0432FF"/>
          <w:sz w:val="20"/>
          <w:szCs w:val="20"/>
        </w:rPr>
        <w:t xml:space="preserve">특히 </w:t>
      </w:r>
      <w:r w:rsidR="0031339A" w:rsidRPr="0031339A">
        <w:rPr>
          <w:rFonts w:asciiTheme="minorEastAsia" w:hAnsiTheme="minorEastAsia" w:hint="eastAsia"/>
          <w:color w:val="0432FF"/>
          <w:sz w:val="20"/>
          <w:szCs w:val="20"/>
        </w:rPr>
        <w:t xml:space="preserve">정신병원 내 수용 능력의 한계는 치료 환경의 심각한 질적 저하를 초래했다. </w:t>
      </w:r>
      <w:r w:rsidR="00E54BAB" w:rsidRPr="00E54BAB">
        <w:rPr>
          <w:rFonts w:asciiTheme="minorEastAsia" w:hAnsiTheme="minorEastAsia" w:hint="eastAsia"/>
          <w:color w:val="0432FF"/>
          <w:sz w:val="20"/>
          <w:szCs w:val="20"/>
        </w:rPr>
        <w:t xml:space="preserve">당시 시행된 사혈이나 충격 요법, 그리고 신체적 </w:t>
      </w:r>
      <w:r w:rsidR="00E54BAB" w:rsidRPr="00E54BAB">
        <w:rPr>
          <w:rFonts w:asciiTheme="minorEastAsia" w:hAnsiTheme="minorEastAsia" w:hint="eastAsia"/>
          <w:color w:val="0432FF"/>
          <w:sz w:val="20"/>
          <w:szCs w:val="20"/>
        </w:rPr>
        <w:lastRenderedPageBreak/>
        <w:t xml:space="preserve">폭력은 현대적 관점에서는 명백한 학대에 해당하지만, 당시 의료진에게는 극도로 흥분한 환자를 무력화하여 일시적인 안정 상태를 확보하기 위한 실용적인 관리 수단으로 정당화되기도 하였다. </w:t>
      </w:r>
      <w:r w:rsidR="00960432">
        <w:rPr>
          <w:rFonts w:asciiTheme="minorEastAsia" w:hAnsiTheme="minorEastAsia"/>
          <w:color w:val="0432FF"/>
          <w:sz w:val="20"/>
          <w:szCs w:val="20"/>
        </w:rPr>
        <w:t>(</w:t>
      </w:r>
      <w:r w:rsidR="00960432" w:rsidRPr="0077791B">
        <w:rPr>
          <w:rFonts w:asciiTheme="minorEastAsia" w:hAnsiTheme="minorEastAsia"/>
          <w:color w:val="7030A0"/>
          <w:sz w:val="20"/>
          <w:szCs w:val="20"/>
        </w:rPr>
        <w:t>Rothman, 1971; Grob, 1994; Scull, 201</w:t>
      </w:r>
      <w:r w:rsidR="0077791B" w:rsidRPr="0077791B">
        <w:rPr>
          <w:rFonts w:asciiTheme="minorEastAsia" w:hAnsiTheme="minorEastAsia"/>
          <w:color w:val="7030A0"/>
          <w:sz w:val="20"/>
          <w:szCs w:val="20"/>
        </w:rPr>
        <w:t>5</w:t>
      </w:r>
      <w:r w:rsidR="00960432">
        <w:rPr>
          <w:rFonts w:asciiTheme="minorEastAsia" w:hAnsiTheme="minorEastAsia"/>
          <w:color w:val="0432FF"/>
          <w:sz w:val="20"/>
          <w:szCs w:val="20"/>
        </w:rPr>
        <w:t xml:space="preserve">) </w:t>
      </w:r>
      <w:r w:rsidR="00E54BAB" w:rsidRPr="00E54BAB">
        <w:rPr>
          <w:rFonts w:asciiTheme="minorEastAsia" w:hAnsiTheme="minorEastAsia" w:hint="eastAsia"/>
          <w:color w:val="0432FF"/>
          <w:sz w:val="20"/>
          <w:szCs w:val="20"/>
        </w:rPr>
        <w:t>이러한 조치들은 환자의 외적 행동을 일시적으로 억제함으로써 마치 치료적 효과가 있는 것처럼 간주되었고, 동시에 과밀한 병동 환경과 제한된 인력 속에서 환자 관리의 편의와 질서 유지를 위한 제도적 통제 수단으로 기능하기도 하였다. 그 결과 이러한 비인도적 관행은 오랜 기간 지속될 수 있는 배경</w:t>
      </w:r>
      <w:r w:rsidR="00E54BAB">
        <w:rPr>
          <w:rFonts w:asciiTheme="minorEastAsia" w:hAnsiTheme="minorEastAsia" w:hint="eastAsia"/>
          <w:color w:val="0432FF"/>
          <w:sz w:val="20"/>
          <w:szCs w:val="20"/>
        </w:rPr>
        <w:t xml:space="preserve">이 </w:t>
      </w:r>
      <w:r w:rsidR="00E54BAB" w:rsidRPr="00E54BAB">
        <w:rPr>
          <w:rFonts w:asciiTheme="minorEastAsia" w:hAnsiTheme="minorEastAsia" w:hint="eastAsia"/>
          <w:color w:val="0432FF"/>
          <w:sz w:val="20"/>
          <w:szCs w:val="20"/>
        </w:rPr>
        <w:t>되었다.</w:t>
      </w:r>
      <w:r w:rsidR="00E54BAB">
        <w:rPr>
          <w:rFonts w:asciiTheme="minorEastAsia" w:hAnsiTheme="minorEastAsia"/>
          <w:color w:val="0432FF"/>
          <w:sz w:val="20"/>
          <w:szCs w:val="20"/>
        </w:rPr>
        <w:t xml:space="preserve"> </w:t>
      </w:r>
      <w:r w:rsidR="004B1355" w:rsidRPr="004B1355">
        <w:rPr>
          <w:rFonts w:asciiTheme="minorEastAsia" w:hAnsiTheme="minorEastAsia" w:hint="eastAsia"/>
          <w:color w:val="0432FF"/>
          <w:sz w:val="20"/>
          <w:szCs w:val="20"/>
        </w:rPr>
        <w:t>이러한 구조적 요인은 형태는 달라졌지만 오늘날의 정신과 임상에서도 여전히 중요한 문제로 남아 있</w:t>
      </w:r>
      <w:r w:rsidR="004B1355">
        <w:rPr>
          <w:rFonts w:asciiTheme="minorEastAsia" w:hAnsiTheme="minorEastAsia" w:hint="eastAsia"/>
          <w:color w:val="0432FF"/>
          <w:sz w:val="20"/>
          <w:szCs w:val="20"/>
        </w:rPr>
        <w:t>다고 볼 수 있다.</w:t>
      </w:r>
      <w:r w:rsidR="004B1355">
        <w:rPr>
          <w:rFonts w:asciiTheme="minorEastAsia" w:hAnsiTheme="minorEastAsia"/>
          <w:color w:val="0432FF"/>
          <w:sz w:val="20"/>
          <w:szCs w:val="20"/>
        </w:rPr>
        <w:t xml:space="preserve"> </w:t>
      </w:r>
    </w:p>
    <w:p w14:paraId="05FCD962" w14:textId="77777777" w:rsidR="004B1355" w:rsidRPr="004B1355" w:rsidRDefault="004B1355" w:rsidP="004B1355">
      <w:pPr>
        <w:jc w:val="both"/>
        <w:rPr>
          <w:rFonts w:asciiTheme="minorEastAsia" w:hAnsiTheme="minorEastAsia"/>
          <w:color w:val="0432FF"/>
          <w:sz w:val="20"/>
          <w:szCs w:val="20"/>
        </w:rPr>
      </w:pPr>
      <w:r w:rsidRPr="004B1355">
        <w:rPr>
          <w:rFonts w:asciiTheme="minorEastAsia" w:hAnsiTheme="minorEastAsia"/>
          <w:color w:val="0432FF"/>
          <w:sz w:val="20"/>
          <w:szCs w:val="20"/>
        </w:rPr>
        <w:t>Despite these developments, inhumane treatment and inappropriate therapeutic practices in the care of individuals with mental illness continued to be reported. In particular, the limited capacity of psychiatric institutions often led to a severe deterioration in the quality of the treatment environment. Practices such as bloodletting, shock therapies, and even physical violence would clearly be regarded as abusive from a modern perspective; however, at the time they were often justified by medical staff as practical means of subduing highly agitated patients and securing temporary stability (Rothman, 1971; Grob, 1994; Scull, 2015).</w:t>
      </w:r>
    </w:p>
    <w:p w14:paraId="502C47D0" w14:textId="77777777" w:rsidR="004B1355" w:rsidRDefault="004B1355" w:rsidP="004B1355">
      <w:pPr>
        <w:jc w:val="both"/>
        <w:rPr>
          <w:rFonts w:asciiTheme="minorEastAsia" w:hAnsiTheme="minorEastAsia"/>
          <w:color w:val="0432FF"/>
          <w:sz w:val="20"/>
          <w:szCs w:val="20"/>
        </w:rPr>
      </w:pPr>
      <w:r w:rsidRPr="004B1355">
        <w:rPr>
          <w:rFonts w:asciiTheme="minorEastAsia" w:hAnsiTheme="minorEastAsia"/>
          <w:color w:val="0432FF"/>
          <w:sz w:val="20"/>
          <w:szCs w:val="20"/>
        </w:rPr>
        <w:t>Such measures were sometimes perceived as having therapeutic value because they temporarily suppressed patients’ overt behaviors, while also functioning as institutional mechanisms for maintaining order and facilitating patient management in overcrowded wards with limited staff. Consequently, these inhumane practices were able to persist for long periods. Although their forms have changed, the structural factors that sustained them can still be considered important issues in contemporary psychiatric practice.</w:t>
      </w:r>
    </w:p>
    <w:p w14:paraId="4DCBCDC7" w14:textId="77777777" w:rsidR="00D90813" w:rsidRDefault="00AF1577" w:rsidP="004B1355">
      <w:pPr>
        <w:jc w:val="both"/>
        <w:rPr>
          <w:rFonts w:ascii="Malgun Gothic" w:eastAsia="Malgun Gothic" w:hAnsi="Malgun Gothic" w:cs="Times New Roman"/>
          <w:color w:val="0432FF"/>
          <w:sz w:val="20"/>
          <w:szCs w:val="20"/>
        </w:rPr>
      </w:pPr>
      <w:r>
        <w:rPr>
          <w:rFonts w:asciiTheme="minorEastAsia" w:hAnsiTheme="minorEastAsia" w:hint="eastAsia"/>
          <w:color w:val="0432FF"/>
          <w:sz w:val="20"/>
          <w:szCs w:val="20"/>
        </w:rPr>
        <w:t xml:space="preserve">이런 맥락에서 </w:t>
      </w:r>
      <w:r w:rsidR="009C2A84">
        <w:rPr>
          <w:rFonts w:asciiTheme="minorEastAsia" w:hAnsiTheme="minorEastAsia" w:hint="eastAsia"/>
          <w:color w:val="0432FF"/>
          <w:sz w:val="20"/>
          <w:szCs w:val="20"/>
        </w:rPr>
        <w:t>자</w:t>
      </w:r>
      <w:r w:rsidR="0051444B">
        <w:rPr>
          <w:rFonts w:asciiTheme="minorEastAsia" w:hAnsiTheme="minorEastAsia" w:hint="eastAsia"/>
          <w:color w:val="0432FF"/>
          <w:sz w:val="20"/>
          <w:szCs w:val="20"/>
        </w:rPr>
        <w:t xml:space="preserve">유 평등 이념을 </w:t>
      </w:r>
      <w:r w:rsidR="009C2A84">
        <w:rPr>
          <w:rFonts w:asciiTheme="minorEastAsia" w:hAnsiTheme="minorEastAsia" w:hint="eastAsia"/>
          <w:color w:val="0432FF"/>
          <w:sz w:val="20"/>
          <w:szCs w:val="20"/>
        </w:rPr>
        <w:t xml:space="preserve">기치로 한 </w:t>
      </w:r>
      <w:r w:rsidR="009C2A84" w:rsidRPr="009C2A84">
        <w:rPr>
          <w:rFonts w:asciiTheme="minorEastAsia" w:hAnsiTheme="minorEastAsia" w:hint="eastAsia"/>
          <w:color w:val="0432FF"/>
          <w:sz w:val="20"/>
          <w:szCs w:val="20"/>
        </w:rPr>
        <w:t>프랑스 혁명(1789~1799)이 절정에 달한 시기인</w:t>
      </w:r>
      <w:r w:rsidR="003A014F" w:rsidRPr="003A014F">
        <w:rPr>
          <w:rFonts w:asciiTheme="minorEastAsia" w:hAnsiTheme="minorEastAsia" w:hint="eastAsia"/>
          <w:color w:val="0432FF"/>
          <w:sz w:val="20"/>
          <w:szCs w:val="20"/>
        </w:rPr>
        <w:t xml:space="preserve">18세기 </w:t>
      </w:r>
      <w:r>
        <w:rPr>
          <w:rFonts w:asciiTheme="minorEastAsia" w:hAnsiTheme="minorEastAsia" w:hint="eastAsia"/>
          <w:color w:val="0432FF"/>
          <w:sz w:val="20"/>
          <w:szCs w:val="20"/>
        </w:rPr>
        <w:t xml:space="preserve">말 </w:t>
      </w:r>
      <w:r w:rsidR="009C2A84" w:rsidRPr="009C2A84">
        <w:rPr>
          <w:rFonts w:asciiTheme="minorEastAsia" w:hAnsiTheme="minorEastAsia" w:hint="eastAsia"/>
          <w:color w:val="0432FF"/>
          <w:sz w:val="20"/>
          <w:szCs w:val="20"/>
        </w:rPr>
        <w:t>비세트르(Bicêtre)</w:t>
      </w:r>
      <w:r w:rsidR="009C2A84">
        <w:rPr>
          <w:rFonts w:asciiTheme="minorEastAsia" w:hAnsiTheme="minorEastAsia"/>
          <w:color w:val="0432FF"/>
          <w:sz w:val="20"/>
          <w:szCs w:val="20"/>
        </w:rPr>
        <w:t xml:space="preserve"> </w:t>
      </w:r>
      <w:r w:rsidR="009C2A84" w:rsidRPr="009C2A84">
        <w:rPr>
          <w:rFonts w:asciiTheme="minorEastAsia" w:hAnsiTheme="minorEastAsia" w:hint="eastAsia"/>
          <w:color w:val="0432FF"/>
          <w:sz w:val="20"/>
          <w:szCs w:val="20"/>
        </w:rPr>
        <w:t>수용소</w:t>
      </w:r>
      <w:r w:rsidR="009C2A84">
        <w:rPr>
          <w:rFonts w:asciiTheme="minorEastAsia" w:hAnsiTheme="minorEastAsia" w:hint="eastAsia"/>
          <w:color w:val="0432FF"/>
          <w:sz w:val="20"/>
          <w:szCs w:val="20"/>
        </w:rPr>
        <w:t xml:space="preserve"> </w:t>
      </w:r>
      <w:r w:rsidR="009C2A84" w:rsidRPr="009C2A84">
        <w:rPr>
          <w:rFonts w:asciiTheme="minorEastAsia" w:hAnsiTheme="minorEastAsia" w:hint="eastAsia"/>
          <w:color w:val="0432FF"/>
          <w:sz w:val="20"/>
          <w:szCs w:val="20"/>
        </w:rPr>
        <w:t>병동 담당</w:t>
      </w:r>
      <w:r w:rsidR="009C2A84">
        <w:rPr>
          <w:rFonts w:asciiTheme="minorEastAsia" w:hAnsiTheme="minorEastAsia" w:hint="eastAsia"/>
          <w:color w:val="0432FF"/>
          <w:sz w:val="20"/>
          <w:szCs w:val="20"/>
        </w:rPr>
        <w:t xml:space="preserve"> 수석의사인 </w:t>
      </w:r>
      <w:r w:rsidR="003A014F" w:rsidRPr="003A014F">
        <w:rPr>
          <w:rFonts w:asciiTheme="minorEastAsia" w:hAnsiTheme="minorEastAsia" w:hint="eastAsia"/>
          <w:color w:val="0432FF"/>
          <w:sz w:val="20"/>
          <w:szCs w:val="20"/>
        </w:rPr>
        <w:t xml:space="preserve">필리프 피넬(Philippe Pinel)이 </w:t>
      </w:r>
      <w:r w:rsidR="009C2A84" w:rsidRPr="009C2A84">
        <w:rPr>
          <w:rFonts w:asciiTheme="minorEastAsia" w:hAnsiTheme="minorEastAsia" w:hint="eastAsia"/>
          <w:color w:val="0432FF"/>
          <w:sz w:val="20"/>
          <w:szCs w:val="20"/>
        </w:rPr>
        <w:t>비의료 감독관이었던 장-바티스트 퓌생</w:t>
      </w:r>
      <w:r w:rsidR="009C2A84">
        <w:rPr>
          <w:rFonts w:asciiTheme="minorEastAsia" w:hAnsiTheme="minorEastAsia" w:hint="eastAsia"/>
          <w:color w:val="0432FF"/>
          <w:sz w:val="20"/>
          <w:szCs w:val="20"/>
        </w:rPr>
        <w:t xml:space="preserve"> </w:t>
      </w:r>
      <w:r w:rsidR="009C2A84">
        <w:rPr>
          <w:rFonts w:asciiTheme="minorEastAsia" w:hAnsiTheme="minorEastAsia"/>
          <w:color w:val="0432FF"/>
          <w:sz w:val="20"/>
          <w:szCs w:val="20"/>
        </w:rPr>
        <w:t>(</w:t>
      </w:r>
      <w:r w:rsidR="009C2A84" w:rsidRPr="009C2A84">
        <w:rPr>
          <w:rFonts w:asciiTheme="minorEastAsia" w:hAnsiTheme="minorEastAsia"/>
          <w:color w:val="0432FF"/>
          <w:sz w:val="20"/>
          <w:szCs w:val="20"/>
        </w:rPr>
        <w:t>Jean-Baptiste Pussi</w:t>
      </w:r>
      <w:r w:rsidR="009C2A84">
        <w:rPr>
          <w:rFonts w:asciiTheme="minorEastAsia" w:hAnsiTheme="minorEastAsia"/>
          <w:color w:val="0432FF"/>
          <w:sz w:val="20"/>
          <w:szCs w:val="20"/>
        </w:rPr>
        <w:t>)</w:t>
      </w:r>
      <w:r w:rsidR="009C2A84">
        <w:rPr>
          <w:rFonts w:asciiTheme="minorEastAsia" w:hAnsiTheme="minorEastAsia" w:hint="eastAsia"/>
          <w:color w:val="0432FF"/>
          <w:sz w:val="20"/>
          <w:szCs w:val="20"/>
        </w:rPr>
        <w:t xml:space="preserve">에게 </w:t>
      </w:r>
      <w:r w:rsidR="003A014F" w:rsidRPr="003A014F">
        <w:rPr>
          <w:rFonts w:asciiTheme="minorEastAsia" w:hAnsiTheme="minorEastAsia" w:hint="eastAsia"/>
          <w:color w:val="0432FF"/>
          <w:sz w:val="20"/>
          <w:szCs w:val="20"/>
        </w:rPr>
        <w:t>정신질환자를 구속하던 사슬을 제거</w:t>
      </w:r>
      <w:r w:rsidR="009C2A84">
        <w:rPr>
          <w:rFonts w:asciiTheme="minorEastAsia" w:hAnsiTheme="minorEastAsia" w:hint="eastAsia"/>
          <w:color w:val="0432FF"/>
          <w:sz w:val="20"/>
          <w:szCs w:val="20"/>
        </w:rPr>
        <w:t xml:space="preserve">할 수 있는 권한을 부여한 </w:t>
      </w:r>
      <w:r w:rsidR="003A014F" w:rsidRPr="003A014F">
        <w:rPr>
          <w:rFonts w:asciiTheme="minorEastAsia" w:hAnsiTheme="minorEastAsia" w:hint="eastAsia"/>
          <w:color w:val="0432FF"/>
          <w:sz w:val="20"/>
          <w:szCs w:val="20"/>
        </w:rPr>
        <w:t xml:space="preserve">사건은 정신의학 역사에서 상징적인 전환점으로 자주 언급된다. </w:t>
      </w:r>
      <w:r w:rsidR="000E0171">
        <w:rPr>
          <w:rFonts w:asciiTheme="minorEastAsia" w:hAnsiTheme="minorEastAsia"/>
          <w:color w:val="0432FF"/>
          <w:sz w:val="20"/>
          <w:szCs w:val="20"/>
        </w:rPr>
        <w:t>(</w:t>
      </w:r>
      <w:r w:rsidR="0051444B" w:rsidRPr="0051444B">
        <w:rPr>
          <w:rFonts w:asciiTheme="minorEastAsia" w:hAnsiTheme="minorEastAsia"/>
          <w:color w:val="0432FF"/>
          <w:sz w:val="20"/>
          <w:szCs w:val="20"/>
        </w:rPr>
        <w:t>Shorter E. A historical dictionary of psychiatry. Oxford University Press; 2005 Feb 17</w:t>
      </w:r>
      <w:r w:rsidR="0051444B">
        <w:rPr>
          <w:rFonts w:asciiTheme="minorEastAsia" w:hAnsiTheme="minorEastAsia"/>
          <w:color w:val="0432FF"/>
          <w:sz w:val="20"/>
          <w:szCs w:val="20"/>
        </w:rPr>
        <w:t xml:space="preserve">; </w:t>
      </w:r>
      <w:r w:rsidR="000E0171" w:rsidRPr="00E74A1F">
        <w:rPr>
          <w:rFonts w:asciiTheme="minorEastAsia" w:hAnsiTheme="minorEastAsia" w:hint="eastAsia"/>
          <w:color w:val="7030A0"/>
          <w:sz w:val="20"/>
          <w:szCs w:val="20"/>
        </w:rPr>
        <w:t>강성은2021</w:t>
      </w:r>
      <w:r w:rsidR="000E0171">
        <w:rPr>
          <w:rFonts w:asciiTheme="minorEastAsia" w:hAnsiTheme="minorEastAsia"/>
          <w:color w:val="7030A0"/>
          <w:sz w:val="20"/>
          <w:szCs w:val="20"/>
        </w:rPr>
        <w:t xml:space="preserve">; </w:t>
      </w:r>
      <w:r w:rsidR="000E0171" w:rsidRPr="00E74A1F">
        <w:rPr>
          <w:rFonts w:asciiTheme="minorEastAsia" w:hAnsiTheme="minorEastAsia"/>
          <w:color w:val="7030A0"/>
          <w:sz w:val="20"/>
          <w:szCs w:val="20"/>
        </w:rPr>
        <w:t>Kang Seong-eun. (2021). Medical Modernity Revealed in the Methodology of Psychiatry in Philippe Pinel(1745-1826). Yonsei Journal of Medical History, 24(1), 113-140</w:t>
      </w:r>
      <w:r w:rsidR="000E0171">
        <w:rPr>
          <w:rFonts w:asciiTheme="minorEastAsia" w:hAnsiTheme="minorEastAsia"/>
          <w:color w:val="7030A0"/>
          <w:sz w:val="20"/>
          <w:szCs w:val="20"/>
        </w:rPr>
        <w:t xml:space="preserve">) </w:t>
      </w:r>
      <w:r w:rsidR="003A014F">
        <w:rPr>
          <w:rFonts w:asciiTheme="minorEastAsia" w:hAnsiTheme="minorEastAsia"/>
          <w:color w:val="7030A0"/>
          <w:sz w:val="20"/>
          <w:szCs w:val="20"/>
        </w:rPr>
        <w:t>(</w:t>
      </w:r>
      <w:r w:rsidR="003A014F">
        <w:rPr>
          <w:rFonts w:asciiTheme="minorEastAsia" w:hAnsiTheme="minorEastAsia" w:hint="eastAsia"/>
          <w:color w:val="7030A0"/>
          <w:sz w:val="20"/>
          <w:szCs w:val="20"/>
        </w:rPr>
        <w:t>각주:</w:t>
      </w:r>
      <w:r w:rsidR="003A014F">
        <w:rPr>
          <w:rFonts w:asciiTheme="minorEastAsia" w:hAnsiTheme="minorEastAsia"/>
          <w:color w:val="7030A0"/>
          <w:sz w:val="20"/>
          <w:szCs w:val="20"/>
        </w:rPr>
        <w:t xml:space="preserve"> </w:t>
      </w:r>
      <w:r w:rsidR="003A014F" w:rsidRPr="00742433">
        <w:rPr>
          <w:rFonts w:asciiTheme="minorEastAsia" w:hAnsiTheme="minorEastAsia" w:hint="eastAsia"/>
          <w:color w:val="7030A0"/>
          <w:sz w:val="20"/>
          <w:szCs w:val="20"/>
        </w:rPr>
        <w:t xml:space="preserve">이를 </w:t>
      </w:r>
      <w:r w:rsidR="000E0171" w:rsidRPr="00742433">
        <w:rPr>
          <w:rFonts w:asciiTheme="minorEastAsia" w:hAnsiTheme="minorEastAsia" w:hint="eastAsia"/>
          <w:color w:val="7030A0"/>
          <w:sz w:val="20"/>
          <w:szCs w:val="20"/>
        </w:rPr>
        <w:t xml:space="preserve">기념하여 조현병에 대한 인식을 높이고 질환에 대한 오해를 줄이기 위해 </w:t>
      </w:r>
      <w:r w:rsidR="00CE13E0" w:rsidRPr="00742433">
        <w:rPr>
          <w:rFonts w:asciiTheme="minorEastAsia" w:hAnsiTheme="minorEastAsia" w:hint="eastAsia"/>
          <w:color w:val="7030A0"/>
          <w:sz w:val="20"/>
          <w:szCs w:val="20"/>
        </w:rPr>
        <w:t>5월 24일은 ‘세계 조현병 인식의 날(World Schizophrenia Awareness Day)로 지정</w:t>
      </w:r>
      <w:r w:rsidR="000E0171" w:rsidRPr="00742433">
        <w:rPr>
          <w:rFonts w:asciiTheme="minorEastAsia" w:hAnsiTheme="minorEastAsia" w:hint="eastAsia"/>
          <w:color w:val="7030A0"/>
          <w:sz w:val="20"/>
          <w:szCs w:val="20"/>
        </w:rPr>
        <w:t>하였</w:t>
      </w:r>
      <w:r w:rsidR="00CE13E0" w:rsidRPr="00742433">
        <w:rPr>
          <w:rFonts w:asciiTheme="minorEastAsia" w:hAnsiTheme="minorEastAsia" w:hint="eastAsia"/>
          <w:color w:val="7030A0"/>
          <w:sz w:val="20"/>
          <w:szCs w:val="20"/>
        </w:rPr>
        <w:t>다</w:t>
      </w:r>
      <w:r w:rsidR="000E0171" w:rsidRPr="00742433">
        <w:rPr>
          <w:rFonts w:asciiTheme="minorEastAsia" w:hAnsiTheme="minorEastAsia" w:hint="eastAsia"/>
          <w:color w:val="7030A0"/>
          <w:sz w:val="20"/>
          <w:szCs w:val="20"/>
        </w:rPr>
        <w:t>.</w:t>
      </w:r>
      <w:r w:rsidR="000E0171" w:rsidRPr="00742433">
        <w:rPr>
          <w:rFonts w:asciiTheme="minorEastAsia" w:hAnsiTheme="minorEastAsia"/>
          <w:color w:val="7030A0"/>
          <w:sz w:val="20"/>
          <w:szCs w:val="20"/>
        </w:rPr>
        <w:t xml:space="preserve"> </w:t>
      </w:r>
      <w:r w:rsidR="000E0171" w:rsidRPr="00742433">
        <w:rPr>
          <w:rFonts w:asciiTheme="minorEastAsia" w:hAnsiTheme="minorEastAsia" w:hint="eastAsia"/>
          <w:color w:val="7030A0"/>
          <w:sz w:val="20"/>
          <w:szCs w:val="20"/>
        </w:rPr>
        <w:t>국립정신건강 센터 자료집-</w:t>
      </w:r>
      <w:r w:rsidR="000E0171" w:rsidRPr="00742433">
        <w:rPr>
          <w:rFonts w:asciiTheme="minorEastAsia" w:hAnsiTheme="minorEastAsia"/>
          <w:color w:val="7030A0"/>
          <w:sz w:val="20"/>
          <w:szCs w:val="20"/>
        </w:rPr>
        <w:t xml:space="preserve">2026 0307 </w:t>
      </w:r>
      <w:r w:rsidR="000E0171" w:rsidRPr="00742433">
        <w:rPr>
          <w:rFonts w:asciiTheme="minorEastAsia" w:hAnsiTheme="minorEastAsia" w:hint="eastAsia"/>
          <w:color w:val="7030A0"/>
          <w:sz w:val="20"/>
          <w:szCs w:val="20"/>
        </w:rPr>
        <w:t>접속</w:t>
      </w:r>
      <w:r w:rsidR="000E0171">
        <w:rPr>
          <w:rFonts w:asciiTheme="minorEastAsia" w:hAnsiTheme="minorEastAsia"/>
          <w:color w:val="0432FF"/>
          <w:sz w:val="20"/>
          <w:szCs w:val="20"/>
        </w:rPr>
        <w:t xml:space="preserve">) </w:t>
      </w:r>
      <w:r w:rsidR="00A53FA5" w:rsidRPr="00626089">
        <w:rPr>
          <w:rFonts w:asciiTheme="minorEastAsia" w:hAnsiTheme="minorEastAsia" w:hint="eastAsia"/>
          <w:color w:val="0432FF"/>
          <w:sz w:val="20"/>
          <w:szCs w:val="20"/>
        </w:rPr>
        <w:t xml:space="preserve">이후 </w:t>
      </w:r>
      <w:r w:rsidR="00A53FA5" w:rsidRPr="00CE13E0">
        <w:rPr>
          <w:rFonts w:asciiTheme="minorEastAsia" w:hAnsiTheme="minorEastAsia" w:hint="eastAsia"/>
          <w:color w:val="0432FF"/>
          <w:sz w:val="20"/>
          <w:szCs w:val="20"/>
        </w:rPr>
        <w:t xml:space="preserve">환자의 상태를 세심하게 관찰하고 개인의 체질과 자연적 회복력을 중시하는 </w:t>
      </w:r>
      <w:r w:rsidR="00A53FA5" w:rsidRPr="00626089">
        <w:rPr>
          <w:rFonts w:asciiTheme="minorEastAsia" w:hAnsiTheme="minorEastAsia" w:hint="eastAsia"/>
          <w:color w:val="0432FF"/>
          <w:sz w:val="20"/>
          <w:szCs w:val="20"/>
        </w:rPr>
        <w:t>인도적 치료</w:t>
      </w:r>
      <w:r w:rsidR="00A53FA5">
        <w:rPr>
          <w:rFonts w:asciiTheme="minorEastAsia" w:hAnsiTheme="minorEastAsia"/>
          <w:color w:val="0432FF"/>
          <w:sz w:val="20"/>
          <w:szCs w:val="20"/>
        </w:rPr>
        <w:t>/</w:t>
      </w:r>
      <w:r w:rsidR="00A53FA5">
        <w:rPr>
          <w:rFonts w:asciiTheme="minorEastAsia" w:hAnsiTheme="minorEastAsia" w:hint="eastAsia"/>
          <w:color w:val="0432FF"/>
          <w:sz w:val="20"/>
          <w:szCs w:val="20"/>
        </w:rPr>
        <w:t xml:space="preserve">도덕적치료 </w:t>
      </w:r>
      <w:r w:rsidR="00A53FA5">
        <w:rPr>
          <w:rFonts w:asciiTheme="minorEastAsia" w:hAnsiTheme="minorEastAsia"/>
          <w:color w:val="0432FF"/>
          <w:sz w:val="20"/>
          <w:szCs w:val="20"/>
        </w:rPr>
        <w:t>(</w:t>
      </w:r>
      <w:r w:rsidR="00A53FA5" w:rsidRPr="00626089">
        <w:rPr>
          <w:rFonts w:asciiTheme="minorEastAsia" w:hAnsiTheme="minorEastAsia" w:hint="eastAsia"/>
          <w:color w:val="0432FF"/>
          <w:sz w:val="20"/>
          <w:szCs w:val="20"/>
        </w:rPr>
        <w:t>humane or moral treatment)의 개념이 확산되었</w:t>
      </w:r>
      <w:r w:rsidR="00A53FA5">
        <w:rPr>
          <w:rFonts w:asciiTheme="minorEastAsia" w:hAnsiTheme="minorEastAsia" w:hint="eastAsia"/>
          <w:color w:val="0432FF"/>
          <w:sz w:val="20"/>
          <w:szCs w:val="20"/>
        </w:rPr>
        <w:t xml:space="preserve">는 데 이는 </w:t>
      </w:r>
      <w:r w:rsidR="00A53FA5" w:rsidRPr="00540B15">
        <w:rPr>
          <w:rFonts w:asciiTheme="minorEastAsia" w:hAnsiTheme="minorEastAsia" w:hint="eastAsia"/>
          <w:color w:val="0432FF"/>
          <w:sz w:val="20"/>
          <w:szCs w:val="20"/>
        </w:rPr>
        <w:t>고전 의학에서 강조되었던 관찰 중심의 치료 전통과 일정한 연속성을 지니는 것으로 이해될 수 있</w:t>
      </w:r>
      <w:r w:rsidR="00A53FA5">
        <w:rPr>
          <w:rFonts w:asciiTheme="minorEastAsia" w:hAnsiTheme="minorEastAsia" w:hint="eastAsia"/>
          <w:color w:val="0432FF"/>
          <w:sz w:val="20"/>
          <w:szCs w:val="20"/>
        </w:rPr>
        <w:t>다</w:t>
      </w:r>
      <w:r w:rsidR="00A53FA5" w:rsidRPr="00626089">
        <w:rPr>
          <w:rFonts w:asciiTheme="minorEastAsia" w:hAnsiTheme="minorEastAsia"/>
          <w:color w:val="0432FF"/>
          <w:sz w:val="20"/>
          <w:szCs w:val="20"/>
        </w:rPr>
        <w:t xml:space="preserve"> </w:t>
      </w:r>
      <w:r w:rsidR="00A53FA5">
        <w:rPr>
          <w:rFonts w:asciiTheme="minorEastAsia" w:hAnsiTheme="minorEastAsia"/>
          <w:color w:val="0432FF"/>
          <w:sz w:val="20"/>
          <w:szCs w:val="20"/>
        </w:rPr>
        <w:t>(</w:t>
      </w:r>
      <w:r w:rsidR="00A53FA5" w:rsidRPr="00E74A1F">
        <w:rPr>
          <w:rFonts w:asciiTheme="minorEastAsia" w:hAnsiTheme="minorEastAsia" w:hint="eastAsia"/>
          <w:color w:val="7030A0"/>
          <w:sz w:val="20"/>
          <w:szCs w:val="20"/>
        </w:rPr>
        <w:t>강성은202</w:t>
      </w:r>
      <w:r w:rsidR="00A53FA5">
        <w:rPr>
          <w:rFonts w:asciiTheme="minorEastAsia" w:hAnsiTheme="minorEastAsia"/>
          <w:color w:val="7030A0"/>
          <w:sz w:val="20"/>
          <w:szCs w:val="20"/>
        </w:rPr>
        <w:t xml:space="preserve">1). </w:t>
      </w:r>
      <w:r w:rsidR="00A53FA5" w:rsidRPr="00A53FA5">
        <w:rPr>
          <w:rFonts w:asciiTheme="minorEastAsia" w:hAnsiTheme="minorEastAsia" w:hint="eastAsia"/>
          <w:color w:val="0432FF"/>
          <w:sz w:val="20"/>
          <w:szCs w:val="20"/>
        </w:rPr>
        <w:t xml:space="preserve">이에 대하여 베리오스(G. Berrios)는 피넬이 시작한 인도주의적 변화가 바탕이 되어, </w:t>
      </w:r>
      <w:r w:rsidR="00A53FA5" w:rsidRPr="00A53FA5">
        <w:rPr>
          <w:rFonts w:asciiTheme="minorEastAsia" w:hAnsiTheme="minorEastAsia" w:hint="eastAsia"/>
          <w:color w:val="0432FF"/>
          <w:sz w:val="20"/>
          <w:szCs w:val="20"/>
        </w:rPr>
        <w:lastRenderedPageBreak/>
        <w:t>그 뒤를 이은 19세기의 'Alienist(정신병 의사)'들이 비로소 환자의 행동과 말을 세밀하게 관찰하고 이를 의학적 용어로 기록하기 시작했다고 본다. 즉, 과거의 야만적인 관행이 한계에 부딪히면서 "환자를 고문할 게 아니라 증상을 세밀하게 관찰·기록해야 한다"는 반성이 현대 기술 정신병리학의 시초가 되었다는 것이다.</w:t>
      </w:r>
      <w:r w:rsidR="00FD244A">
        <w:rPr>
          <w:rFonts w:asciiTheme="minorEastAsia" w:hAnsiTheme="minorEastAsia"/>
          <w:color w:val="0432FF"/>
          <w:sz w:val="20"/>
          <w:szCs w:val="20"/>
        </w:rPr>
        <w:t xml:space="preserve"> </w:t>
      </w:r>
      <w:r w:rsidR="0077791B">
        <w:rPr>
          <w:rFonts w:asciiTheme="minorEastAsia" w:hAnsiTheme="minorEastAsia"/>
          <w:color w:val="0432FF"/>
          <w:sz w:val="20"/>
          <w:szCs w:val="20"/>
        </w:rPr>
        <w:t>(</w:t>
      </w:r>
      <w:r w:rsidR="0077791B" w:rsidRPr="004D07F7">
        <w:rPr>
          <w:rFonts w:asciiTheme="minorEastAsia" w:hAnsiTheme="minorEastAsia" w:hint="eastAsia"/>
          <w:color w:val="0432FF"/>
          <w:sz w:val="20"/>
          <w:szCs w:val="20"/>
        </w:rPr>
        <w:t>각주:</w:t>
      </w:r>
      <w:r w:rsidR="0077791B" w:rsidRPr="004D07F7">
        <w:rPr>
          <w:rFonts w:asciiTheme="minorEastAsia" w:hAnsiTheme="minorEastAsia"/>
          <w:color w:val="0432FF"/>
          <w:sz w:val="20"/>
          <w:szCs w:val="20"/>
        </w:rPr>
        <w:t xml:space="preserve"> </w:t>
      </w:r>
      <w:r w:rsidR="001E4E5F" w:rsidRPr="004D07F7">
        <w:rPr>
          <w:rFonts w:asciiTheme="minorEastAsia" w:hAnsiTheme="minorEastAsia" w:hint="eastAsia"/>
          <w:color w:val="0432FF"/>
          <w:sz w:val="20"/>
          <w:szCs w:val="20"/>
        </w:rPr>
        <w:t>피넬과 관련된 논의의 중심을 쇠사슬 해방 사건에 두는 경향이 있지만,</w:t>
      </w:r>
      <w:r w:rsidR="001E4E5F" w:rsidRPr="004D07F7">
        <w:rPr>
          <w:rFonts w:asciiTheme="minorEastAsia" w:hAnsiTheme="minorEastAsia"/>
          <w:color w:val="0432FF"/>
          <w:sz w:val="20"/>
          <w:szCs w:val="20"/>
        </w:rPr>
        <w:t xml:space="preserve"> </w:t>
      </w:r>
      <w:r w:rsidR="001E4E5F" w:rsidRPr="004D07F7">
        <w:rPr>
          <w:rFonts w:asciiTheme="minorEastAsia" w:hAnsiTheme="minorEastAsia" w:hint="eastAsia"/>
          <w:color w:val="0432FF"/>
          <w:sz w:val="20"/>
          <w:szCs w:val="20"/>
        </w:rPr>
        <w:t xml:space="preserve">대표작 의학철학론은 당대 의학계에 </w:t>
      </w:r>
      <w:r w:rsidR="00F2579B">
        <w:rPr>
          <w:rFonts w:asciiTheme="minorEastAsia" w:hAnsiTheme="minorEastAsia" w:hint="eastAsia"/>
          <w:color w:val="0432FF"/>
          <w:sz w:val="20"/>
          <w:szCs w:val="20"/>
        </w:rPr>
        <w:t xml:space="preserve">상당한 </w:t>
      </w:r>
      <w:r w:rsidR="001E4E5F" w:rsidRPr="004D07F7">
        <w:rPr>
          <w:rFonts w:asciiTheme="minorEastAsia" w:hAnsiTheme="minorEastAsia" w:hint="eastAsia"/>
          <w:color w:val="0432FF"/>
          <w:sz w:val="20"/>
          <w:szCs w:val="20"/>
        </w:rPr>
        <w:t>영향력이 있었으며,</w:t>
      </w:r>
      <w:r w:rsidR="001E4E5F" w:rsidRPr="004D07F7">
        <w:rPr>
          <w:rFonts w:asciiTheme="minorEastAsia" w:hAnsiTheme="minorEastAsia"/>
          <w:color w:val="0432FF"/>
          <w:sz w:val="20"/>
          <w:szCs w:val="20"/>
        </w:rPr>
        <w:t xml:space="preserve"> </w:t>
      </w:r>
      <w:r w:rsidR="001E4E5F" w:rsidRPr="004D07F7">
        <w:rPr>
          <w:rFonts w:asciiTheme="minorEastAsia" w:hAnsiTheme="minorEastAsia" w:hint="eastAsia"/>
          <w:color w:val="0432FF"/>
          <w:sz w:val="20"/>
          <w:szCs w:val="20"/>
        </w:rPr>
        <w:t>아커크네히트</w:t>
      </w:r>
      <w:r w:rsidR="004D07F7">
        <w:rPr>
          <w:rFonts w:asciiTheme="minorEastAsia" w:hAnsiTheme="minorEastAsia" w:hint="eastAsia"/>
          <w:color w:val="0432FF"/>
          <w:sz w:val="20"/>
          <w:szCs w:val="20"/>
        </w:rPr>
        <w:t xml:space="preserve"> </w:t>
      </w:r>
      <w:r w:rsidR="004D07F7">
        <w:rPr>
          <w:rFonts w:asciiTheme="minorEastAsia" w:hAnsiTheme="minorEastAsia"/>
          <w:color w:val="0432FF"/>
          <w:sz w:val="20"/>
          <w:szCs w:val="20"/>
        </w:rPr>
        <w:t>(</w:t>
      </w:r>
      <w:r w:rsidR="004D07F7" w:rsidRPr="004D07F7">
        <w:rPr>
          <w:rFonts w:asciiTheme="minorEastAsia" w:hAnsiTheme="minorEastAsia"/>
          <w:color w:val="0432FF"/>
          <w:sz w:val="20"/>
          <w:szCs w:val="20"/>
        </w:rPr>
        <w:t>Erwin Heinz Ackerknecht (1906–1988)</w:t>
      </w:r>
      <w:r w:rsidR="001E4E5F" w:rsidRPr="004D07F7">
        <w:rPr>
          <w:rFonts w:asciiTheme="minorEastAsia" w:hAnsiTheme="minorEastAsia" w:hint="eastAsia"/>
          <w:color w:val="0432FF"/>
          <w:sz w:val="20"/>
          <w:szCs w:val="20"/>
        </w:rPr>
        <w:t>와 칼더</w:t>
      </w:r>
      <w:r w:rsidR="004D07F7">
        <w:rPr>
          <w:rFonts w:asciiTheme="minorEastAsia" w:hAnsiTheme="minorEastAsia" w:hint="eastAsia"/>
          <w:color w:val="0432FF"/>
          <w:sz w:val="20"/>
          <w:szCs w:val="20"/>
        </w:rPr>
        <w:t xml:space="preserve"> </w:t>
      </w:r>
      <w:r w:rsidR="004D07F7">
        <w:rPr>
          <w:rFonts w:asciiTheme="minorEastAsia" w:hAnsiTheme="minorEastAsia"/>
          <w:color w:val="0432FF"/>
          <w:sz w:val="20"/>
          <w:szCs w:val="20"/>
        </w:rPr>
        <w:t>(</w:t>
      </w:r>
      <w:r w:rsidR="004D07F7" w:rsidRPr="004D07F7">
        <w:rPr>
          <w:rFonts w:asciiTheme="minorEastAsia" w:hAnsiTheme="minorEastAsia"/>
          <w:color w:val="0432FF"/>
          <w:sz w:val="20"/>
          <w:szCs w:val="20"/>
        </w:rPr>
        <w:t>Peter Ritchie Calder</w:t>
      </w:r>
      <w:r w:rsidR="004D07F7" w:rsidRPr="004D07F7">
        <w:t xml:space="preserve"> </w:t>
      </w:r>
      <w:r w:rsidR="004D07F7" w:rsidRPr="004D07F7">
        <w:rPr>
          <w:rFonts w:asciiTheme="minorEastAsia" w:hAnsiTheme="minorEastAsia"/>
          <w:color w:val="0432FF"/>
          <w:sz w:val="20"/>
          <w:szCs w:val="20"/>
        </w:rPr>
        <w:t>(1906–1982)</w:t>
      </w:r>
      <w:r w:rsidR="001E4E5F" w:rsidRPr="004D07F7">
        <w:rPr>
          <w:rFonts w:asciiTheme="minorEastAsia" w:hAnsiTheme="minorEastAsia" w:hint="eastAsia"/>
          <w:color w:val="0432FF"/>
          <w:sz w:val="20"/>
          <w:szCs w:val="20"/>
        </w:rPr>
        <w:t>는 피넬이 환자의 특성과 예후를 표로 정리해 분석</w:t>
      </w:r>
      <w:r w:rsidR="004D07F7" w:rsidRPr="004D07F7">
        <w:rPr>
          <w:rFonts w:asciiTheme="minorEastAsia" w:hAnsiTheme="minorEastAsia" w:hint="eastAsia"/>
          <w:color w:val="0432FF"/>
          <w:sz w:val="20"/>
          <w:szCs w:val="20"/>
        </w:rPr>
        <w:t xml:space="preserve">을 </w:t>
      </w:r>
      <w:r w:rsidR="004D07F7" w:rsidRPr="004D07F7">
        <w:rPr>
          <w:rFonts w:asciiTheme="minorEastAsia" w:hAnsiTheme="minorEastAsia"/>
          <w:color w:val="0432FF"/>
          <w:sz w:val="20"/>
          <w:szCs w:val="20"/>
        </w:rPr>
        <w:t>“</w:t>
      </w:r>
      <w:r w:rsidR="004D07F7" w:rsidRPr="004D07F7">
        <w:rPr>
          <w:rFonts w:asciiTheme="minorEastAsia" w:hAnsiTheme="minorEastAsia" w:hint="eastAsia"/>
          <w:color w:val="0432FF"/>
          <w:sz w:val="20"/>
          <w:szCs w:val="20"/>
        </w:rPr>
        <w:t>지겹도록 반복</w:t>
      </w:r>
      <w:r w:rsidR="004D07F7" w:rsidRPr="004D07F7">
        <w:rPr>
          <w:rFonts w:asciiTheme="minorEastAsia" w:hAnsiTheme="minorEastAsia"/>
          <w:color w:val="0432FF"/>
          <w:sz w:val="20"/>
          <w:szCs w:val="20"/>
        </w:rPr>
        <w:t>”</w:t>
      </w:r>
      <w:r w:rsidR="001E4E5F" w:rsidRPr="004D07F7">
        <w:rPr>
          <w:rFonts w:asciiTheme="minorEastAsia" w:hAnsiTheme="minorEastAsia" w:hint="eastAsia"/>
          <w:color w:val="0432FF"/>
          <w:sz w:val="20"/>
          <w:szCs w:val="20"/>
        </w:rPr>
        <w:t>한 점을 근거로 그를 통계적·분석적 의학 방법의 선구자로 평가하였다</w:t>
      </w:r>
      <w:r w:rsidR="001E4E5F">
        <w:rPr>
          <w:rFonts w:asciiTheme="minorEastAsia" w:hAnsiTheme="minorEastAsia" w:hint="eastAsia"/>
          <w:color w:val="0432FF"/>
          <w:sz w:val="20"/>
          <w:szCs w:val="20"/>
        </w:rPr>
        <w:t>)</w:t>
      </w:r>
      <w:r w:rsidR="001E4E5F" w:rsidRPr="001E4E5F">
        <w:rPr>
          <w:rFonts w:asciiTheme="minorEastAsia" w:hAnsiTheme="minorEastAsia" w:hint="eastAsia"/>
          <w:color w:val="0432FF"/>
          <w:sz w:val="20"/>
          <w:szCs w:val="20"/>
        </w:rPr>
        <w:t>.</w:t>
      </w:r>
      <w:r w:rsidR="004D07F7">
        <w:rPr>
          <w:rFonts w:asciiTheme="minorEastAsia" w:hAnsiTheme="minorEastAsia"/>
          <w:color w:val="0432FF"/>
          <w:sz w:val="20"/>
          <w:szCs w:val="20"/>
        </w:rPr>
        <w:t xml:space="preserve"> </w:t>
      </w:r>
      <w:r w:rsidR="005473CE">
        <w:rPr>
          <w:rFonts w:ascii="Malgun Gothic" w:eastAsia="Malgun Gothic" w:hAnsi="Malgun Gothic" w:cs="Times New Roman"/>
          <w:color w:val="0432FF"/>
          <w:sz w:val="20"/>
          <w:szCs w:val="20"/>
        </w:rPr>
        <w:t>(</w:t>
      </w:r>
      <w:r w:rsidR="005473CE" w:rsidRPr="00B035A3">
        <w:rPr>
          <w:rFonts w:ascii="Malgun Gothic" w:eastAsia="Malgun Gothic" w:hAnsi="Malgun Gothic" w:cs="Times New Roman" w:hint="eastAsia"/>
          <w:color w:val="7030A0"/>
          <w:sz w:val="20"/>
          <w:szCs w:val="20"/>
        </w:rPr>
        <w:t>Berrios, G. E. (1996). The History of Mental Symptoms: Descriptive Psychopathology since the Nineteenth Century. Cambridge University Press</w:t>
      </w:r>
      <w:r w:rsidR="005473CE">
        <w:rPr>
          <w:rFonts w:ascii="Malgun Gothic" w:eastAsia="Malgun Gothic" w:hAnsi="Malgun Gothic" w:cs="Times New Roman"/>
          <w:color w:val="0432FF"/>
          <w:sz w:val="20"/>
          <w:szCs w:val="20"/>
        </w:rPr>
        <w:t xml:space="preserve">) </w:t>
      </w:r>
    </w:p>
    <w:p w14:paraId="1EA2359E" w14:textId="77777777" w:rsidR="005E4248" w:rsidRDefault="005E4248" w:rsidP="005E4248">
      <w:pPr>
        <w:jc w:val="both"/>
        <w:rPr>
          <w:rFonts w:ascii="Malgun Gothic" w:eastAsia="Malgun Gothic" w:hAnsi="Malgun Gothic" w:cs="Times New Roman"/>
          <w:color w:val="0432FF"/>
          <w:sz w:val="20"/>
          <w:szCs w:val="20"/>
        </w:rPr>
      </w:pPr>
    </w:p>
    <w:p w14:paraId="4FEFBE92" w14:textId="77777777" w:rsidR="004D07F7" w:rsidRPr="004D07F7" w:rsidRDefault="004D07F7" w:rsidP="004D07F7">
      <w:pPr>
        <w:jc w:val="both"/>
        <w:rPr>
          <w:rFonts w:ascii="Malgun Gothic" w:eastAsia="Malgun Gothic" w:hAnsi="Malgun Gothic" w:cs="Times New Roman"/>
          <w:color w:val="0432FF"/>
          <w:sz w:val="20"/>
          <w:szCs w:val="20"/>
        </w:rPr>
      </w:pPr>
      <w:r w:rsidRPr="004D07F7">
        <w:rPr>
          <w:rFonts w:ascii="Malgun Gothic" w:eastAsia="Malgun Gothic" w:hAnsi="Malgun Gothic" w:cs="Times New Roman"/>
          <w:color w:val="0432FF"/>
          <w:sz w:val="20"/>
          <w:szCs w:val="20"/>
        </w:rPr>
        <w:t>In this context, during the late eighteenth century—at the height of the French Revolution, which was grounded in the ideals of liberty and equality—the decision by Philippe Pinel, then chief physician of the infirmaries at the Bicêtre hospice, to grant the non-medical supervisor Jean-Baptiste Pussin the authority to remove the chains restraining psychiatric patients has frequently been cited as a symbolic turning point in the history of psychiatry (Shorter, 2005; Kang, 2021).</w:t>
      </w:r>
    </w:p>
    <w:p w14:paraId="3B6ECE84" w14:textId="77777777" w:rsidR="004D07F7" w:rsidRPr="004D07F7" w:rsidRDefault="004D07F7" w:rsidP="004D07F7">
      <w:pPr>
        <w:jc w:val="both"/>
        <w:rPr>
          <w:rFonts w:ascii="Malgun Gothic" w:eastAsia="Malgun Gothic" w:hAnsi="Malgun Gothic" w:cs="Times New Roman"/>
          <w:color w:val="0432FF"/>
          <w:sz w:val="20"/>
          <w:szCs w:val="20"/>
        </w:rPr>
      </w:pPr>
    </w:p>
    <w:p w14:paraId="24F571E0" w14:textId="77777777" w:rsidR="004D07F7" w:rsidRPr="004D07F7" w:rsidRDefault="004D07F7" w:rsidP="004D07F7">
      <w:pPr>
        <w:jc w:val="both"/>
        <w:rPr>
          <w:rFonts w:ascii="Malgun Gothic" w:eastAsia="Malgun Gothic" w:hAnsi="Malgun Gothic" w:cs="Times New Roman"/>
          <w:color w:val="0432FF"/>
          <w:sz w:val="20"/>
          <w:szCs w:val="20"/>
        </w:rPr>
      </w:pPr>
      <w:r w:rsidRPr="004D07F7">
        <w:rPr>
          <w:rFonts w:ascii="Malgun Gothic" w:eastAsia="Malgun Gothic" w:hAnsi="Malgun Gothic" w:cs="Times New Roman"/>
          <w:color w:val="0432FF"/>
          <w:sz w:val="20"/>
          <w:szCs w:val="20"/>
        </w:rPr>
        <w:t>Footnote: In commemoration of this symbolic episode, May 24 has been designated as World Schizophrenia Awareness Day, intended to raise awareness of schizophrenia and reduce public misunderstanding about the disorder (National Center for Mental Health report, accessed March 7, 2026).</w:t>
      </w:r>
    </w:p>
    <w:p w14:paraId="771E62A2" w14:textId="77777777" w:rsidR="004D07F7" w:rsidRPr="004D07F7" w:rsidRDefault="004D07F7" w:rsidP="004D07F7">
      <w:pPr>
        <w:jc w:val="both"/>
        <w:rPr>
          <w:rFonts w:ascii="Malgun Gothic" w:eastAsia="Malgun Gothic" w:hAnsi="Malgun Gothic" w:cs="Times New Roman"/>
          <w:color w:val="0432FF"/>
          <w:sz w:val="20"/>
          <w:szCs w:val="20"/>
        </w:rPr>
      </w:pPr>
    </w:p>
    <w:p w14:paraId="63BACCE5" w14:textId="77777777" w:rsidR="004D07F7" w:rsidRPr="004D07F7" w:rsidRDefault="004D07F7" w:rsidP="004D07F7">
      <w:pPr>
        <w:jc w:val="both"/>
        <w:rPr>
          <w:rFonts w:ascii="Malgun Gothic" w:eastAsia="Malgun Gothic" w:hAnsi="Malgun Gothic" w:cs="Times New Roman"/>
          <w:color w:val="0432FF"/>
          <w:sz w:val="20"/>
          <w:szCs w:val="20"/>
        </w:rPr>
      </w:pPr>
      <w:r w:rsidRPr="004D07F7">
        <w:rPr>
          <w:rFonts w:ascii="Malgun Gothic" w:eastAsia="Malgun Gothic" w:hAnsi="Malgun Gothic" w:cs="Times New Roman"/>
          <w:color w:val="0432FF"/>
          <w:sz w:val="20"/>
          <w:szCs w:val="20"/>
        </w:rPr>
        <w:t>Following this development, the concept of humane or moral treatment—which emphasized careful observation of patients’ conditions and attention to individual constitution and natural recovery—gradually spread. This approach may also be understood as maintaining a certain continuity with the observation-centered therapeutic tradition emphasized in classical medicine (Kang, 2021).</w:t>
      </w:r>
    </w:p>
    <w:p w14:paraId="10536A8D" w14:textId="77777777" w:rsidR="004D07F7" w:rsidRPr="004D07F7" w:rsidRDefault="004D07F7" w:rsidP="004D07F7">
      <w:pPr>
        <w:jc w:val="both"/>
        <w:rPr>
          <w:rFonts w:ascii="Malgun Gothic" w:eastAsia="Malgun Gothic" w:hAnsi="Malgun Gothic" w:cs="Times New Roman"/>
          <w:color w:val="0432FF"/>
          <w:sz w:val="20"/>
          <w:szCs w:val="20"/>
        </w:rPr>
      </w:pPr>
      <w:r w:rsidRPr="004D07F7">
        <w:rPr>
          <w:rFonts w:ascii="Malgun Gothic" w:eastAsia="Malgun Gothic" w:hAnsi="Malgun Gothic" w:cs="Times New Roman"/>
          <w:color w:val="0432FF"/>
          <w:sz w:val="20"/>
          <w:szCs w:val="20"/>
        </w:rPr>
        <w:t>In this regard, German Berrios argues that the humanitarian reforms initiated by Pinel laid the groundwork for nineteenth-century alienists (psychiatric physicians) who subsequently began to observe patients’ behavior and speech in detail and to record them systematically in medical terminology. In other words, as the limitations of earlier barbaric practices became increasingly apparent, a growing recognition emerged that rather than subjecting patients to coercive measures, their symptoms should be carefully observed and documented—an intellectual shift that ultimately became the foundation of modern descriptive psychopathology (Berrios, 1996).</w:t>
      </w:r>
    </w:p>
    <w:p w14:paraId="6B2B5246" w14:textId="77777777" w:rsidR="004D07F7" w:rsidRPr="004D07F7" w:rsidRDefault="004D07F7" w:rsidP="004D07F7">
      <w:pPr>
        <w:jc w:val="both"/>
        <w:rPr>
          <w:rFonts w:ascii="Malgun Gothic" w:eastAsia="Malgun Gothic" w:hAnsi="Malgun Gothic" w:cs="Times New Roman"/>
          <w:color w:val="0432FF"/>
          <w:sz w:val="20"/>
          <w:szCs w:val="20"/>
        </w:rPr>
      </w:pPr>
    </w:p>
    <w:p w14:paraId="78004A54" w14:textId="77777777" w:rsidR="004D07F7" w:rsidRPr="004D07F7" w:rsidRDefault="004D07F7" w:rsidP="004D07F7">
      <w:pPr>
        <w:jc w:val="both"/>
        <w:rPr>
          <w:rFonts w:ascii="Malgun Gothic" w:eastAsia="Malgun Gothic" w:hAnsi="Malgun Gothic" w:cs="Times New Roman"/>
          <w:color w:val="0432FF"/>
          <w:sz w:val="20"/>
          <w:szCs w:val="20"/>
        </w:rPr>
      </w:pPr>
      <w:r w:rsidRPr="004D07F7">
        <w:rPr>
          <w:rFonts w:ascii="Malgun Gothic" w:eastAsia="Malgun Gothic" w:hAnsi="Malgun Gothic" w:cs="Times New Roman"/>
          <w:color w:val="0432FF"/>
          <w:sz w:val="20"/>
          <w:szCs w:val="20"/>
        </w:rPr>
        <w:t>Footnote: Although discussions of Pinel often focus on the dramatic removal of chains, his major work Traité médico-philosophique sur l’aliénation mentale exerted considerable influence in contemporary medical circles. Moreover, historians such as Erwin H. Ackerknecht and Peter Ritchie Calder have noted that Pinel repeatedly employed analytical and tabular methods to examine patients’ characteristics and prognoses, leading some scholars to regard him as an early pioneer of statistical and analytical approaches in medicine.</w:t>
      </w:r>
    </w:p>
    <w:p w14:paraId="3E305EF1" w14:textId="77777777" w:rsidR="00CB0386" w:rsidRDefault="00035776" w:rsidP="00BD4518">
      <w:pPr>
        <w:jc w:val="both"/>
        <w:rPr>
          <w:rFonts w:ascii="Malgun Gothic" w:eastAsia="Malgun Gothic" w:hAnsi="Malgun Gothic" w:cs="Times New Roman"/>
          <w:color w:val="0432FF"/>
          <w:sz w:val="20"/>
          <w:szCs w:val="20"/>
        </w:rPr>
      </w:pPr>
      <w:r>
        <w:rPr>
          <w:rFonts w:ascii="Malgun Gothic" w:eastAsia="Malgun Gothic" w:hAnsi="Malgun Gothic" w:cs="Times New Roman" w:hint="eastAsia"/>
          <w:color w:val="0432FF"/>
          <w:sz w:val="20"/>
          <w:szCs w:val="20"/>
        </w:rPr>
        <w:t xml:space="preserve">물론 </w:t>
      </w:r>
      <w:r w:rsidRPr="003A014F">
        <w:rPr>
          <w:rFonts w:asciiTheme="minorEastAsia" w:hAnsiTheme="minorEastAsia" w:hint="eastAsia"/>
          <w:color w:val="0432FF"/>
          <w:sz w:val="20"/>
          <w:szCs w:val="20"/>
        </w:rPr>
        <w:t xml:space="preserve">피넬(Philippe Pinel)이 </w:t>
      </w:r>
      <w:r w:rsidR="00DF2074" w:rsidRPr="00DC260B">
        <w:rPr>
          <w:rFonts w:ascii="Malgun Gothic" w:eastAsia="Malgun Gothic" w:hAnsi="Malgun Gothic" w:cs="Times New Roman" w:hint="eastAsia"/>
          <w:color w:val="0432FF"/>
          <w:sz w:val="20"/>
          <w:szCs w:val="20"/>
        </w:rPr>
        <w:t>쇠사슬을 풀었지만, 그렇다고 완전한 자유를 준 것은 아니었</w:t>
      </w:r>
      <w:r w:rsidR="00DF2074">
        <w:rPr>
          <w:rFonts w:ascii="Malgun Gothic" w:eastAsia="Malgun Gothic" w:hAnsi="Malgun Gothic" w:cs="Times New Roman" w:hint="eastAsia"/>
          <w:color w:val="0432FF"/>
          <w:sz w:val="20"/>
          <w:szCs w:val="20"/>
        </w:rPr>
        <w:t xml:space="preserve">었고 </w:t>
      </w:r>
      <w:r w:rsidR="00DF2074" w:rsidRPr="00DC260B">
        <w:rPr>
          <w:rFonts w:ascii="Malgun Gothic" w:eastAsia="Malgun Gothic" w:hAnsi="Malgun Gothic" w:cs="Times New Roman" w:hint="eastAsia"/>
          <w:color w:val="0432FF"/>
          <w:sz w:val="20"/>
          <w:szCs w:val="20"/>
        </w:rPr>
        <w:t>대신 구속복(Straitjacket)이나 격리실, 엄격한 생활 규칙을 도입했다.</w:t>
      </w:r>
      <w:r w:rsidR="00DF2074">
        <w:rPr>
          <w:rFonts w:ascii="Malgun Gothic" w:eastAsia="Malgun Gothic" w:hAnsi="Malgun Gothic" w:cs="Times New Roman"/>
          <w:color w:val="0432FF"/>
          <w:sz w:val="20"/>
          <w:szCs w:val="20"/>
        </w:rPr>
        <w:t xml:space="preserve"> </w:t>
      </w:r>
      <w:r w:rsidR="004819BA" w:rsidRPr="004819BA">
        <w:rPr>
          <w:rFonts w:ascii="Malgun Gothic" w:eastAsia="Malgun Gothic" w:hAnsi="Malgun Gothic" w:cs="Times New Roman" w:hint="eastAsia"/>
          <w:color w:val="0432FF"/>
          <w:sz w:val="20"/>
          <w:szCs w:val="20"/>
        </w:rPr>
        <w:t>당시 의학자들은 이를 야만적인 물리적 고통으로부터의 해방이자, 환자가 스스로를 통제할 수 있도록 돕는 '인도주의적 진보'로 평가했다</w:t>
      </w:r>
      <w:r w:rsidR="00930CB4">
        <w:rPr>
          <w:rFonts w:ascii="Malgun Gothic" w:eastAsia="Malgun Gothic" w:hAnsi="Malgun Gothic" w:cs="Times New Roman" w:hint="eastAsia"/>
          <w:color w:val="0432FF"/>
          <w:sz w:val="20"/>
          <w:szCs w:val="20"/>
        </w:rPr>
        <w:t>.</w:t>
      </w:r>
      <w:r w:rsidR="00930CB4">
        <w:rPr>
          <w:rFonts w:ascii="Malgun Gothic" w:eastAsia="Malgun Gothic" w:hAnsi="Malgun Gothic" w:cs="Times New Roman"/>
          <w:color w:val="0432FF"/>
          <w:sz w:val="20"/>
          <w:szCs w:val="20"/>
        </w:rPr>
        <w:t xml:space="preserve"> </w:t>
      </w:r>
      <w:r w:rsidR="00DF2074">
        <w:rPr>
          <w:rFonts w:ascii="Malgun Gothic" w:eastAsia="Malgun Gothic" w:hAnsi="Malgun Gothic" w:cs="Times New Roman"/>
          <w:color w:val="0432FF"/>
          <w:sz w:val="20"/>
          <w:szCs w:val="20"/>
        </w:rPr>
        <w:t>(</w:t>
      </w:r>
      <w:r w:rsidR="00DF2074" w:rsidRPr="00DF2074">
        <w:rPr>
          <w:rFonts w:ascii="Malgun Gothic" w:eastAsia="Malgun Gothic" w:hAnsi="Malgun Gothic" w:cs="Times New Roman"/>
          <w:color w:val="0432FF"/>
          <w:sz w:val="20"/>
          <w:szCs w:val="20"/>
        </w:rPr>
        <w:t>Braslow</w:t>
      </w:r>
      <w:r w:rsidR="00DF2074">
        <w:rPr>
          <w:rFonts w:ascii="Malgun Gothic" w:eastAsia="Malgun Gothic" w:hAnsi="Malgun Gothic" w:cs="Times New Roman"/>
          <w:color w:val="0432FF"/>
          <w:sz w:val="20"/>
          <w:szCs w:val="20"/>
        </w:rPr>
        <w:t xml:space="preserve">, </w:t>
      </w:r>
      <w:r w:rsidR="00DF2074" w:rsidRPr="00DF2074">
        <w:rPr>
          <w:rFonts w:ascii="Malgun Gothic" w:eastAsia="Malgun Gothic" w:hAnsi="Malgun Gothic" w:cs="Times New Roman"/>
          <w:color w:val="0432FF"/>
          <w:sz w:val="20"/>
          <w:szCs w:val="20"/>
        </w:rPr>
        <w:t>1997</w:t>
      </w:r>
      <w:r w:rsidR="00DF2074">
        <w:rPr>
          <w:rFonts w:ascii="Malgun Gothic" w:eastAsia="Malgun Gothic" w:hAnsi="Malgun Gothic" w:cs="Times New Roman"/>
          <w:color w:val="0432FF"/>
          <w:sz w:val="20"/>
          <w:szCs w:val="20"/>
        </w:rPr>
        <w:t xml:space="preserve">; </w:t>
      </w:r>
      <w:r w:rsidR="00DF2074" w:rsidRPr="00DF2074">
        <w:rPr>
          <w:rFonts w:ascii="Malgun Gothic" w:eastAsia="Malgun Gothic" w:hAnsi="Malgun Gothic" w:cs="Times New Roman"/>
          <w:color w:val="0432FF"/>
          <w:sz w:val="20"/>
          <w:szCs w:val="20"/>
        </w:rPr>
        <w:t>Berrios, 2010)</w:t>
      </w:r>
      <w:r w:rsidR="00DF2074" w:rsidRPr="007C6611">
        <w:rPr>
          <w:rFonts w:ascii="Malgun Gothic" w:eastAsia="Malgun Gothic" w:hAnsi="Malgun Gothic" w:cs="Times New Roman" w:hint="eastAsia"/>
          <w:color w:val="0432FF"/>
          <w:sz w:val="20"/>
          <w:szCs w:val="20"/>
        </w:rPr>
        <w:t xml:space="preserve">. </w:t>
      </w:r>
      <w:r w:rsidR="00BD4518">
        <w:rPr>
          <w:rFonts w:ascii="Malgun Gothic" w:eastAsia="Malgun Gothic" w:hAnsi="Malgun Gothic" w:cs="Times New Roman"/>
          <w:color w:val="0432FF"/>
          <w:sz w:val="20"/>
          <w:szCs w:val="20"/>
        </w:rPr>
        <w:t>(</w:t>
      </w:r>
      <w:r w:rsidR="00BD4518" w:rsidRPr="00BD4518">
        <w:rPr>
          <w:rFonts w:ascii="Malgun Gothic" w:eastAsia="Malgun Gothic" w:hAnsi="Malgun Gothic" w:cs="Times New Roman" w:hint="eastAsia"/>
          <w:color w:val="7030A0"/>
          <w:sz w:val="20"/>
          <w:szCs w:val="20"/>
        </w:rPr>
        <w:t>각주:</w:t>
      </w:r>
      <w:r w:rsidR="00BD4518" w:rsidRP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hint="eastAsia"/>
          <w:color w:val="7030A0"/>
          <w:sz w:val="20"/>
          <w:szCs w:val="20"/>
        </w:rPr>
        <w:t>피넬(Pinel)의 개혁은 흔히 정신질환자에게 채워져 있던 쇠사슬을 제거한 사건으로 기억된다. 그러나 그가 환자들을 억제로부터 해방하는 데 기여한 바는 이러한 물리적 억제에만 국한되지 않았다. 르네 세멜렌(René Semelaigne)에 따르면, 피넬은 당시 의학에서 널리 행해지던 관행적인 다약제 처방(polypharmacy)의 남용과 약물의 관행적 사용에 가장 강하게 반응했던 의사들 가운데 한 사람이었다(Semelaigne, Pinel, p.130). 이러한 태도는 피넬에게 귀속된 다음의 유명한 문구에서도 잘 드러난다. 그는 “약을 적절하게 투여하는 것도 결코 가벼운 기술이 아니지만, 언제 약물을 중단하거나 아예 사용하지 않아야 하는지를 아는 것은 훨씬 더 중요하고 또한 훨씬 더 어려운 기술이다”라고 강조하였다</w:t>
      </w:r>
      <w:r w:rsidR="00BD4518">
        <w:rPr>
          <w:rFonts w:ascii="Malgun Gothic" w:eastAsia="Malgun Gothic" w:hAnsi="Malgun Gothic" w:cs="Times New Roman" w:hint="eastAsia"/>
          <w:color w:val="7030A0"/>
          <w:sz w:val="20"/>
          <w:szCs w:val="20"/>
        </w:rPr>
        <w:t xml:space="preserve"> </w:t>
      </w:r>
      <w:r w:rsidR="00BD4518">
        <w:rPr>
          <w:rFonts w:ascii="Malgun Gothic" w:eastAsia="Malgun Gothic" w:hAnsi="Malgun Gothic" w:cs="Times New Roman"/>
          <w:color w:val="7030A0"/>
          <w:sz w:val="20"/>
          <w:szCs w:val="20"/>
        </w:rPr>
        <w:t>(</w:t>
      </w:r>
      <w:r w:rsidR="00BD4518" w:rsidRPr="00BD4518">
        <w:rPr>
          <w:rFonts w:ascii="Malgun Gothic" w:eastAsia="Malgun Gothic" w:hAnsi="Malgun Gothic" w:cs="Times New Roman"/>
          <w:color w:val="7030A0"/>
          <w:sz w:val="20"/>
          <w:szCs w:val="20"/>
        </w:rPr>
        <w:t>Semelaigne R.</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Pinel et son œuvre psychiatrique.</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Paris: G. Masson; 1888. p.130</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Shorter E.</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A historical dictionary of psychiatry.</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Oxford University Press; 2005. pp.208–209</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Porter R.</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Madness: A brief history.</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Oxford University Press; 2002. pp.102–04</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https://madnessofnorthwales.com/philippe-pinel-treatise-on-mental-alienation-1809/#:~:text=Translators'%20Preface,omit%20them%E2%80%9D%5B1%5D.</w:t>
      </w:r>
      <w:r w:rsidR="00BD4518">
        <w:rPr>
          <w:rFonts w:ascii="Malgun Gothic" w:eastAsia="Malgun Gothic" w:hAnsi="Malgun Gothic" w:cs="Times New Roman"/>
          <w:color w:val="7030A0"/>
          <w:sz w:val="20"/>
          <w:szCs w:val="20"/>
        </w:rPr>
        <w:t xml:space="preserve">). </w:t>
      </w:r>
      <w:r>
        <w:rPr>
          <w:rFonts w:asciiTheme="minorEastAsia" w:hAnsiTheme="minorEastAsia" w:hint="eastAsia"/>
          <w:color w:val="0432FF"/>
          <w:sz w:val="20"/>
          <w:szCs w:val="20"/>
        </w:rPr>
        <w:t xml:space="preserve">그러나 </w:t>
      </w:r>
      <w:r w:rsidRPr="00DC260B">
        <w:rPr>
          <w:rFonts w:ascii="Malgun Gothic" w:eastAsia="Malgun Gothic" w:hAnsi="Malgun Gothic" w:cs="Times New Roman" w:hint="eastAsia"/>
          <w:color w:val="0432FF"/>
          <w:sz w:val="20"/>
          <w:szCs w:val="20"/>
        </w:rPr>
        <w:t>피넬</w:t>
      </w:r>
      <w:r>
        <w:rPr>
          <w:rFonts w:asciiTheme="minorEastAsia" w:hAnsiTheme="minorEastAsia" w:hint="eastAsia"/>
          <w:color w:val="0432FF"/>
          <w:sz w:val="20"/>
          <w:szCs w:val="20"/>
        </w:rPr>
        <w:t xml:space="preserve">의 </w:t>
      </w:r>
      <w:r>
        <w:rPr>
          <w:rFonts w:asciiTheme="minorEastAsia" w:hAnsiTheme="minorEastAsia"/>
          <w:color w:val="0432FF"/>
          <w:sz w:val="20"/>
          <w:szCs w:val="20"/>
        </w:rPr>
        <w:t>“</w:t>
      </w:r>
      <w:r w:rsidRPr="00DC260B">
        <w:rPr>
          <w:rFonts w:asciiTheme="minorEastAsia" w:hAnsiTheme="minorEastAsia" w:hint="eastAsia"/>
          <w:color w:val="0432FF"/>
          <w:sz w:val="20"/>
          <w:szCs w:val="20"/>
        </w:rPr>
        <w:t>쇠사슬의 해방극</w:t>
      </w:r>
      <w:r>
        <w:rPr>
          <w:rFonts w:asciiTheme="minorEastAsia" w:hAnsiTheme="minorEastAsia"/>
          <w:color w:val="0432FF"/>
          <w:sz w:val="20"/>
          <w:szCs w:val="20"/>
        </w:rPr>
        <w:t>” (</w:t>
      </w:r>
      <w:r w:rsidRPr="00E74A1F">
        <w:rPr>
          <w:rFonts w:asciiTheme="minorEastAsia" w:hAnsiTheme="minorEastAsia" w:hint="eastAsia"/>
          <w:color w:val="7030A0"/>
          <w:sz w:val="20"/>
          <w:szCs w:val="20"/>
        </w:rPr>
        <w:t>강성은2021</w:t>
      </w:r>
      <w:r>
        <w:rPr>
          <w:rFonts w:asciiTheme="minorEastAsia" w:hAnsiTheme="minorEastAsia"/>
          <w:color w:val="7030A0"/>
          <w:sz w:val="20"/>
          <w:szCs w:val="20"/>
        </w:rPr>
        <w:t xml:space="preserve">) </w:t>
      </w:r>
      <w:r w:rsidRPr="00623B82">
        <w:rPr>
          <w:rFonts w:asciiTheme="minorEastAsia" w:hAnsiTheme="minorEastAsia"/>
          <w:color w:val="0432FF"/>
          <w:sz w:val="20"/>
          <w:szCs w:val="20"/>
        </w:rPr>
        <w:t>1</w:t>
      </w:r>
      <w:r w:rsidRPr="00623B82">
        <w:rPr>
          <w:rFonts w:asciiTheme="minorEastAsia" w:hAnsiTheme="minorEastAsia" w:hint="eastAsia"/>
          <w:color w:val="0432FF"/>
          <w:sz w:val="20"/>
          <w:szCs w:val="20"/>
        </w:rPr>
        <w:t xml:space="preserve">세기후 반정신의학 운동에 큰 영향을 미친 </w:t>
      </w:r>
      <w:r w:rsidRPr="00623B82">
        <w:rPr>
          <w:rFonts w:asciiTheme="minorEastAsia" w:hAnsiTheme="minorEastAsia"/>
          <w:color w:val="0432FF"/>
          <w:sz w:val="20"/>
          <w:szCs w:val="20"/>
        </w:rPr>
        <w:t>Michel Foucault</w:t>
      </w:r>
      <w:r w:rsidRPr="00623B82">
        <w:rPr>
          <w:rFonts w:asciiTheme="minorEastAsia" w:hAnsiTheme="minorEastAsia" w:hint="eastAsia"/>
          <w:color w:val="0432FF"/>
          <w:sz w:val="20"/>
          <w:szCs w:val="20"/>
        </w:rPr>
        <w:t xml:space="preserve"> </w:t>
      </w:r>
      <w:r w:rsidRPr="00623B82">
        <w:rPr>
          <w:rFonts w:ascii="Malgun Gothic" w:eastAsia="Malgun Gothic" w:hAnsi="Malgun Gothic" w:cs="Times New Roman" w:hint="eastAsia"/>
          <w:color w:val="0432FF"/>
          <w:sz w:val="20"/>
          <w:szCs w:val="20"/>
        </w:rPr>
        <w:t xml:space="preserve">는 이를 '피넬 신화(mythe de Pinel)'라 명명하며, 물리적 구속의 제거가 오히려 도덕적 규율과 감시 체계의 도입으로 </w:t>
      </w:r>
      <w:r w:rsidR="00CB0386" w:rsidRPr="00CB0386">
        <w:rPr>
          <w:rFonts w:ascii="Malgun Gothic" w:eastAsia="Malgun Gothic" w:hAnsi="Malgun Gothic" w:cs="Times New Roman" w:hint="eastAsia"/>
          <w:color w:val="0432FF"/>
          <w:sz w:val="20"/>
          <w:szCs w:val="20"/>
        </w:rPr>
        <w:t xml:space="preserve">교묘하고 더 견고하게 환자 주변을 옥여 </w:t>
      </w:r>
      <w:r w:rsidR="00E36BF7">
        <w:rPr>
          <w:rFonts w:ascii="Malgun Gothic" w:eastAsia="Malgun Gothic" w:hAnsi="Malgun Gothic" w:cs="Times New Roman" w:hint="eastAsia"/>
          <w:color w:val="0432FF"/>
          <w:sz w:val="20"/>
          <w:szCs w:val="20"/>
        </w:rPr>
        <w:t xml:space="preserve">매는 </w:t>
      </w:r>
      <w:r w:rsidRPr="00623B82">
        <w:rPr>
          <w:rFonts w:ascii="Malgun Gothic" w:eastAsia="Malgun Gothic" w:hAnsi="Malgun Gothic" w:cs="Times New Roman" w:hint="eastAsia"/>
          <w:color w:val="0432FF"/>
          <w:sz w:val="20"/>
          <w:szCs w:val="20"/>
        </w:rPr>
        <w:t>권력의 변형으로 해석하였다</w:t>
      </w:r>
      <w:r>
        <w:rPr>
          <w:rFonts w:ascii="Malgun Gothic" w:eastAsia="Malgun Gothic" w:hAnsi="Malgun Gothic" w:cs="Times New Roman" w:hint="eastAsia"/>
          <w:color w:val="0432FF"/>
          <w:sz w:val="20"/>
          <w:szCs w:val="20"/>
        </w:rPr>
        <w:t xml:space="preserve"> </w:t>
      </w:r>
      <w:r>
        <w:rPr>
          <w:rFonts w:ascii="Malgun Gothic" w:eastAsia="Malgun Gothic" w:hAnsi="Malgun Gothic" w:cs="Times New Roman"/>
          <w:color w:val="0432FF"/>
          <w:sz w:val="20"/>
          <w:szCs w:val="20"/>
        </w:rPr>
        <w:t>(</w:t>
      </w:r>
      <w:r w:rsidRPr="00E74A1F">
        <w:rPr>
          <w:rFonts w:asciiTheme="minorEastAsia" w:hAnsiTheme="minorEastAsia" w:hint="eastAsia"/>
          <w:color w:val="7030A0"/>
          <w:sz w:val="20"/>
          <w:szCs w:val="20"/>
        </w:rPr>
        <w:t>강성은2021</w:t>
      </w:r>
      <w:r>
        <w:rPr>
          <w:rFonts w:ascii="Malgun Gothic" w:eastAsia="Malgun Gothic" w:hAnsi="Malgun Gothic" w:cs="Times New Roman"/>
          <w:color w:val="0432FF"/>
          <w:sz w:val="20"/>
          <w:szCs w:val="20"/>
        </w:rPr>
        <w:t xml:space="preserve">: </w:t>
      </w:r>
      <w:r w:rsidRPr="00CD0A13">
        <w:rPr>
          <w:rFonts w:ascii="Malgun Gothic" w:eastAsia="Malgun Gothic" w:hAnsi="Malgun Gothic" w:cs="Times New Roman" w:hint="eastAsia"/>
          <w:color w:val="0432FF"/>
          <w:sz w:val="20"/>
          <w:szCs w:val="20"/>
        </w:rPr>
        <w:t>강웅구2025</w:t>
      </w:r>
      <w:r>
        <w:rPr>
          <w:rFonts w:ascii="Malgun Gothic" w:eastAsia="Malgun Gothic" w:hAnsi="Malgun Gothic" w:cs="Times New Roman"/>
          <w:color w:val="0432FF"/>
          <w:sz w:val="20"/>
          <w:szCs w:val="20"/>
        </w:rPr>
        <w:t xml:space="preserve">, </w:t>
      </w:r>
      <w:r w:rsidRPr="00CD0A13">
        <w:rPr>
          <w:rFonts w:ascii="Malgun Gothic" w:eastAsia="Malgun Gothic" w:hAnsi="Malgun Gothic" w:cs="Times New Roman" w:hint="eastAsia"/>
          <w:color w:val="0432FF"/>
          <w:sz w:val="20"/>
          <w:szCs w:val="20"/>
        </w:rPr>
        <w:t xml:space="preserve"> </w:t>
      </w:r>
      <w:r w:rsidRPr="00CD0A13">
        <w:rPr>
          <w:rFonts w:ascii="Malgun Gothic" w:eastAsia="Malgun Gothic" w:hAnsi="Malgun Gothic" w:cs="Times New Roman"/>
          <w:color w:val="7030A0"/>
          <w:sz w:val="20"/>
          <w:szCs w:val="20"/>
        </w:rPr>
        <w:t xml:space="preserve">Kang UG, Implications of Antipsychiatry for Psychiatry, </w:t>
      </w:r>
      <w:r w:rsidRPr="00CD0A13">
        <w:rPr>
          <w:rFonts w:ascii="Malgun Gothic" w:eastAsia="Malgun Gothic" w:hAnsi="Malgun Gothic" w:cs="Times New Roman" w:hint="eastAsia"/>
          <w:color w:val="7030A0"/>
          <w:sz w:val="20"/>
          <w:szCs w:val="20"/>
        </w:rPr>
        <w:t xml:space="preserve">Journal of Korean Neuropsychiatric Association, </w:t>
      </w:r>
      <w:r>
        <w:rPr>
          <w:rFonts w:ascii="Malgun Gothic" w:eastAsia="Malgun Gothic" w:hAnsi="Malgun Gothic" w:cs="Times New Roman"/>
          <w:color w:val="7030A0"/>
          <w:sz w:val="20"/>
          <w:szCs w:val="20"/>
        </w:rPr>
        <w:t xml:space="preserve">2025; </w:t>
      </w:r>
      <w:r w:rsidRPr="00CD0A13">
        <w:rPr>
          <w:rFonts w:ascii="Malgun Gothic" w:eastAsia="Malgun Gothic" w:hAnsi="Malgun Gothic" w:cs="Times New Roman" w:hint="eastAsia"/>
          <w:color w:val="7030A0"/>
          <w:sz w:val="20"/>
          <w:szCs w:val="20"/>
        </w:rPr>
        <w:t>64(3), 129-147</w:t>
      </w:r>
      <w:r>
        <w:rPr>
          <w:rFonts w:ascii="Malgun Gothic" w:eastAsia="Malgun Gothic" w:hAnsi="Malgun Gothic" w:cs="Times New Roman"/>
          <w:color w:val="0432FF"/>
          <w:sz w:val="20"/>
          <w:szCs w:val="20"/>
        </w:rPr>
        <w:t>)</w:t>
      </w:r>
      <w:r>
        <w:rPr>
          <w:rFonts w:ascii="Malgun Gothic" w:eastAsia="Malgun Gothic" w:hAnsi="Malgun Gothic" w:cs="Times New Roman" w:hint="eastAsia"/>
          <w:color w:val="0432FF"/>
          <w:sz w:val="20"/>
          <w:szCs w:val="20"/>
        </w:rPr>
        <w:t>.</w:t>
      </w:r>
      <w:r>
        <w:rPr>
          <w:rFonts w:ascii="Malgun Gothic" w:eastAsia="Malgun Gothic" w:hAnsi="Malgun Gothic" w:cs="Times New Roman"/>
          <w:color w:val="0432FF"/>
          <w:sz w:val="20"/>
          <w:szCs w:val="20"/>
        </w:rPr>
        <w:t xml:space="preserve"> </w:t>
      </w:r>
    </w:p>
    <w:p w14:paraId="60B72914" w14:textId="77777777" w:rsidR="00CB0386" w:rsidRDefault="00CB0386" w:rsidP="00930CB4">
      <w:pPr>
        <w:jc w:val="both"/>
        <w:rPr>
          <w:rFonts w:ascii="Malgun Gothic" w:eastAsia="Malgun Gothic" w:hAnsi="Malgun Gothic" w:cs="Times New Roman"/>
          <w:color w:val="0432FF"/>
          <w:sz w:val="20"/>
          <w:szCs w:val="20"/>
        </w:rPr>
      </w:pPr>
      <w:r>
        <w:rPr>
          <w:rFonts w:ascii="Malgun Gothic" w:eastAsia="Malgun Gothic" w:hAnsi="Malgun Gothic" w:cs="Times New Roman" w:hint="eastAsia"/>
          <w:color w:val="0432FF"/>
          <w:sz w:val="20"/>
          <w:szCs w:val="20"/>
        </w:rPr>
        <w:t>(각주:</w:t>
      </w:r>
      <w:r>
        <w:rPr>
          <w:rFonts w:ascii="Malgun Gothic" w:eastAsia="Malgun Gothic" w:hAnsi="Malgun Gothic" w:cs="Times New Roman"/>
          <w:color w:val="0432FF"/>
          <w:sz w:val="20"/>
          <w:szCs w:val="20"/>
        </w:rPr>
        <w:t xml:space="preserve"> </w:t>
      </w:r>
      <w:r w:rsidR="00E36BF7">
        <w:rPr>
          <w:rFonts w:ascii="Malgun Gothic" w:eastAsia="Malgun Gothic" w:hAnsi="Malgun Gothic" w:cs="Times New Roman" w:hint="eastAsia"/>
          <w:color w:val="0432FF"/>
          <w:sz w:val="20"/>
          <w:szCs w:val="20"/>
        </w:rPr>
        <w:t>영미 역사학계에서는 대표적으로 푸코가 말하는 광인의 배에 관한 일차자료는 누구도 발견할 수 없었는 등 일차 자료에서 기반 한 논의와는 동떨어진 것이라는 의</w:t>
      </w:r>
      <w:r w:rsidR="00AA283D">
        <w:rPr>
          <w:rFonts w:ascii="Malgun Gothic" w:eastAsia="Malgun Gothic" w:hAnsi="Malgun Gothic" w:cs="Times New Roman" w:hint="eastAsia"/>
          <w:color w:val="0432FF"/>
          <w:sz w:val="20"/>
          <w:szCs w:val="20"/>
        </w:rPr>
        <w:t>문</w:t>
      </w:r>
      <w:r w:rsidR="00E36BF7">
        <w:rPr>
          <w:rFonts w:ascii="Malgun Gothic" w:eastAsia="Malgun Gothic" w:hAnsi="Malgun Gothic" w:cs="Times New Roman" w:hint="eastAsia"/>
          <w:color w:val="0432FF"/>
          <w:sz w:val="20"/>
          <w:szCs w:val="20"/>
        </w:rPr>
        <w:t>이 제기되었다고 기술되고 있다</w:t>
      </w:r>
      <w:r w:rsidR="00E36BF7">
        <w:rPr>
          <w:rFonts w:ascii="Malgun Gothic" w:eastAsia="Malgun Gothic" w:hAnsi="Malgun Gothic" w:cs="Times New Roman"/>
          <w:color w:val="0432FF"/>
          <w:sz w:val="20"/>
          <w:szCs w:val="20"/>
        </w:rPr>
        <w:t xml:space="preserve">. </w:t>
      </w:r>
      <w:r w:rsidR="00E36BF7" w:rsidRPr="00E74A1F">
        <w:rPr>
          <w:rFonts w:asciiTheme="minorEastAsia" w:hAnsiTheme="minorEastAsia" w:hint="eastAsia"/>
          <w:color w:val="7030A0"/>
          <w:sz w:val="20"/>
          <w:szCs w:val="20"/>
        </w:rPr>
        <w:t>강성은2021</w:t>
      </w:r>
      <w:r w:rsidR="00E36BF7">
        <w:rPr>
          <w:rFonts w:ascii="Malgun Gothic" w:eastAsia="Malgun Gothic" w:hAnsi="Malgun Gothic" w:cs="Times New Roman"/>
          <w:color w:val="0432FF"/>
          <w:sz w:val="20"/>
          <w:szCs w:val="20"/>
        </w:rPr>
        <w:t xml:space="preserve">) </w:t>
      </w:r>
    </w:p>
    <w:p w14:paraId="6DAFC2D3" w14:textId="77777777" w:rsidR="007C6611" w:rsidRPr="00DC260B" w:rsidRDefault="007C6611" w:rsidP="00930CB4">
      <w:pPr>
        <w:jc w:val="both"/>
        <w:rPr>
          <w:rFonts w:ascii="Malgun Gothic" w:eastAsia="Malgun Gothic" w:hAnsi="Malgun Gothic" w:cs="Times New Roman"/>
          <w:color w:val="0432FF"/>
          <w:sz w:val="20"/>
          <w:szCs w:val="20"/>
        </w:rPr>
      </w:pPr>
      <w:r w:rsidRPr="00C80D0C">
        <w:rPr>
          <w:rFonts w:ascii="Malgun Gothic" w:eastAsia="Malgun Gothic" w:hAnsi="Malgun Gothic" w:cs="Times New Roman" w:hint="eastAsia"/>
          <w:color w:val="0432FF"/>
          <w:sz w:val="20"/>
          <w:szCs w:val="20"/>
        </w:rPr>
        <w:t>이러한 해석은 이후 정신의학사 연구에서 격리(seclusion)와 강박(restraint)을 둘러싼 논쟁에 중요한 영향을 미쳤으며, 이들 조치가 단순한 치료적 개입인지 아니면 사회적 통제 장치인지에 대한 지속적인 학술적 논의를 촉발하였다.</w:t>
      </w:r>
      <w:r w:rsidR="004819BA">
        <w:rPr>
          <w:rFonts w:ascii="Malgun Gothic" w:eastAsia="Malgun Gothic" w:hAnsi="Malgun Gothic" w:cs="Times New Roman"/>
          <w:color w:val="0432FF"/>
          <w:sz w:val="20"/>
          <w:szCs w:val="20"/>
        </w:rPr>
        <w:t xml:space="preserve"> </w:t>
      </w:r>
    </w:p>
    <w:p w14:paraId="0AD1FB56" w14:textId="77777777" w:rsidR="00960432" w:rsidRPr="00887AE0" w:rsidRDefault="00960432" w:rsidP="00960432">
      <w:pPr>
        <w:jc w:val="both"/>
        <w:rPr>
          <w:rFonts w:ascii="Malgun Gothic" w:eastAsia="Malgun Gothic" w:hAnsi="Malgun Gothic" w:cs="Times New Roman"/>
          <w:color w:val="7030A0"/>
          <w:sz w:val="20"/>
          <w:szCs w:val="20"/>
        </w:rPr>
      </w:pPr>
      <w:r w:rsidRPr="00960432">
        <w:rPr>
          <w:rFonts w:ascii="Malgun Gothic" w:eastAsia="Malgun Gothic" w:hAnsi="Malgun Gothic" w:cs="Times New Roman"/>
          <w:color w:val="7030A0"/>
          <w:sz w:val="20"/>
          <w:szCs w:val="20"/>
        </w:rPr>
        <w:lastRenderedPageBreak/>
        <w:t>Rothman DJ. (1971). The Discovery of the Asylum.: Social Order and Disorder in the New Republic</w:t>
      </w:r>
      <w:r w:rsidR="007F673D">
        <w:rPr>
          <w:rFonts w:ascii="Malgun Gothic" w:eastAsia="Malgun Gothic" w:hAnsi="Malgun Gothic" w:cs="Times New Roman"/>
          <w:color w:val="7030A0"/>
          <w:sz w:val="20"/>
          <w:szCs w:val="20"/>
        </w:rPr>
        <w:t xml:space="preserve"> (Rev.ed)</w:t>
      </w:r>
      <w:r w:rsidRPr="00960432">
        <w:rPr>
          <w:rFonts w:ascii="Malgun Gothic" w:eastAsia="Malgun Gothic" w:hAnsi="Malgun Gothic" w:cs="Times New Roman"/>
          <w:color w:val="7030A0"/>
          <w:sz w:val="20"/>
          <w:szCs w:val="20"/>
        </w:rPr>
        <w:t xml:space="preserve"> </w:t>
      </w:r>
      <w:r w:rsidRPr="00887AE0">
        <w:rPr>
          <w:rFonts w:ascii="Malgun Gothic" w:eastAsia="Malgun Gothic" w:hAnsi="Malgun Gothic" w:cs="Times New Roman"/>
          <w:color w:val="7030A0"/>
          <w:sz w:val="20"/>
          <w:szCs w:val="20"/>
        </w:rPr>
        <w:t>Little, Brown.</w:t>
      </w:r>
      <w:r w:rsidR="007F673D">
        <w:rPr>
          <w:rFonts w:ascii="Malgun Gothic" w:eastAsia="Malgun Gothic" w:hAnsi="Malgun Gothic" w:cs="Times New Roman"/>
          <w:color w:val="7030A0"/>
          <w:sz w:val="20"/>
          <w:szCs w:val="20"/>
        </w:rPr>
        <w:t xml:space="preserve"> Preface </w:t>
      </w:r>
    </w:p>
    <w:p w14:paraId="34A3CE43" w14:textId="77777777" w:rsidR="00887AE0" w:rsidRDefault="00887AE0" w:rsidP="00960432">
      <w:pPr>
        <w:jc w:val="both"/>
        <w:rPr>
          <w:rFonts w:ascii="Malgun Gothic" w:eastAsia="Malgun Gothic" w:hAnsi="Malgun Gothic" w:cs="Times New Roman"/>
          <w:color w:val="7030A0"/>
          <w:sz w:val="20"/>
          <w:szCs w:val="20"/>
        </w:rPr>
      </w:pPr>
      <w:r w:rsidRPr="00887AE0">
        <w:rPr>
          <w:rFonts w:ascii="Malgun Gothic" w:eastAsia="Malgun Gothic" w:hAnsi="Malgun Gothic" w:cs="Times New Roman"/>
          <w:color w:val="7030A0"/>
          <w:sz w:val="20"/>
          <w:szCs w:val="20"/>
        </w:rPr>
        <w:t>Grob, G. N. (1994). Mad among us. Simon and Schuster.</w:t>
      </w:r>
    </w:p>
    <w:p w14:paraId="0B2CA6C7" w14:textId="77777777" w:rsidR="00960432" w:rsidRPr="00887AE0" w:rsidRDefault="00887AE0" w:rsidP="00960432">
      <w:pPr>
        <w:jc w:val="both"/>
        <w:rPr>
          <w:rFonts w:ascii="Malgun Gothic" w:eastAsia="Malgun Gothic" w:hAnsi="Malgun Gothic" w:cs="Times New Roman"/>
          <w:color w:val="7030A0"/>
          <w:sz w:val="20"/>
          <w:szCs w:val="20"/>
        </w:rPr>
      </w:pPr>
      <w:r w:rsidRPr="00887AE0">
        <w:rPr>
          <w:rFonts w:ascii="Malgun Gothic" w:eastAsia="Malgun Gothic" w:hAnsi="Malgun Gothic" w:cs="Times New Roman"/>
          <w:color w:val="7030A0"/>
          <w:sz w:val="20"/>
          <w:szCs w:val="20"/>
        </w:rPr>
        <w:t>Scull, A. (2015). Madness in civilization: A cultural history of insanity, from the Bible to Freud, from the madhouse to modern medicine. Princeton University Press.</w:t>
      </w:r>
    </w:p>
    <w:p w14:paraId="4B06C9E1" w14:textId="77777777" w:rsidR="005E4248" w:rsidRDefault="005E4248" w:rsidP="00A8606D">
      <w:pPr>
        <w:jc w:val="both"/>
        <w:rPr>
          <w:rFonts w:ascii="Malgun Gothic" w:eastAsia="Malgun Gothic" w:hAnsi="Malgun Gothic" w:cs="Times New Roman"/>
          <w:color w:val="0432FF"/>
          <w:sz w:val="20"/>
          <w:szCs w:val="20"/>
        </w:rPr>
      </w:pPr>
    </w:p>
    <w:p w14:paraId="5E7B8F4F" w14:textId="77777777" w:rsidR="005E4248" w:rsidRPr="005E4248" w:rsidRDefault="005E4248" w:rsidP="005E4248">
      <w:pPr>
        <w:jc w:val="both"/>
        <w:rPr>
          <w:rFonts w:ascii="Malgun Gothic" w:eastAsia="Malgun Gothic" w:hAnsi="Malgun Gothic" w:cs="Times New Roman"/>
          <w:color w:val="0432FF"/>
          <w:sz w:val="20"/>
          <w:szCs w:val="20"/>
        </w:rPr>
      </w:pPr>
      <w:r w:rsidRPr="005E4248">
        <w:rPr>
          <w:rFonts w:ascii="Malgun Gothic" w:eastAsia="Malgun Gothic" w:hAnsi="Malgun Gothic" w:cs="Times New Roman"/>
          <w:color w:val="0432FF"/>
          <w:sz w:val="20"/>
          <w:szCs w:val="20"/>
        </w:rPr>
        <w:t>Although Philippe Pinel removed the chains restraining psychiatric patients, this did not mean that they were granted complete freedom. Instead, new institutional practices were introduced, including the use of straitjackets, seclusion rooms, and strict daily regulations. Contemporary physicians regarded these measures as a humanitarian advance—both a liberation from barbaric physical suffering and a means of creating an environment that enabled patients to regain self-control (Braslow, 1997; Berrios, 2010).</w:t>
      </w:r>
      <w:r w:rsidR="00BD4518">
        <w:rPr>
          <w:rFonts w:ascii="Malgun Gothic" w:eastAsia="Malgun Gothic" w:hAnsi="Malgun Gothic" w:cs="Times New Roman"/>
          <w:color w:val="0432FF"/>
          <w:sz w:val="20"/>
          <w:szCs w:val="20"/>
        </w:rPr>
        <w:t xml:space="preserve"> (Footnote; </w:t>
      </w:r>
      <w:r w:rsidR="00BD4518" w:rsidRPr="00BD4518">
        <w:rPr>
          <w:rFonts w:ascii="Malgun Gothic" w:eastAsia="Malgun Gothic" w:hAnsi="Malgun Gothic" w:cs="Times New Roman"/>
          <w:color w:val="0432FF"/>
          <w:sz w:val="20"/>
          <w:szCs w:val="20"/>
        </w:rPr>
        <w:t>Pinel’s reforms are often remembered for the removal of chains from psychiatric patients. However, his contribution to liberating patients from restraint was not limited to physical restraint alone. According to René Semelaigne, Pinel was among the physicians who reacted most strongly against the abuse of polypharmacy and the routine use of medications that characterized medical practice at the time (Semelaigne, Pinel, p.130). This attitude is also reflected in the following well-known statement attributed to Pinel: “It is an art of no little importance to administer medicines properly; but it is an art of much greater and more difficult acquisition to know when to suspend or altogether to omit them.”</w:t>
      </w:r>
      <w:r w:rsidR="00BD4518">
        <w:rPr>
          <w:rFonts w:ascii="Malgun Gothic" w:eastAsia="Malgun Gothic" w:hAnsi="Malgun Gothic" w:cs="Times New Roman"/>
          <w:color w:val="0432FF"/>
          <w:sz w:val="20"/>
          <w:szCs w:val="20"/>
        </w:rPr>
        <w:t xml:space="preserve"> </w:t>
      </w:r>
      <w:r w:rsidR="00BD4518">
        <w:rPr>
          <w:rFonts w:ascii="Malgun Gothic" w:eastAsia="Malgun Gothic" w:hAnsi="Malgun Gothic" w:cs="Times New Roman"/>
          <w:color w:val="7030A0"/>
          <w:sz w:val="20"/>
          <w:szCs w:val="20"/>
        </w:rPr>
        <w:t>(</w:t>
      </w:r>
      <w:r w:rsidR="00BD4518" w:rsidRPr="00BD4518">
        <w:rPr>
          <w:rFonts w:ascii="Malgun Gothic" w:eastAsia="Malgun Gothic" w:hAnsi="Malgun Gothic" w:cs="Times New Roman"/>
          <w:color w:val="7030A0"/>
          <w:sz w:val="20"/>
          <w:szCs w:val="20"/>
        </w:rPr>
        <w:t>Semelaigne R.</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Pinel et son œuvre psychiatrique.</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Paris: G. Masson; 1888. p.130</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Shorter E.</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A historical dictionary of psychiatry.</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Oxford University Press; 2005. pp.208–209</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Porter R.</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Madness: A brief history.</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Oxford University Press; 2002. pp.102–04</w:t>
      </w:r>
      <w:r w:rsidR="00BD4518">
        <w:rPr>
          <w:rFonts w:ascii="Malgun Gothic" w:eastAsia="Malgun Gothic" w:hAnsi="Malgun Gothic" w:cs="Times New Roman"/>
          <w:color w:val="7030A0"/>
          <w:sz w:val="20"/>
          <w:szCs w:val="20"/>
        </w:rPr>
        <w:t xml:space="preserve">; </w:t>
      </w:r>
      <w:r w:rsidR="00BD4518" w:rsidRPr="00BD4518">
        <w:rPr>
          <w:rFonts w:ascii="Malgun Gothic" w:eastAsia="Malgun Gothic" w:hAnsi="Malgun Gothic" w:cs="Times New Roman"/>
          <w:color w:val="7030A0"/>
          <w:sz w:val="20"/>
          <w:szCs w:val="20"/>
        </w:rPr>
        <w:t>https://madnessofnorthwales.com/philippe-pinel-treatise-on-mental-alienation-1809/#:~:text=Translators'%20Preface,omit%20them%E2%80%9D%5B1%5D.</w:t>
      </w:r>
      <w:r w:rsidR="00BD4518">
        <w:rPr>
          <w:rFonts w:ascii="Malgun Gothic" w:eastAsia="Malgun Gothic" w:hAnsi="Malgun Gothic" w:cs="Times New Roman"/>
          <w:color w:val="0432FF"/>
          <w:sz w:val="20"/>
          <w:szCs w:val="20"/>
        </w:rPr>
        <w:t>)</w:t>
      </w:r>
    </w:p>
    <w:p w14:paraId="4535A9FB" w14:textId="77777777" w:rsidR="005E4248" w:rsidRPr="005E4248" w:rsidRDefault="005E4248" w:rsidP="005E4248">
      <w:pPr>
        <w:jc w:val="both"/>
        <w:rPr>
          <w:rFonts w:ascii="Malgun Gothic" w:eastAsia="Malgun Gothic" w:hAnsi="Malgun Gothic" w:cs="Times New Roman"/>
          <w:color w:val="0432FF"/>
          <w:sz w:val="20"/>
          <w:szCs w:val="20"/>
        </w:rPr>
      </w:pPr>
      <w:r w:rsidRPr="005E4248">
        <w:rPr>
          <w:rFonts w:ascii="Malgun Gothic" w:eastAsia="Malgun Gothic" w:hAnsi="Malgun Gothic" w:cs="Times New Roman"/>
          <w:color w:val="0432FF"/>
          <w:sz w:val="20"/>
          <w:szCs w:val="20"/>
        </w:rPr>
        <w:t>However, what has sometimes been described as Pinel’s “dramatic liberation of the chains” (Kang, 2021) was later critically reinterpreted by Michel Foucault, whose work strongly influenced the anti-psychiatry movement of the twentieth century. Foucault referred to this narrative as the “myth of Pinel” (mythe de Pinel) and argued that the removal of physical restraints actually represented a transformation of power, whereby overt coercion was replaced by systems of moral discipline and surveillance (Kang, 2021; Kang UG, 2025).</w:t>
      </w:r>
    </w:p>
    <w:p w14:paraId="36C6EBAF" w14:textId="77777777" w:rsidR="005E4248" w:rsidRDefault="005E4248" w:rsidP="005E4248">
      <w:pPr>
        <w:jc w:val="both"/>
        <w:rPr>
          <w:rFonts w:ascii="Malgun Gothic" w:eastAsia="Malgun Gothic" w:hAnsi="Malgun Gothic" w:cs="Times New Roman"/>
          <w:color w:val="0432FF"/>
          <w:sz w:val="20"/>
          <w:szCs w:val="20"/>
        </w:rPr>
      </w:pPr>
      <w:r w:rsidRPr="00C80D0C">
        <w:rPr>
          <w:rFonts w:ascii="Malgun Gothic" w:eastAsia="Malgun Gothic" w:hAnsi="Malgun Gothic" w:cs="Times New Roman"/>
          <w:color w:val="0432FF"/>
          <w:sz w:val="20"/>
          <w:szCs w:val="20"/>
        </w:rPr>
        <w:t xml:space="preserve">This interpretation subsequently exerted considerable influence on historical studies of psychiatry, shaping debates over seclusion and restraint. In particular, it stimulated continuing scholarly </w:t>
      </w:r>
      <w:r w:rsidRPr="00C80D0C">
        <w:rPr>
          <w:rFonts w:ascii="Malgun Gothic" w:eastAsia="Malgun Gothic" w:hAnsi="Malgun Gothic" w:cs="Times New Roman"/>
          <w:color w:val="0432FF"/>
          <w:sz w:val="20"/>
          <w:szCs w:val="20"/>
        </w:rPr>
        <w:lastRenderedPageBreak/>
        <w:t>discussion about whether these measures should be understood primarily as therapeutic interventions or as instruments of social control.</w:t>
      </w:r>
    </w:p>
    <w:p w14:paraId="084C68D3" w14:textId="77777777" w:rsidR="005E4248" w:rsidRPr="005E4248" w:rsidRDefault="005E4248" w:rsidP="005E4248">
      <w:pPr>
        <w:jc w:val="both"/>
        <w:rPr>
          <w:rFonts w:ascii="Malgun Gothic" w:eastAsia="Malgun Gothic" w:hAnsi="Malgun Gothic" w:cs="Times New Roman"/>
          <w:color w:val="0432FF"/>
          <w:sz w:val="20"/>
          <w:szCs w:val="20"/>
        </w:rPr>
      </w:pPr>
    </w:p>
    <w:p w14:paraId="765E2EBB" w14:textId="77777777" w:rsidR="00841A1C" w:rsidRPr="00841A1C" w:rsidRDefault="00841A1C" w:rsidP="00841A1C">
      <w:pPr>
        <w:jc w:val="both"/>
        <w:rPr>
          <w:rFonts w:ascii="Malgun Gothic" w:eastAsia="Malgun Gothic" w:hAnsi="Malgun Gothic" w:cs="Times New Roman"/>
          <w:color w:val="0432FF"/>
          <w:sz w:val="20"/>
          <w:szCs w:val="20"/>
        </w:rPr>
      </w:pPr>
      <w:r w:rsidRPr="00841A1C">
        <w:rPr>
          <w:rFonts w:ascii="Malgun Gothic" w:eastAsia="Malgun Gothic" w:hAnsi="Malgun Gothic" w:cs="Times New Roman" w:hint="eastAsia"/>
          <w:color w:val="0432FF"/>
          <w:sz w:val="20"/>
          <w:szCs w:val="20"/>
        </w:rPr>
        <w:t>반정신의학 운동과 환자 권리 운동의 영향으로 1960~1970년대를 거치며 정신질환자의 인권에 대한 사회적 인식은 크게 제고되었고 (Yıldız et al., 2024), 이에 따라 1980년대 이후 여러 국가에서는 화학적 구속을 포함한 다양한 억제 조치의 사용을 제한하기 위한 지침과 정책이 마련되었다. 그 결과 정신질환자 관리와 치료 방식은 점차 인권 중심의 방향으로 변화해 왔다.</w:t>
      </w:r>
    </w:p>
    <w:p w14:paraId="1633B219" w14:textId="77777777" w:rsidR="00841A1C" w:rsidRDefault="00841A1C" w:rsidP="00841A1C">
      <w:pPr>
        <w:jc w:val="both"/>
        <w:rPr>
          <w:rFonts w:ascii="Malgun Gothic" w:eastAsia="Malgun Gothic" w:hAnsi="Malgun Gothic" w:cs="Times New Roman"/>
          <w:color w:val="0432FF"/>
          <w:sz w:val="20"/>
          <w:szCs w:val="20"/>
        </w:rPr>
      </w:pPr>
      <w:r w:rsidRPr="00841A1C">
        <w:rPr>
          <w:rFonts w:ascii="Malgun Gothic" w:eastAsia="Malgun Gothic" w:hAnsi="Malgun Gothic" w:cs="Times New Roman" w:hint="eastAsia"/>
          <w:color w:val="0432FF"/>
          <w:sz w:val="20"/>
          <w:szCs w:val="20"/>
        </w:rPr>
        <w:t>그러나 반정신의학 담론에서는 환자의 공격적 행동이나 극도의 흥분 상태를 사회적 억압에 대한 반응 또는 의미 있는 표현으로 해석하는 경향이 존재한다. 실제로 정신병원은 역사적으로 치료 기관이면서 동시에 사회적 위험을 관리하는 제도적 공간의 역할을 수행해 왔으며 (Goffman, 1961; Scull, 2015), 여기에 정신질환에 대한 낙인(Link &amp; Phelan, 2001)과 행동 관찰 중심의 진단 체계(Tyrer &amp; Kendall, 2009)가 결합되면서 억제와 강제 개입은 정신의학 실천에서 일정한 구조적 기능을 수행해 왔다.</w:t>
      </w:r>
    </w:p>
    <w:p w14:paraId="58442DCA" w14:textId="77777777" w:rsidR="00125A56" w:rsidRPr="00125A56" w:rsidRDefault="00125A56" w:rsidP="00125A56">
      <w:pPr>
        <w:jc w:val="both"/>
        <w:rPr>
          <w:rFonts w:ascii="Malgun Gothic" w:eastAsia="Malgun Gothic" w:hAnsi="Malgun Gothic" w:cs="Times New Roman"/>
          <w:color w:val="0432FF"/>
          <w:sz w:val="20"/>
          <w:szCs w:val="20"/>
        </w:rPr>
      </w:pPr>
      <w:r w:rsidRPr="00125A56">
        <w:rPr>
          <w:rFonts w:ascii="Malgun Gothic" w:eastAsia="Malgun Gothic" w:hAnsi="Malgun Gothic" w:cs="Times New Roman"/>
          <w:color w:val="0432FF"/>
          <w:sz w:val="20"/>
          <w:szCs w:val="20"/>
        </w:rPr>
        <w:t>Influenced by the antipsychiatry movement and the patient rights movement, social awareness of the human rights of individuals with mental illness increased substantially during the 1960s and 1970s (Yıldız et al., 2024). Consequently, since the 1980s many countries have introduced guidelines and policies aimed at restricting the use of coercive measures, including chemical restraint. As a result, approaches to the management and treatment of individuals with mental illness have gradually shifted toward a more human rights–centered framework.</w:t>
      </w:r>
    </w:p>
    <w:p w14:paraId="4A9D8DE0" w14:textId="77777777" w:rsidR="00125A56" w:rsidRPr="00125A56" w:rsidRDefault="00125A56" w:rsidP="00125A56">
      <w:pPr>
        <w:jc w:val="both"/>
        <w:rPr>
          <w:rFonts w:ascii="Malgun Gothic" w:eastAsia="Malgun Gothic" w:hAnsi="Malgun Gothic" w:cs="Times New Roman"/>
          <w:color w:val="0432FF"/>
          <w:sz w:val="20"/>
          <w:szCs w:val="20"/>
        </w:rPr>
      </w:pPr>
    </w:p>
    <w:p w14:paraId="1958AF02" w14:textId="77777777" w:rsidR="00125A56" w:rsidRDefault="00125A56" w:rsidP="00125A56">
      <w:pPr>
        <w:jc w:val="both"/>
        <w:rPr>
          <w:rFonts w:ascii="Malgun Gothic" w:eastAsia="Malgun Gothic" w:hAnsi="Malgun Gothic" w:cs="Times New Roman"/>
          <w:color w:val="0432FF"/>
          <w:sz w:val="20"/>
          <w:szCs w:val="20"/>
        </w:rPr>
      </w:pPr>
      <w:r w:rsidRPr="00125A56">
        <w:rPr>
          <w:rFonts w:ascii="Malgun Gothic" w:eastAsia="Malgun Gothic" w:hAnsi="Malgun Gothic" w:cs="Times New Roman"/>
          <w:color w:val="0432FF"/>
          <w:sz w:val="20"/>
          <w:szCs w:val="20"/>
        </w:rPr>
        <w:t>However, within antipsychiatric discourse, patients’ aggressive behavior or states of extreme agitation are sometimes interpreted as responses to social oppression or as meaningful expressions. Historically, psychiatric hospitals have functioned not only as therapeutic institutions but also as institutional spaces for managing social risk (Goffman, 1961; Scull, 2015). In this context, the combination of stigma associated with mental illness (Link &amp; Phelan, 2001) and diagnostic frameworks centered on behavioral observation (Tyrer &amp; Kendall, 2009) has contributed to the persistence of restraint and coercive interventions as structural elements within psychiatric practice.</w:t>
      </w:r>
    </w:p>
    <w:p w14:paraId="7A3E9107"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Appelbaum, P. S. (1994). Almost a revolution: Mental health law and the limits of change. Oxford University Press.</w:t>
      </w:r>
      <w:r>
        <w:rPr>
          <w:rFonts w:asciiTheme="minorEastAsia" w:hAnsiTheme="minorEastAsia"/>
          <w:color w:val="7030A0"/>
          <w:sz w:val="20"/>
          <w:szCs w:val="20"/>
        </w:rPr>
        <w:t xml:space="preserve"> </w:t>
      </w:r>
    </w:p>
    <w:p w14:paraId="4D4EA750"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Appelbaum, P. S. (2007). Assessment of patients’ competence to consent to treatment. New England Journal of Medicine, 357(18), 1834–1840.</w:t>
      </w:r>
      <w:r>
        <w:rPr>
          <w:rFonts w:asciiTheme="minorEastAsia" w:hAnsiTheme="minorEastAsia"/>
          <w:color w:val="7030A0"/>
          <w:sz w:val="20"/>
          <w:szCs w:val="20"/>
        </w:rPr>
        <w:t xml:space="preserve"> </w:t>
      </w:r>
    </w:p>
    <w:p w14:paraId="5D7585F2"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lastRenderedPageBreak/>
        <w:t>Braslow, J. T. (1997). Mental illness and the American asylum, 1875–1940. Cambridge University Press.</w:t>
      </w:r>
      <w:r>
        <w:rPr>
          <w:rFonts w:asciiTheme="minorEastAsia" w:hAnsiTheme="minorEastAsia"/>
          <w:color w:val="7030A0"/>
          <w:sz w:val="20"/>
          <w:szCs w:val="20"/>
        </w:rPr>
        <w:t xml:space="preserve"> </w:t>
      </w:r>
      <w:r w:rsidRPr="005822AD">
        <w:rPr>
          <w:rFonts w:asciiTheme="minorEastAsia" w:hAnsiTheme="minorEastAsia"/>
          <w:color w:val="7030A0"/>
          <w:sz w:val="20"/>
          <w:szCs w:val="20"/>
        </w:rPr>
        <w:t xml:space="preserve">Goffman, E. (1961). Asylums: Essays on the social situation of mental patients and other inmates. </w:t>
      </w:r>
    </w:p>
    <w:p w14:paraId="00A0859C"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Anchor Books.</w:t>
      </w:r>
      <w:r>
        <w:rPr>
          <w:rFonts w:asciiTheme="minorEastAsia" w:hAnsiTheme="minorEastAsia"/>
          <w:color w:val="7030A0"/>
          <w:sz w:val="20"/>
          <w:szCs w:val="20"/>
        </w:rPr>
        <w:t xml:space="preserve"> </w:t>
      </w:r>
      <w:r w:rsidRPr="005822AD">
        <w:rPr>
          <w:rFonts w:asciiTheme="minorEastAsia" w:hAnsiTheme="minorEastAsia"/>
          <w:color w:val="7030A0"/>
          <w:sz w:val="20"/>
          <w:szCs w:val="20"/>
        </w:rPr>
        <w:t>Link, B. G., &amp; Phelan, J. C. (2001). Conceptualizing stigma. Annual Review of Sociology, 27, 363–385.</w:t>
      </w:r>
      <w:r>
        <w:rPr>
          <w:rFonts w:asciiTheme="minorEastAsia" w:hAnsiTheme="minorEastAsia"/>
          <w:color w:val="7030A0"/>
          <w:sz w:val="20"/>
          <w:szCs w:val="20"/>
        </w:rPr>
        <w:t xml:space="preserve"> </w:t>
      </w:r>
    </w:p>
    <w:p w14:paraId="29326C58"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Monahan, J., &amp; Steadman, H. J. (Eds.). (1994). Violence and mental disorder: Develop­ments in risk assessment. University of Chicago Press.</w:t>
      </w:r>
      <w:r>
        <w:rPr>
          <w:rFonts w:asciiTheme="minorEastAsia" w:hAnsiTheme="minorEastAsia"/>
          <w:color w:val="7030A0"/>
          <w:sz w:val="20"/>
          <w:szCs w:val="20"/>
        </w:rPr>
        <w:t xml:space="preserve"> </w:t>
      </w:r>
    </w:p>
    <w:p w14:paraId="0E732811"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Porter, R. (2002). Madness: A brief history. Oxford University Press.</w:t>
      </w:r>
      <w:r>
        <w:rPr>
          <w:rFonts w:asciiTheme="minorEastAsia" w:hAnsiTheme="minorEastAsia"/>
          <w:color w:val="7030A0"/>
          <w:sz w:val="20"/>
          <w:szCs w:val="20"/>
        </w:rPr>
        <w:t xml:space="preserve"> </w:t>
      </w:r>
    </w:p>
    <w:p w14:paraId="72D4C6B6"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Scull, A. (2015). Madness in civilization: A cultural history of insanity. Princeton University Press.</w:t>
      </w:r>
      <w:r>
        <w:rPr>
          <w:rFonts w:asciiTheme="minorEastAsia" w:hAnsiTheme="minorEastAsia"/>
          <w:color w:val="7030A0"/>
          <w:sz w:val="20"/>
          <w:szCs w:val="20"/>
        </w:rPr>
        <w:t xml:space="preserve"> </w:t>
      </w:r>
    </w:p>
    <w:p w14:paraId="67D834F4" w14:textId="77777777" w:rsidR="0023514E" w:rsidRDefault="0023514E" w:rsidP="0023514E">
      <w:pPr>
        <w:jc w:val="both"/>
        <w:rPr>
          <w:rFonts w:asciiTheme="minorEastAsia" w:hAnsiTheme="minorEastAsia"/>
          <w:color w:val="7030A0"/>
          <w:sz w:val="20"/>
          <w:szCs w:val="20"/>
        </w:rPr>
      </w:pPr>
      <w:r w:rsidRPr="005822AD">
        <w:rPr>
          <w:rFonts w:asciiTheme="minorEastAsia" w:hAnsiTheme="minorEastAsia"/>
          <w:color w:val="7030A0"/>
          <w:sz w:val="20"/>
          <w:szCs w:val="20"/>
        </w:rPr>
        <w:t>Shorter, E. (1997). A history of psychiatry: From the era of the asylum to the age of Prozac. Wiley.</w:t>
      </w:r>
      <w:r>
        <w:rPr>
          <w:rFonts w:asciiTheme="minorEastAsia" w:hAnsiTheme="minorEastAsia"/>
          <w:color w:val="7030A0"/>
          <w:sz w:val="20"/>
          <w:szCs w:val="20"/>
        </w:rPr>
        <w:t xml:space="preserve"> </w:t>
      </w:r>
    </w:p>
    <w:p w14:paraId="6C746E66" w14:textId="77777777" w:rsidR="0023514E" w:rsidRPr="0023514E" w:rsidRDefault="0023514E" w:rsidP="00125A56">
      <w:pPr>
        <w:jc w:val="both"/>
        <w:rPr>
          <w:rFonts w:asciiTheme="minorEastAsia" w:hAnsiTheme="minorEastAsia"/>
          <w:color w:val="7030A0"/>
          <w:sz w:val="20"/>
          <w:szCs w:val="20"/>
        </w:rPr>
      </w:pPr>
      <w:r>
        <w:rPr>
          <w:rFonts w:asciiTheme="minorEastAsia" w:hAnsiTheme="minorEastAsia"/>
          <w:color w:val="7030A0"/>
          <w:sz w:val="20"/>
          <w:szCs w:val="20"/>
        </w:rPr>
        <w:t>T</w:t>
      </w:r>
      <w:r w:rsidRPr="005822AD">
        <w:rPr>
          <w:rFonts w:asciiTheme="minorEastAsia" w:hAnsiTheme="minorEastAsia"/>
          <w:color w:val="7030A0"/>
          <w:sz w:val="20"/>
          <w:szCs w:val="20"/>
        </w:rPr>
        <w:t>yrer, P., &amp; Kendall, T. (2009). The spurious advance of knowledge in psychiatry. British Journal of Psychiatry, 194(1), 2–3.</w:t>
      </w:r>
    </w:p>
    <w:p w14:paraId="49BC1F43" w14:textId="77777777" w:rsidR="00C80D0C" w:rsidRDefault="00841A1C" w:rsidP="00841A1C">
      <w:pPr>
        <w:jc w:val="both"/>
        <w:rPr>
          <w:rFonts w:ascii="Malgun Gothic" w:eastAsia="Malgun Gothic" w:hAnsi="Malgun Gothic" w:cs="Times New Roman"/>
          <w:color w:val="0432FF"/>
          <w:sz w:val="20"/>
          <w:szCs w:val="20"/>
        </w:rPr>
      </w:pPr>
      <w:r w:rsidRPr="00841A1C">
        <w:rPr>
          <w:rFonts w:ascii="Malgun Gothic" w:eastAsia="Malgun Gothic" w:hAnsi="Malgun Gothic" w:cs="Times New Roman" w:hint="eastAsia"/>
          <w:color w:val="0432FF"/>
          <w:sz w:val="20"/>
          <w:szCs w:val="20"/>
        </w:rPr>
        <w:t>그럼에도 실제 임상 현장에서는 이러한 상태가 환자 자신과 타인에게 심각한 위해를 초래할 수 있는 응급 상황으로 나타나는 경우가 많으며 신속한 개입이 요구되기도 한다. 따라서 극도의 흥분 상태에 있는 환자의 치료 거부를 어떻게 해석할 것인지, 그리고 환자의 자율성과 안전 확보 사이의 균형을 어떻게 설정할 것인지는 여전히 중요한 윤리적 과제로 남아 있다. 이러한 맥락에서 화학적 억제를 둘러싼 논쟁은 단순한 윤리적 규범의 문제가 아니라 임상적 필요, 제도적 책임, 그리고 사회적 가치가 교차하는 복합적 문제로 이해될 필요가 있다.</w:t>
      </w:r>
    </w:p>
    <w:p w14:paraId="51082FDF" w14:textId="77777777" w:rsidR="00841A1C" w:rsidRDefault="0023514E" w:rsidP="00841A1C">
      <w:pPr>
        <w:jc w:val="both"/>
        <w:rPr>
          <w:rFonts w:ascii="Malgun Gothic" w:eastAsia="Malgun Gothic" w:hAnsi="Malgun Gothic" w:cs="Times New Roman"/>
          <w:color w:val="0432FF"/>
          <w:sz w:val="20"/>
          <w:szCs w:val="20"/>
        </w:rPr>
      </w:pPr>
      <w:r w:rsidRPr="0023514E">
        <w:rPr>
          <w:rFonts w:ascii="Malgun Gothic" w:eastAsia="Malgun Gothic" w:hAnsi="Malgun Gothic" w:cs="Times New Roman"/>
          <w:color w:val="0432FF"/>
          <w:sz w:val="20"/>
          <w:szCs w:val="20"/>
        </w:rPr>
        <w:t>Nevertheless, in actual clinical settings, such conditions often present as emergency situations that may pose serious risks to both the patient and others, thereby requiring prompt intervention. In such circumstances, the question of how to interpret treatment refusal by patients in states of extreme agitation, and how to balance respect for patient autonomy with the need to ensure safety, remains an important ethical challenge. In this context, debates surrounding chemical restraint should not be understood merely as issues of ethical norms, but rather as complex matters in which clinical necessity, institutional responsibility, and societal values intersect.</w:t>
      </w:r>
    </w:p>
    <w:p w14:paraId="42215262" w14:textId="77777777" w:rsidR="00652D53" w:rsidRPr="004759C1" w:rsidRDefault="00652D53" w:rsidP="00841A1C">
      <w:pPr>
        <w:jc w:val="both"/>
        <w:rPr>
          <w:rFonts w:ascii="Malgun Gothic" w:eastAsia="Malgun Gothic" w:hAnsi="Malgun Gothic" w:cs="Times New Roman"/>
          <w:color w:val="0432FF"/>
          <w:sz w:val="20"/>
          <w:szCs w:val="20"/>
        </w:rPr>
      </w:pPr>
    </w:p>
    <w:p w14:paraId="13624150" w14:textId="77777777" w:rsidR="00814065" w:rsidRPr="004759C1" w:rsidRDefault="00814065" w:rsidP="005425BE">
      <w:pPr>
        <w:jc w:val="both"/>
        <w:rPr>
          <w:rFonts w:asciiTheme="minorEastAsia" w:hAnsiTheme="minorEastAsia"/>
          <w:b/>
          <w:bCs/>
          <w:color w:val="0432FF"/>
          <w:sz w:val="20"/>
          <w:szCs w:val="20"/>
        </w:rPr>
      </w:pPr>
      <w:r w:rsidRPr="004759C1">
        <w:rPr>
          <w:rFonts w:asciiTheme="minorEastAsia" w:hAnsiTheme="minorEastAsia"/>
          <w:b/>
          <w:bCs/>
          <w:color w:val="0432FF"/>
          <w:sz w:val="20"/>
          <w:szCs w:val="20"/>
        </w:rPr>
        <w:t>II</w:t>
      </w:r>
      <w:r w:rsidR="0001153C" w:rsidRPr="004759C1">
        <w:rPr>
          <w:rFonts w:asciiTheme="minorEastAsia" w:hAnsiTheme="minorEastAsia"/>
          <w:b/>
          <w:bCs/>
          <w:color w:val="0432FF"/>
          <w:sz w:val="20"/>
          <w:szCs w:val="20"/>
        </w:rPr>
        <w:t>l</w:t>
      </w:r>
      <w:r w:rsidRPr="004759C1">
        <w:rPr>
          <w:rFonts w:asciiTheme="minorEastAsia" w:hAnsiTheme="minorEastAsia"/>
          <w:b/>
          <w:bCs/>
          <w:color w:val="0432FF"/>
          <w:sz w:val="20"/>
          <w:szCs w:val="20"/>
        </w:rPr>
        <w:t xml:space="preserve">. </w:t>
      </w:r>
      <w:r w:rsidRPr="004759C1">
        <w:rPr>
          <w:rFonts w:asciiTheme="minorEastAsia" w:hAnsiTheme="minorEastAsia" w:hint="eastAsia"/>
          <w:b/>
          <w:bCs/>
          <w:color w:val="0432FF"/>
          <w:sz w:val="20"/>
          <w:szCs w:val="20"/>
        </w:rPr>
        <w:t>화학적 억제의 정의</w:t>
      </w:r>
      <w:r w:rsidR="004F60A2">
        <w:rPr>
          <w:rFonts w:asciiTheme="minorEastAsia" w:hAnsiTheme="minorEastAsia" w:hint="eastAsia"/>
          <w:b/>
          <w:bCs/>
          <w:color w:val="0432FF"/>
          <w:sz w:val="20"/>
          <w:szCs w:val="20"/>
        </w:rPr>
        <w:t>와 개념</w:t>
      </w:r>
    </w:p>
    <w:p w14:paraId="3B704705" w14:textId="77777777" w:rsidR="0023514E" w:rsidRPr="004759C1" w:rsidRDefault="00FC2D4F" w:rsidP="00814065">
      <w:pPr>
        <w:jc w:val="both"/>
        <w:rPr>
          <w:rFonts w:asciiTheme="minorEastAsia" w:hAnsiTheme="minorEastAsia"/>
          <w:b/>
          <w:bCs/>
          <w:color w:val="0432FF"/>
          <w:sz w:val="20"/>
          <w:szCs w:val="20"/>
        </w:rPr>
      </w:pPr>
      <w:r w:rsidRPr="004759C1">
        <w:rPr>
          <w:rFonts w:asciiTheme="minorEastAsia" w:hAnsiTheme="minorEastAsia"/>
          <w:b/>
          <w:bCs/>
          <w:color w:val="0432FF"/>
          <w:sz w:val="20"/>
          <w:szCs w:val="20"/>
        </w:rPr>
        <w:t>T</w:t>
      </w:r>
      <w:r w:rsidR="00FC0785" w:rsidRPr="004759C1">
        <w:rPr>
          <w:rFonts w:asciiTheme="minorEastAsia" w:hAnsiTheme="minorEastAsia"/>
          <w:b/>
          <w:bCs/>
          <w:color w:val="0432FF"/>
          <w:sz w:val="20"/>
          <w:szCs w:val="20"/>
        </w:rPr>
        <w:t>he definition</w:t>
      </w:r>
      <w:r w:rsidR="004F60A2">
        <w:rPr>
          <w:rFonts w:asciiTheme="minorEastAsia" w:hAnsiTheme="minorEastAsia"/>
          <w:b/>
          <w:bCs/>
          <w:color w:val="0432FF"/>
          <w:sz w:val="20"/>
          <w:szCs w:val="20"/>
        </w:rPr>
        <w:t xml:space="preserve"> and concept </w:t>
      </w:r>
      <w:r w:rsidR="00FC0785" w:rsidRPr="004759C1">
        <w:rPr>
          <w:rFonts w:asciiTheme="minorEastAsia" w:hAnsiTheme="minorEastAsia"/>
          <w:b/>
          <w:bCs/>
          <w:color w:val="0432FF"/>
          <w:sz w:val="20"/>
          <w:szCs w:val="20"/>
        </w:rPr>
        <w:t>of chemical restraint</w:t>
      </w:r>
    </w:p>
    <w:p w14:paraId="5D61640E" w14:textId="77777777" w:rsidR="00FD6C96" w:rsidRPr="00FD6C96" w:rsidRDefault="00FD6C96" w:rsidP="00FD6C96">
      <w:pPr>
        <w:jc w:val="both"/>
        <w:rPr>
          <w:rFonts w:asciiTheme="minorEastAsia" w:hAnsiTheme="minorEastAsia"/>
          <w:color w:val="000000" w:themeColor="text1"/>
          <w:sz w:val="20"/>
          <w:szCs w:val="20"/>
        </w:rPr>
      </w:pPr>
      <w:r w:rsidRPr="00F300BE">
        <w:rPr>
          <w:rFonts w:asciiTheme="minorEastAsia" w:hAnsiTheme="minorEastAsia" w:hint="eastAsia"/>
          <w:color w:val="0432FF"/>
          <w:sz w:val="20"/>
          <w:szCs w:val="20"/>
        </w:rPr>
        <w:t xml:space="preserve">Chemical restraint를 둘러싼 논쟁에서 간과되기 쉬운 점은 정신의학에서 근거(evidence)를 확보하는 일이 다른 의학 분야보다 어렵다는 사실이다. 이는 단순히 자료 수집이 어렵기 </w:t>
      </w:r>
      <w:r w:rsidRPr="00F300BE">
        <w:rPr>
          <w:rFonts w:asciiTheme="minorEastAsia" w:hAnsiTheme="minorEastAsia" w:hint="eastAsia"/>
          <w:color w:val="0432FF"/>
          <w:sz w:val="20"/>
          <w:szCs w:val="20"/>
        </w:rPr>
        <w:lastRenderedPageBreak/>
        <w:t xml:space="preserve">때문만이 아니라, 정신의학적 개입의 상당수가 복합적 성격을 지니기 때문이다. 이러한 개입은 단순한 중재(intervention)보다 다양한 요인이 결합된 complex intervention의 형태를 띠며, 그로부터 도출된 자료의 해석 역시 상대적으로 복잡해질 수밖에 없다 </w:t>
      </w:r>
      <w:r w:rsidRPr="00FD6C96">
        <w:rPr>
          <w:rFonts w:asciiTheme="minorEastAsia" w:hAnsiTheme="minorEastAsia" w:hint="eastAsia"/>
          <w:color w:val="000000" w:themeColor="text1"/>
          <w:sz w:val="20"/>
          <w:szCs w:val="20"/>
        </w:rPr>
        <w:t>(</w:t>
      </w:r>
      <w:r w:rsidRPr="00F300BE">
        <w:rPr>
          <w:rFonts w:asciiTheme="minorEastAsia" w:hAnsiTheme="minorEastAsia" w:hint="eastAsia"/>
          <w:color w:val="7030A0"/>
          <w:sz w:val="20"/>
          <w:szCs w:val="20"/>
        </w:rPr>
        <w:t>Tyrer &amp; Milner, 2010</w:t>
      </w:r>
      <w:r w:rsidRPr="00FD6C96">
        <w:rPr>
          <w:rFonts w:asciiTheme="minorEastAsia" w:hAnsiTheme="minorEastAsia" w:hint="eastAsia"/>
          <w:color w:val="000000" w:themeColor="text1"/>
          <w:sz w:val="20"/>
          <w:szCs w:val="20"/>
        </w:rPr>
        <w:t>).</w:t>
      </w:r>
    </w:p>
    <w:p w14:paraId="7C4853BC" w14:textId="77777777" w:rsidR="00FD6C96" w:rsidRPr="00FD6C96" w:rsidRDefault="002F41E4" w:rsidP="00FD6C96">
      <w:pPr>
        <w:jc w:val="both"/>
        <w:rPr>
          <w:rFonts w:asciiTheme="minorEastAsia" w:hAnsiTheme="minorEastAsia"/>
          <w:color w:val="000000" w:themeColor="text1"/>
          <w:sz w:val="20"/>
          <w:szCs w:val="20"/>
        </w:rPr>
      </w:pPr>
      <w:r w:rsidRPr="002F41E4">
        <w:rPr>
          <w:rFonts w:asciiTheme="minorEastAsia" w:hAnsiTheme="minorEastAsia"/>
          <w:color w:val="0432FF"/>
          <w:sz w:val="20"/>
          <w:szCs w:val="20"/>
        </w:rPr>
        <w:t xml:space="preserve">An aspect that is easily overlooked in debates surrounding chemical restraint is that establishing evidence in psychiatry is more difficult than in many other areas of medicine. This difficulty arises not only from challenges in data collection but also from the fact that many psychiatric interventions have an inherently complex character. Such interventions typically take the form of complex interventions in which multiple factors interact, rather than simple interventions, and the interpretation of the resulting data therefore becomes correspondingly more complicated </w:t>
      </w:r>
      <w:r w:rsidRPr="002F41E4">
        <w:rPr>
          <w:rFonts w:asciiTheme="minorEastAsia" w:hAnsiTheme="minorEastAsia"/>
          <w:color w:val="000000" w:themeColor="text1"/>
          <w:sz w:val="20"/>
          <w:szCs w:val="20"/>
        </w:rPr>
        <w:t>(</w:t>
      </w:r>
      <w:r w:rsidRPr="002F41E4">
        <w:rPr>
          <w:rFonts w:asciiTheme="minorEastAsia" w:hAnsiTheme="minorEastAsia"/>
          <w:color w:val="7030A0"/>
          <w:sz w:val="20"/>
          <w:szCs w:val="20"/>
        </w:rPr>
        <w:t>Tyrer &amp; Milner, 2010</w:t>
      </w:r>
      <w:r w:rsidRPr="002F41E4">
        <w:rPr>
          <w:rFonts w:asciiTheme="minorEastAsia" w:hAnsiTheme="minorEastAsia"/>
          <w:color w:val="000000" w:themeColor="text1"/>
          <w:sz w:val="20"/>
          <w:szCs w:val="20"/>
        </w:rPr>
        <w:t>).</w:t>
      </w:r>
    </w:p>
    <w:p w14:paraId="7DC14DA7" w14:textId="77777777" w:rsidR="00FD6C96" w:rsidRPr="00FD6C96" w:rsidRDefault="00FD6C96" w:rsidP="00FD6C96">
      <w:pPr>
        <w:jc w:val="both"/>
        <w:rPr>
          <w:rFonts w:asciiTheme="minorEastAsia" w:hAnsiTheme="minorEastAsia"/>
          <w:color w:val="000000" w:themeColor="text1"/>
          <w:sz w:val="20"/>
          <w:szCs w:val="20"/>
        </w:rPr>
      </w:pPr>
      <w:r w:rsidRPr="00F300BE">
        <w:rPr>
          <w:rFonts w:asciiTheme="minorEastAsia" w:hAnsiTheme="minorEastAsia" w:hint="eastAsia"/>
          <w:color w:val="0432FF"/>
          <w:sz w:val="20"/>
          <w:szCs w:val="20"/>
        </w:rPr>
        <w:t xml:space="preserve">이러한 점을 고려하면 단순히 현행 제도나 윤리 기준만을 검토하는 것만으로는 정신과 진료에서 화학적 억제 현상의 본질을 충분히 이해하기 어렵다. 치료의 역사는 단순한 선형적 진보의 연대기가 아니라, 각 시대를 특징짓는 지식 체계와 사회적 요구, 그리고 인간 이해에 대한 전제들이 중첩되어 형성된 결과이기 때문이다. 우리가 무엇을 관찰하는가는 이론에 의해 영향을 받을 수 있다는 점을 고려할 때 </w:t>
      </w:r>
      <w:r w:rsidRPr="00FD6C96">
        <w:rPr>
          <w:rFonts w:asciiTheme="minorEastAsia" w:hAnsiTheme="minorEastAsia" w:hint="eastAsia"/>
          <w:color w:val="000000" w:themeColor="text1"/>
          <w:sz w:val="20"/>
          <w:szCs w:val="20"/>
        </w:rPr>
        <w:t>(</w:t>
      </w:r>
      <w:r w:rsidRPr="00F300BE">
        <w:rPr>
          <w:rFonts w:asciiTheme="minorEastAsia" w:hAnsiTheme="minorEastAsia" w:hint="eastAsia"/>
          <w:color w:val="7030A0"/>
          <w:sz w:val="20"/>
          <w:szCs w:val="20"/>
        </w:rPr>
        <w:t>Fellowes, 2025</w:t>
      </w:r>
      <w:r w:rsidRPr="00FD6C96">
        <w:rPr>
          <w:rFonts w:asciiTheme="minorEastAsia" w:hAnsiTheme="minorEastAsia" w:hint="eastAsia"/>
          <w:color w:val="000000" w:themeColor="text1"/>
          <w:sz w:val="20"/>
          <w:szCs w:val="20"/>
        </w:rPr>
        <w:t xml:space="preserve">), </w:t>
      </w:r>
      <w:r w:rsidRPr="00F300BE">
        <w:rPr>
          <w:rFonts w:asciiTheme="minorEastAsia" w:hAnsiTheme="minorEastAsia" w:hint="eastAsia"/>
          <w:color w:val="0432FF"/>
          <w:sz w:val="20"/>
          <w:szCs w:val="20"/>
        </w:rPr>
        <w:t>화학적 억제가 어떠한 역사적 맥락 속에서 등장하고 정당화되었으며 어떠한 전제와 기대 속에서 재정의되어 사용되어 왔는지를 검토하는 것은 이 문제를 이해하는 데 중요한 출발점이 된다</w:t>
      </w:r>
      <w:r w:rsidRPr="00FD6C96">
        <w:rPr>
          <w:rFonts w:asciiTheme="minorEastAsia" w:hAnsiTheme="minorEastAsia" w:hint="eastAsia"/>
          <w:color w:val="000000" w:themeColor="text1"/>
          <w:sz w:val="20"/>
          <w:szCs w:val="20"/>
        </w:rPr>
        <w:t xml:space="preserve"> (</w:t>
      </w:r>
      <w:r w:rsidRPr="00D758F4">
        <w:rPr>
          <w:rFonts w:asciiTheme="minorEastAsia" w:hAnsiTheme="minorEastAsia" w:hint="eastAsia"/>
          <w:color w:val="7030A0"/>
          <w:sz w:val="20"/>
          <w:szCs w:val="20"/>
        </w:rPr>
        <w:t>Berrios, 2010</w:t>
      </w:r>
      <w:r w:rsidRPr="00FD6C96">
        <w:rPr>
          <w:rFonts w:asciiTheme="minorEastAsia" w:hAnsiTheme="minorEastAsia" w:hint="eastAsia"/>
          <w:color w:val="000000" w:themeColor="text1"/>
          <w:sz w:val="20"/>
          <w:szCs w:val="20"/>
        </w:rPr>
        <w:t>).</w:t>
      </w:r>
    </w:p>
    <w:p w14:paraId="7BCCF155" w14:textId="77777777" w:rsidR="00FD6C96" w:rsidRPr="00FD6C96" w:rsidRDefault="00FC2D4F" w:rsidP="00FD6C96">
      <w:pPr>
        <w:jc w:val="both"/>
        <w:rPr>
          <w:rFonts w:asciiTheme="minorEastAsia" w:hAnsiTheme="minorEastAsia"/>
          <w:color w:val="000000" w:themeColor="text1"/>
          <w:sz w:val="20"/>
          <w:szCs w:val="20"/>
        </w:rPr>
      </w:pPr>
      <w:r w:rsidRPr="00FC2D4F">
        <w:rPr>
          <w:rFonts w:asciiTheme="minorEastAsia" w:hAnsiTheme="minorEastAsia"/>
          <w:color w:val="0432FF"/>
          <w:sz w:val="20"/>
          <w:szCs w:val="20"/>
        </w:rPr>
        <w:t xml:space="preserve">Considering these points, examining only current regulations or ethical standards is insufficient to fully understand the nature of chemical restraint in psychiatric practice. The history of treatment is not merely a chronology of linear progress; rather, it is the result of overlapping knowledge systems, social demands, and underlying assumptions about human nature that characterize each historical period. Given that what we observe can be influenced by theoretical frameworks (Fellowes, 2025), examining the historical contexts in which chemical restraint emerged and was justified, as well as the assumptions and expectations under which it has been redefined and used, constitutes an important starting point for understanding this issue </w:t>
      </w:r>
      <w:r w:rsidRPr="00FC2D4F">
        <w:rPr>
          <w:rFonts w:asciiTheme="minorEastAsia" w:hAnsiTheme="minorEastAsia"/>
          <w:color w:val="000000" w:themeColor="text1"/>
          <w:sz w:val="20"/>
          <w:szCs w:val="20"/>
        </w:rPr>
        <w:t>(</w:t>
      </w:r>
      <w:r w:rsidRPr="00FC2D4F">
        <w:rPr>
          <w:rFonts w:asciiTheme="minorEastAsia" w:hAnsiTheme="minorEastAsia"/>
          <w:color w:val="7030A0"/>
          <w:sz w:val="20"/>
          <w:szCs w:val="20"/>
        </w:rPr>
        <w:t>Berrios, 2010</w:t>
      </w:r>
      <w:r w:rsidRPr="00FC2D4F">
        <w:rPr>
          <w:rFonts w:asciiTheme="minorEastAsia" w:hAnsiTheme="minorEastAsia"/>
          <w:color w:val="000000" w:themeColor="text1"/>
          <w:sz w:val="20"/>
          <w:szCs w:val="20"/>
        </w:rPr>
        <w:t>).</w:t>
      </w:r>
    </w:p>
    <w:p w14:paraId="005338DA" w14:textId="77777777" w:rsidR="00383E27" w:rsidRDefault="00FD6C96" w:rsidP="00FD6C96">
      <w:pPr>
        <w:jc w:val="both"/>
        <w:rPr>
          <w:rFonts w:asciiTheme="minorEastAsia" w:hAnsiTheme="minorEastAsia"/>
          <w:color w:val="0432FF"/>
          <w:sz w:val="20"/>
          <w:szCs w:val="20"/>
        </w:rPr>
      </w:pPr>
      <w:r w:rsidRPr="00F300BE">
        <w:rPr>
          <w:rFonts w:asciiTheme="minorEastAsia" w:hAnsiTheme="minorEastAsia" w:hint="eastAsia"/>
          <w:color w:val="0432FF"/>
          <w:sz w:val="20"/>
          <w:szCs w:val="20"/>
        </w:rPr>
        <w:t>현재 공식적 정의 가운데 가장 널리 인용되는 것 중 하나는 미국 연방기관인 메디케어·메디케이드 서비스 센터(Centers for Medicare and Medicaid Services, CMS)가 제시한 정의이다. CMS는 화학적 구속을 “의학적 증상을 치료하는 데 필요하지 않으면서 징계 또는 편의를 목적으로 사용되는 모든 약물”로 정의한다. 이 정의에서 ‘징계(discipline)’는 거주자에게 처벌이나 불이익을 주기 위한 행위를 의미하며, ‘편의(co</w:t>
      </w:r>
      <w:r w:rsidRPr="00F300BE">
        <w:rPr>
          <w:rFonts w:asciiTheme="minorEastAsia" w:hAnsiTheme="minorEastAsia"/>
          <w:color w:val="0432FF"/>
          <w:sz w:val="20"/>
          <w:szCs w:val="20"/>
        </w:rPr>
        <w:t>nvenience)’</w:t>
      </w:r>
      <w:r w:rsidRPr="00F300BE">
        <w:rPr>
          <w:rFonts w:asciiTheme="minorEastAsia" w:hAnsiTheme="minorEastAsia" w:hint="eastAsia"/>
          <w:color w:val="0432FF"/>
          <w:sz w:val="20"/>
          <w:szCs w:val="20"/>
        </w:rPr>
        <w:t>는</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환자의</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최선의</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이익을</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고려하기보다는</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의료기관이나</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시설의</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부담을</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줄이기</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위해</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환자의</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행동을</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관리하는</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행위를</w:t>
      </w:r>
      <w:r w:rsidRPr="00F300BE">
        <w:rPr>
          <w:rFonts w:asciiTheme="minorEastAsia" w:hAnsiTheme="minorEastAsia"/>
          <w:color w:val="0432FF"/>
          <w:sz w:val="20"/>
          <w:szCs w:val="20"/>
        </w:rPr>
        <w:t xml:space="preserve"> </w:t>
      </w:r>
      <w:r w:rsidRPr="00F300BE">
        <w:rPr>
          <w:rFonts w:asciiTheme="minorEastAsia" w:hAnsiTheme="minorEastAsia" w:hint="eastAsia"/>
          <w:color w:val="0432FF"/>
          <w:sz w:val="20"/>
          <w:szCs w:val="20"/>
        </w:rPr>
        <w:t>지칭한다</w:t>
      </w:r>
      <w:r w:rsidRPr="00F300BE">
        <w:rPr>
          <w:rFonts w:asciiTheme="minorEastAsia" w:hAnsiTheme="minorEastAsia"/>
          <w:color w:val="0432FF"/>
          <w:sz w:val="20"/>
          <w:szCs w:val="20"/>
        </w:rPr>
        <w:t>.¹</w:t>
      </w:r>
      <w:r w:rsidRPr="00F300BE">
        <w:rPr>
          <w:rFonts w:ascii="Arial" w:hAnsi="Arial" w:cs="Arial"/>
          <w:color w:val="0432FF"/>
          <w:sz w:val="20"/>
          <w:szCs w:val="20"/>
        </w:rPr>
        <w:t>˒</w:t>
      </w:r>
      <w:r w:rsidRPr="00F300BE">
        <w:rPr>
          <w:rFonts w:asciiTheme="minorEastAsia" w:hAnsiTheme="minorEastAsia"/>
          <w:color w:val="0432FF"/>
          <w:sz w:val="20"/>
          <w:szCs w:val="20"/>
        </w:rPr>
        <w:t xml:space="preserve">² </w:t>
      </w:r>
    </w:p>
    <w:p w14:paraId="13B8B720" w14:textId="77777777" w:rsidR="00383E27" w:rsidRDefault="00383E27" w:rsidP="00383E27">
      <w:pPr>
        <w:jc w:val="both"/>
        <w:rPr>
          <w:rFonts w:asciiTheme="minorEastAsia" w:hAnsiTheme="minorEastAsia"/>
          <w:color w:val="0432FF"/>
          <w:sz w:val="20"/>
          <w:szCs w:val="20"/>
        </w:rPr>
      </w:pPr>
      <w:r w:rsidRPr="00FC2D4F">
        <w:rPr>
          <w:rFonts w:asciiTheme="minorEastAsia" w:hAnsiTheme="minorEastAsia"/>
          <w:color w:val="0432FF"/>
          <w:sz w:val="20"/>
          <w:szCs w:val="20"/>
        </w:rPr>
        <w:lastRenderedPageBreak/>
        <w:t>Among the existing formal definitions, one of the most widely cited is that proposed by the U.S. federal agency, the Centers for Medicare and Medicaid Services (CMS). CMS defines chemical restraint as “any medication used for discipline or convenience and not required to treat medical symptoms.” In this definition, “discipline” refers to actions intended to punish a resident or impose disadvantage, whereas “convenience” refers to the management of a patient’s behavior in order to reduce the burden on medical staff or facilities rather than to promote the patient’s best interests.¹</w:t>
      </w:r>
      <w:r w:rsidRPr="00FC2D4F">
        <w:rPr>
          <w:rFonts w:ascii="Arial" w:hAnsi="Arial" w:cs="Arial"/>
          <w:color w:val="0432FF"/>
          <w:sz w:val="20"/>
          <w:szCs w:val="20"/>
        </w:rPr>
        <w:t>˒</w:t>
      </w:r>
      <w:r w:rsidRPr="00FC2D4F">
        <w:rPr>
          <w:rFonts w:asciiTheme="minorEastAsia" w:hAnsiTheme="minorEastAsia"/>
          <w:color w:val="0432FF"/>
          <w:sz w:val="20"/>
          <w:szCs w:val="20"/>
        </w:rPr>
        <w:t xml:space="preserve">² </w:t>
      </w:r>
    </w:p>
    <w:p w14:paraId="3055F562" w14:textId="77777777" w:rsidR="00383E27" w:rsidRPr="00383E27" w:rsidRDefault="00383E27" w:rsidP="00FD6C96">
      <w:pPr>
        <w:jc w:val="both"/>
        <w:rPr>
          <w:rFonts w:asciiTheme="minorEastAsia" w:hAnsiTheme="minorEastAsia"/>
          <w:color w:val="0432FF"/>
          <w:sz w:val="20"/>
          <w:szCs w:val="20"/>
        </w:rPr>
      </w:pPr>
    </w:p>
    <w:p w14:paraId="6CB37FA1" w14:textId="77777777" w:rsidR="00383E27" w:rsidRDefault="00383E27" w:rsidP="00FD6C96">
      <w:pPr>
        <w:jc w:val="both"/>
        <w:rPr>
          <w:rFonts w:asciiTheme="minorEastAsia" w:hAnsiTheme="minorEastAsia"/>
          <w:color w:val="0432FF"/>
          <w:sz w:val="20"/>
          <w:szCs w:val="20"/>
        </w:rPr>
      </w:pPr>
      <w:r w:rsidRPr="00DD2BA6">
        <w:rPr>
          <w:rFonts w:asciiTheme="minorEastAsia" w:hAnsiTheme="minorEastAsia"/>
          <w:color w:val="0432FF"/>
          <w:sz w:val="20"/>
          <w:szCs w:val="20"/>
        </w:rPr>
        <w:t>정신건강의료 종사자의 관점에서 볼 때, 이러한 정의는 과도하게 부정적인 함의를 내포하고 있다. 구속은 환자와 주변 환경의 안전을 확보하기 위해 시행되며, 궁극적으로는 환자에게 이익이 되도록 의도된 개입임에도 불구하고</w:t>
      </w:r>
      <w:r>
        <w:rPr>
          <w:rFonts w:asciiTheme="minorEastAsia" w:hAnsiTheme="minorEastAsia" w:hint="eastAsia"/>
          <w:color w:val="0432FF"/>
          <w:sz w:val="20"/>
          <w:szCs w:val="20"/>
        </w:rPr>
        <w:t xml:space="preserve"> </w:t>
      </w:r>
      <w:r w:rsidRPr="00A10527">
        <w:rPr>
          <w:rFonts w:asciiTheme="minorEastAsia" w:hAnsiTheme="minorEastAsia"/>
          <w:color w:val="0432FF"/>
          <w:sz w:val="20"/>
          <w:szCs w:val="20"/>
        </w:rPr>
        <w:t>(</w:t>
      </w:r>
      <w:r w:rsidRPr="00FC5ED7">
        <w:rPr>
          <w:rFonts w:asciiTheme="minorEastAsia" w:hAnsiTheme="minorEastAsia" w:hint="eastAsia"/>
          <w:color w:val="7030A0"/>
          <w:sz w:val="20"/>
          <w:szCs w:val="20"/>
        </w:rPr>
        <w:t>각주:</w:t>
      </w:r>
      <w:r w:rsidRPr="00FC5ED7">
        <w:rPr>
          <w:rFonts w:asciiTheme="minorEastAsia" w:hAnsiTheme="minorEastAsia"/>
          <w:color w:val="7030A0"/>
          <w:sz w:val="20"/>
          <w:szCs w:val="20"/>
        </w:rPr>
        <w:t xml:space="preserve"> </w:t>
      </w:r>
      <w:r w:rsidRPr="00FC5ED7">
        <w:rPr>
          <w:rFonts w:asciiTheme="minorEastAsia" w:hAnsiTheme="minorEastAsia" w:hint="eastAsia"/>
          <w:color w:val="7030A0"/>
          <w:sz w:val="20"/>
          <w:szCs w:val="20"/>
        </w:rPr>
        <w:t>정신약리학의 발전에는 상업적 이해관계가 과학을 왜곡했다는 비판이 존재하지만, 항우울제·항정신병약·리튬의 도입은 중증 정신질환 환자의 장기 입원을 감소시키고 지역사회 생활을 가능하게 하는 데 중요한 임상적·사회적 전환을 가져왔다 (</w:t>
      </w:r>
      <w:r w:rsidRPr="00FC5ED7">
        <w:rPr>
          <w:rFonts w:asciiTheme="minorEastAsia" w:hAnsiTheme="minorEastAsia"/>
          <w:color w:val="7030A0"/>
          <w:sz w:val="20"/>
          <w:szCs w:val="20"/>
        </w:rPr>
        <w:t>Shorter E. The rise and fall of the age of psychopharmacology. Oxford University Press; 2021.</w:t>
      </w:r>
      <w:r w:rsidRPr="00FC5ED7">
        <w:rPr>
          <w:rFonts w:asciiTheme="minorEastAsia" w:hAnsiTheme="minorEastAsia" w:hint="eastAsia"/>
          <w:color w:val="7030A0"/>
          <w:sz w:val="20"/>
          <w:szCs w:val="20"/>
        </w:rPr>
        <w:t>, 서문</w:t>
      </w:r>
      <w:r w:rsidRPr="00A10527">
        <w:rPr>
          <w:rFonts w:asciiTheme="minorEastAsia" w:hAnsiTheme="minorEastAsia"/>
          <w:color w:val="0432FF"/>
          <w:sz w:val="20"/>
          <w:szCs w:val="20"/>
        </w:rPr>
        <w:t>)</w:t>
      </w:r>
      <w:r w:rsidRPr="00A10527">
        <w:rPr>
          <w:rFonts w:asciiTheme="minorEastAsia" w:hAnsiTheme="minorEastAsia" w:hint="eastAsia"/>
          <w:color w:val="0432FF"/>
          <w:sz w:val="20"/>
          <w:szCs w:val="20"/>
        </w:rPr>
        <w:t>)</w:t>
      </w:r>
      <w:r w:rsidRPr="00A10527">
        <w:rPr>
          <w:rFonts w:asciiTheme="minorEastAsia" w:hAnsiTheme="minorEastAsia"/>
          <w:color w:val="0432FF"/>
          <w:sz w:val="20"/>
          <w:szCs w:val="20"/>
        </w:rPr>
        <w:t>,</w:t>
      </w:r>
      <w:r w:rsidRPr="00DD2BA6">
        <w:rPr>
          <w:rFonts w:asciiTheme="minorEastAsia" w:hAnsiTheme="minorEastAsia"/>
          <w:color w:val="0432FF"/>
          <w:sz w:val="20"/>
          <w:szCs w:val="20"/>
        </w:rPr>
        <w:t xml:space="preserve"> 그 근본적 동기가 단순한 처벌이나 의료진의 업무 부담을 줄이기 위한 수단으로 간주되고 있다</w:t>
      </w:r>
      <w:r>
        <w:rPr>
          <w:rFonts w:asciiTheme="minorEastAsia" w:hAnsiTheme="minorEastAsia" w:hint="eastAsia"/>
          <w:color w:val="0432FF"/>
          <w:sz w:val="20"/>
          <w:szCs w:val="20"/>
        </w:rPr>
        <w:t>는 것이다</w:t>
      </w:r>
      <w:r w:rsidRPr="00DD2BA6">
        <w:rPr>
          <w:rFonts w:asciiTheme="minorEastAsia" w:hAnsiTheme="minorEastAsia"/>
          <w:color w:val="0432FF"/>
          <w:sz w:val="20"/>
          <w:szCs w:val="20"/>
        </w:rPr>
        <w:t xml:space="preserve">.³ </w:t>
      </w:r>
    </w:p>
    <w:p w14:paraId="3D343D66" w14:textId="77777777" w:rsidR="00FC2D4F" w:rsidRDefault="00383E27" w:rsidP="00FD6C96">
      <w:pPr>
        <w:jc w:val="both"/>
        <w:rPr>
          <w:rFonts w:asciiTheme="minorEastAsia" w:hAnsiTheme="minorEastAsia"/>
          <w:color w:val="0432FF"/>
          <w:sz w:val="20"/>
          <w:szCs w:val="20"/>
        </w:rPr>
      </w:pPr>
      <w:r w:rsidRPr="00383E27">
        <w:rPr>
          <w:rFonts w:asciiTheme="minorEastAsia" w:hAnsiTheme="minorEastAsia"/>
          <w:color w:val="0432FF"/>
          <w:sz w:val="20"/>
          <w:szCs w:val="20"/>
        </w:rPr>
        <w:t>From the perspective of mental health professionals, however, such a definition may carry excessively negative implications. Although restraint is implemented to ensure the safety of the patient and the surrounding environment and is ultimately intended as an intervention for the patient’s benefit (</w:t>
      </w:r>
      <w:r w:rsidRPr="006B0DC2">
        <w:rPr>
          <w:rFonts w:asciiTheme="minorEastAsia" w:hAnsiTheme="minorEastAsia"/>
          <w:color w:val="7030A0"/>
          <w:sz w:val="20"/>
          <w:szCs w:val="20"/>
        </w:rPr>
        <w:t>Footnote: While criticisms exist that commercial interests have distorted science in the development of psychopharmacology, the introduction of antidepressants, antipsychotics, and lithium nevertheless produced an important clinical and social shift by reducing long-term hospitalization of patients with severe mental illness and enabling community-based living (Shorter E. The Rise and Fall of the Age of Psychopharmacology. Oxford University Press; 2021, Preface)</w:t>
      </w:r>
      <w:r w:rsidRPr="00383E27">
        <w:rPr>
          <w:rFonts w:asciiTheme="minorEastAsia" w:hAnsiTheme="minorEastAsia"/>
          <w:color w:val="0432FF"/>
          <w:sz w:val="20"/>
          <w:szCs w:val="20"/>
        </w:rPr>
        <w:t>), the underlying motivation is often regarded as nothing more than a means of punishment or a way to reduce the workload of medical staff.³</w:t>
      </w:r>
    </w:p>
    <w:p w14:paraId="182439EA" w14:textId="77777777" w:rsidR="004F60A2" w:rsidRDefault="004F60A2" w:rsidP="006B0DC2">
      <w:pPr>
        <w:jc w:val="both"/>
        <w:rPr>
          <w:rFonts w:asciiTheme="minorEastAsia" w:hAnsiTheme="minorEastAsia"/>
          <w:color w:val="0432FF"/>
          <w:sz w:val="20"/>
          <w:szCs w:val="20"/>
        </w:rPr>
      </w:pPr>
      <w:r w:rsidRPr="004F60A2">
        <w:rPr>
          <w:rFonts w:asciiTheme="minorEastAsia" w:hAnsiTheme="minorEastAsia" w:hint="eastAsia"/>
          <w:color w:val="0432FF"/>
          <w:sz w:val="20"/>
          <w:szCs w:val="20"/>
        </w:rPr>
        <w:t xml:space="preserve">화학적 억제(chemical restraint)라는 개념은 고정된 과학적 실체로 등장한 것이 아니라, 변화하는 임상 실천, 제도적 요구, 그리고 윤리적 틀 속에서 발전해 온 개념이다. 20세기 중반 정신약물학적 “혁명” 시기에 클로르프로마진과 같은 항정신병약의 도입은 정신과 치료를 근본적으로 변화시켰으며, 기계적 억제에 대한 보다 인도적인 대안으로 널리 인식되었다(Shorter, 1997; Healy, 2002). 당시에는 치료적 진정과 행동 통제 사이의 개념적 구분이 거의 존재하지 않았으며, 약물은 환자의 고통을 완화하는 동시에 병동의 안전과 질서를 유지하기 위한 목적으로도 사용되었다(Braslow, 1997). 역사적 관점에서 보면, 약물에 의한 진정은 명확히 구분된 </w:t>
      </w:r>
      <w:r w:rsidRPr="004F60A2">
        <w:rPr>
          <w:rFonts w:asciiTheme="minorEastAsia" w:hAnsiTheme="minorEastAsia" w:hint="eastAsia"/>
          <w:color w:val="0432FF"/>
          <w:sz w:val="20"/>
          <w:szCs w:val="20"/>
        </w:rPr>
        <w:lastRenderedPageBreak/>
        <w:t>강제(coercion)의 범주라기보다는 치료와 기관 운영 관리 기능을 동시에 수행하는 것으로 작동하였다.</w:t>
      </w:r>
    </w:p>
    <w:p w14:paraId="40CE80E7" w14:textId="77777777" w:rsidR="004F60A2" w:rsidRDefault="006B0DC2" w:rsidP="006B0DC2">
      <w:pPr>
        <w:jc w:val="both"/>
        <w:rPr>
          <w:rFonts w:asciiTheme="minorEastAsia" w:hAnsiTheme="minorEastAsia"/>
          <w:color w:val="0432FF"/>
          <w:sz w:val="20"/>
          <w:szCs w:val="20"/>
        </w:rPr>
      </w:pPr>
      <w:r w:rsidRPr="006B0DC2">
        <w:rPr>
          <w:rFonts w:asciiTheme="minorEastAsia" w:hAnsiTheme="minorEastAsia" w:hint="eastAsia"/>
          <w:color w:val="0432FF"/>
          <w:sz w:val="20"/>
          <w:szCs w:val="20"/>
        </w:rPr>
        <w:t>이는 ‘chemical restraint’라는 용어가 전통적인 정신의학의 임상 분류 체계에서 출발한 개념이라기보다는, 1980년대 미국의 요양시설 개혁 논의 속에서 규제적 필요에 의해 제도화된 정책적 용어임을 시사한다. 특히 장기요양시설에서 향정신성 약물이 행동 통제 목적으로 사용된다는 문제 제기가 제기되면서, 이러한 약물 사용을 규제하기 위한 범주로서 이 개념이 보다 명확히 규정되었다 (</w:t>
      </w:r>
      <w:r w:rsidRPr="00FC5ED7">
        <w:rPr>
          <w:rFonts w:asciiTheme="minorEastAsia" w:hAnsiTheme="minorEastAsia" w:hint="eastAsia"/>
          <w:color w:val="7030A0"/>
          <w:sz w:val="20"/>
          <w:szCs w:val="20"/>
        </w:rPr>
        <w:t>Institute of Medicine, 1986; OBRA, 1987</w:t>
      </w:r>
      <w:r w:rsidRPr="006B0DC2">
        <w:rPr>
          <w:rFonts w:asciiTheme="minorEastAsia" w:hAnsiTheme="minorEastAsia" w:hint="eastAsia"/>
          <w:color w:val="0432FF"/>
          <w:sz w:val="20"/>
          <w:szCs w:val="20"/>
        </w:rPr>
        <w:t>). 이후 이 용어는 환자 권리와 강제 치료에 대한 윤리적 논쟁이 확대되는 과정에서 정신의학 및 생명윤리 담론으로 확산되었다.</w:t>
      </w:r>
      <w:r w:rsidR="004F60A2">
        <w:rPr>
          <w:rFonts w:asciiTheme="minorEastAsia" w:hAnsiTheme="minorEastAsia"/>
          <w:color w:val="0432FF"/>
          <w:sz w:val="20"/>
          <w:szCs w:val="20"/>
        </w:rPr>
        <w:t xml:space="preserve"> </w:t>
      </w:r>
    </w:p>
    <w:p w14:paraId="4D33EEEA" w14:textId="77777777" w:rsidR="004F60A2" w:rsidRDefault="004F60A2" w:rsidP="006B0DC2">
      <w:pPr>
        <w:jc w:val="both"/>
        <w:rPr>
          <w:rFonts w:asciiTheme="minorEastAsia" w:hAnsiTheme="minorEastAsia"/>
          <w:color w:val="0432FF"/>
          <w:sz w:val="20"/>
          <w:szCs w:val="20"/>
        </w:rPr>
      </w:pPr>
    </w:p>
    <w:p w14:paraId="5C616E68" w14:textId="77777777" w:rsidR="00FC5ED7" w:rsidRPr="006B0DC2" w:rsidRDefault="00FC5ED7" w:rsidP="006B0DC2">
      <w:pPr>
        <w:jc w:val="both"/>
        <w:rPr>
          <w:rFonts w:asciiTheme="minorEastAsia" w:hAnsiTheme="minorEastAsia"/>
          <w:color w:val="0432FF"/>
          <w:sz w:val="20"/>
          <w:szCs w:val="20"/>
        </w:rPr>
      </w:pPr>
      <w:r w:rsidRPr="00FC5ED7">
        <w:rPr>
          <w:rFonts w:asciiTheme="minorEastAsia" w:hAnsiTheme="minorEastAsia"/>
          <w:color w:val="0432FF"/>
          <w:sz w:val="20"/>
          <w:szCs w:val="20"/>
        </w:rPr>
        <w:t>This suggests that the term “chemical restraint” did not originate from the traditional clinical classification systems of psychiatry but rather emerged as a policy term institutionalized in response to regulatory needs during debates over nursing home reform in the United States in the 1980s. In particular, concerns were raised that psychotropic medications were being used in long-term care facilities for the purpose of behavioral control, leading to the concept being more clearly defined as a regulatory category intended to control such medication use (</w:t>
      </w:r>
      <w:r w:rsidRPr="00FC5ED7">
        <w:rPr>
          <w:rFonts w:asciiTheme="minorEastAsia" w:hAnsiTheme="minorEastAsia"/>
          <w:color w:val="7030A0"/>
          <w:sz w:val="20"/>
          <w:szCs w:val="20"/>
        </w:rPr>
        <w:t>Institute of Medicine, 1986; OBRA, 1987</w:t>
      </w:r>
      <w:r w:rsidRPr="00FC5ED7">
        <w:rPr>
          <w:rFonts w:asciiTheme="minorEastAsia" w:hAnsiTheme="minorEastAsia"/>
          <w:color w:val="0432FF"/>
          <w:sz w:val="20"/>
          <w:szCs w:val="20"/>
        </w:rPr>
        <w:t>). Subsequently, as ethical debates concerning patients’ rights and involuntary treatment expanded, the term gradually spread into psychiatric and bioethical discourse.</w:t>
      </w:r>
    </w:p>
    <w:p w14:paraId="20D57F19" w14:textId="77777777" w:rsidR="006B0DC2" w:rsidRDefault="006B0DC2" w:rsidP="006B0DC2">
      <w:pPr>
        <w:jc w:val="both"/>
        <w:rPr>
          <w:rFonts w:asciiTheme="minorEastAsia" w:hAnsiTheme="minorEastAsia"/>
          <w:color w:val="0432FF"/>
          <w:sz w:val="20"/>
          <w:szCs w:val="20"/>
        </w:rPr>
      </w:pPr>
      <w:r w:rsidRPr="006B0DC2">
        <w:rPr>
          <w:rFonts w:asciiTheme="minorEastAsia" w:hAnsiTheme="minorEastAsia" w:hint="eastAsia"/>
          <w:color w:val="0432FF"/>
          <w:sz w:val="20"/>
          <w:szCs w:val="20"/>
        </w:rPr>
        <w:t>그러나 정신과 임상에서는 오랫동안 진정(sedation)이나 신속 진정(rapid tranquillisation)과 같은 치료 개념이 사용되어 왔으며, 환자와 타인의 안전을 확보해야 한다는 임상적 요구 속에서 약물을 이용하여 환자의 급성 흥분이나 공격적 행동을 조절하는 개입 역시 점차 chemical restraint라는 용어로 지칭되기 시작하였다.</w:t>
      </w:r>
    </w:p>
    <w:p w14:paraId="3979AA77" w14:textId="77777777" w:rsidR="00FC5ED7" w:rsidRPr="006B0DC2" w:rsidRDefault="00FC5ED7" w:rsidP="006B0DC2">
      <w:pPr>
        <w:jc w:val="both"/>
        <w:rPr>
          <w:rFonts w:asciiTheme="minorEastAsia" w:hAnsiTheme="minorEastAsia"/>
          <w:color w:val="0432FF"/>
          <w:sz w:val="20"/>
          <w:szCs w:val="20"/>
        </w:rPr>
      </w:pPr>
      <w:r w:rsidRPr="00FC5ED7">
        <w:rPr>
          <w:rFonts w:asciiTheme="minorEastAsia" w:hAnsiTheme="minorEastAsia"/>
          <w:color w:val="0432FF"/>
          <w:sz w:val="20"/>
          <w:szCs w:val="20"/>
        </w:rPr>
        <w:t>However, in psychiatric clinical practice, therapeutic concepts such as sedation and rapid tranquillisation have long been used. Within the clinical need to ensure the safety of both the patient and others, interventions involving the use of medication to control a patient’s acute agitation or aggressive behavior gradually came to be referred to as “chemical restraint.”</w:t>
      </w:r>
    </w:p>
    <w:p w14:paraId="0B8D5C8B" w14:textId="77777777" w:rsidR="007B0471" w:rsidRPr="007B0471" w:rsidRDefault="007B0471" w:rsidP="007B0471">
      <w:pPr>
        <w:jc w:val="both"/>
        <w:rPr>
          <w:rFonts w:asciiTheme="minorEastAsia" w:hAnsiTheme="minorEastAsia"/>
          <w:color w:val="0432FF"/>
          <w:sz w:val="20"/>
          <w:szCs w:val="20"/>
        </w:rPr>
      </w:pPr>
      <w:r w:rsidRPr="007B0471">
        <w:rPr>
          <w:rFonts w:asciiTheme="minorEastAsia" w:hAnsiTheme="minorEastAsia"/>
          <w:color w:val="0432FF"/>
          <w:sz w:val="20"/>
          <w:szCs w:val="20"/>
        </w:rPr>
        <w:t>1960~1970</w:t>
      </w:r>
      <w:r w:rsidRPr="007B0471">
        <w:rPr>
          <w:rFonts w:asciiTheme="minorEastAsia" w:hAnsiTheme="minorEastAsia" w:hint="eastAsia"/>
          <w:color w:val="0432FF"/>
          <w:sz w:val="20"/>
          <w:szCs w:val="20"/>
        </w:rPr>
        <w:t>년대에</w:t>
      </w:r>
      <w:r w:rsidRPr="007B0471">
        <w:rPr>
          <w:rFonts w:asciiTheme="minorEastAsia" w:hAnsiTheme="minorEastAsia"/>
          <w:color w:val="0432FF"/>
          <w:sz w:val="20"/>
          <w:szCs w:val="20"/>
        </w:rPr>
        <w:t xml:space="preserve"> R.D. Laing</w:t>
      </w:r>
      <w:r w:rsidRPr="007B0471">
        <w:rPr>
          <w:rFonts w:asciiTheme="minorEastAsia" w:hAnsiTheme="minorEastAsia" w:hint="eastAsia"/>
          <w:color w:val="0432FF"/>
          <w:sz w:val="20"/>
          <w:szCs w:val="20"/>
        </w:rPr>
        <w:t>과</w:t>
      </w:r>
      <w:r w:rsidRPr="007B0471">
        <w:rPr>
          <w:rFonts w:asciiTheme="minorEastAsia" w:hAnsiTheme="minorEastAsia"/>
          <w:color w:val="0432FF"/>
          <w:sz w:val="20"/>
          <w:szCs w:val="20"/>
        </w:rPr>
        <w:t xml:space="preserve"> Thomas Szasz</w:t>
      </w:r>
      <w:r w:rsidRPr="007B0471">
        <w:rPr>
          <w:rFonts w:asciiTheme="minorEastAsia" w:hAnsiTheme="minorEastAsia" w:hint="eastAsia"/>
          <w:color w:val="0432FF"/>
          <w:sz w:val="20"/>
          <w:szCs w:val="20"/>
        </w:rPr>
        <w:t>와</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같은</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인물들이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주도한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반정신의학</w:t>
      </w:r>
      <w:r w:rsidRPr="007B0471">
        <w:rPr>
          <w:rFonts w:asciiTheme="minorEastAsia" w:hAnsiTheme="minorEastAsia"/>
          <w:color w:val="0432FF"/>
          <w:sz w:val="20"/>
          <w:szCs w:val="20"/>
        </w:rPr>
        <w:t xml:space="preserve">(anti-psychiatry) </w:t>
      </w:r>
      <w:r w:rsidRPr="007B0471">
        <w:rPr>
          <w:rFonts w:asciiTheme="minorEastAsia" w:hAnsiTheme="minorEastAsia" w:hint="eastAsia"/>
          <w:color w:val="0432FF"/>
          <w:sz w:val="20"/>
          <w:szCs w:val="20"/>
        </w:rPr>
        <w:t>운동은</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정신과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진료의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근본적</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전제에</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대해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문제를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제기하기</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시작하였다</w:t>
      </w:r>
      <w:r w:rsidRPr="007B0471">
        <w:rPr>
          <w:rFonts w:asciiTheme="minorEastAsia" w:hAnsiTheme="minorEastAsia"/>
          <w:color w:val="0432FF"/>
          <w:sz w:val="20"/>
          <w:szCs w:val="20"/>
        </w:rPr>
        <w:t>.¹</w:t>
      </w:r>
      <w:r w:rsidRPr="007B0471">
        <w:rPr>
          <w:rFonts w:ascii="Cambria Math" w:hAnsi="Cambria Math" w:cs="Cambria Math"/>
          <w:color w:val="0432FF"/>
          <w:sz w:val="20"/>
          <w:szCs w:val="20"/>
        </w:rPr>
        <w:t>⁰</w:t>
      </w:r>
      <w:r w:rsidRPr="007B0471">
        <w:rPr>
          <w:rFonts w:ascii="Arial" w:hAnsi="Arial" w:cs="Arial"/>
          <w:color w:val="0432FF"/>
          <w:sz w:val="20"/>
          <w:szCs w:val="20"/>
        </w:rPr>
        <w:t>˒</w:t>
      </w:r>
      <w:r w:rsidRPr="007B0471">
        <w:rPr>
          <w:rFonts w:asciiTheme="minorEastAsia" w:hAnsiTheme="minorEastAsia"/>
          <w:color w:val="0432FF"/>
          <w:sz w:val="20"/>
          <w:szCs w:val="20"/>
        </w:rPr>
        <w:t xml:space="preserve">¹¹ </w:t>
      </w:r>
      <w:r w:rsidRPr="007B0471">
        <w:rPr>
          <w:rFonts w:asciiTheme="minorEastAsia" w:hAnsiTheme="minorEastAsia" w:hint="eastAsia"/>
          <w:color w:val="0432FF"/>
          <w:sz w:val="20"/>
          <w:szCs w:val="20"/>
        </w:rPr>
        <w:t>또한</w:t>
      </w:r>
      <w:r w:rsidRPr="007B0471">
        <w:rPr>
          <w:rFonts w:asciiTheme="minorEastAsia" w:hAnsiTheme="minorEastAsia"/>
          <w:color w:val="0432FF"/>
          <w:sz w:val="20"/>
          <w:szCs w:val="20"/>
        </w:rPr>
        <w:t xml:space="preserve"> 1970</w:t>
      </w:r>
      <w:r w:rsidRPr="007B0471">
        <w:rPr>
          <w:rFonts w:asciiTheme="minorEastAsia" w:hAnsiTheme="minorEastAsia" w:hint="eastAsia"/>
          <w:color w:val="0432FF"/>
          <w:sz w:val="20"/>
          <w:szCs w:val="20"/>
        </w:rPr>
        <w:t>년대</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이후</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미국에서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전개된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환자</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권리</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운동¹²과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탈시설화</w:t>
      </w:r>
      <w:r w:rsidRPr="007B0471">
        <w:rPr>
          <w:rFonts w:asciiTheme="minorEastAsia" w:hAnsiTheme="minorEastAsia"/>
          <w:color w:val="0432FF"/>
          <w:sz w:val="20"/>
          <w:szCs w:val="20"/>
        </w:rPr>
        <w:t>(deinstitutionalization)</w:t>
      </w:r>
      <w:r w:rsidRPr="007B0471">
        <w:rPr>
          <w:rFonts w:asciiTheme="minorEastAsia" w:hAnsiTheme="minorEastAsia" w:hint="eastAsia"/>
          <w:color w:val="0432FF"/>
          <w:sz w:val="20"/>
          <w:szCs w:val="20"/>
        </w:rPr>
        <w:t>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흐름이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확산되면서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정신과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치료에서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사용되는</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다양한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억제적</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개입이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점차</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윤리적</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검토의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대상이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되었다</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과정에서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환자의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행동을</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통제하기 위한 약물 사용을 지칭하는 개념으로 chemical restraint라는 용어가 점차 사용되기 시작하였다 (Appelbaum, 1994).</w:t>
      </w:r>
    </w:p>
    <w:p w14:paraId="4923F4A5" w14:textId="77777777" w:rsidR="007B0471" w:rsidRPr="007B0471" w:rsidRDefault="007B0471" w:rsidP="007B0471">
      <w:pPr>
        <w:jc w:val="both"/>
        <w:rPr>
          <w:rFonts w:asciiTheme="minorEastAsia" w:hAnsiTheme="minorEastAsia"/>
          <w:color w:val="0432FF"/>
          <w:sz w:val="20"/>
          <w:szCs w:val="20"/>
        </w:rPr>
      </w:pPr>
      <w:r w:rsidRPr="007B0471">
        <w:rPr>
          <w:rFonts w:asciiTheme="minorEastAsia" w:hAnsiTheme="minorEastAsia"/>
          <w:color w:val="0432FF"/>
          <w:sz w:val="20"/>
          <w:szCs w:val="20"/>
        </w:rPr>
        <w:lastRenderedPageBreak/>
        <w:t>During the 1960s and 1970s, the anti-psychiatry movement, led by figures such as R.D. Laing and Thomas Szasz, began to challenge the fundamental assumptions underlying psychiatric practice.</w:t>
      </w:r>
      <w:r>
        <w:rPr>
          <w:rFonts w:asciiTheme="minorEastAsia" w:hAnsiTheme="minorEastAsia"/>
          <w:color w:val="0432FF"/>
          <w:sz w:val="20"/>
          <w:szCs w:val="20"/>
        </w:rPr>
        <w:t xml:space="preserve"> </w:t>
      </w:r>
      <w:r w:rsidRPr="007B0471">
        <w:rPr>
          <w:rFonts w:asciiTheme="minorEastAsia" w:hAnsiTheme="minorEastAsia"/>
          <w:color w:val="0432FF"/>
          <w:sz w:val="20"/>
          <w:szCs w:val="20"/>
        </w:rPr>
        <w:t>¹</w:t>
      </w:r>
      <w:r w:rsidRPr="007B0471">
        <w:rPr>
          <w:rFonts w:ascii="Cambria Math" w:hAnsi="Cambria Math" w:cs="Cambria Math"/>
          <w:color w:val="0432FF"/>
          <w:sz w:val="20"/>
          <w:szCs w:val="20"/>
        </w:rPr>
        <w:t>⁰</w:t>
      </w:r>
      <w:r w:rsidRPr="007B0471">
        <w:rPr>
          <w:rFonts w:ascii="Arial" w:hAnsi="Arial" w:cs="Arial"/>
          <w:color w:val="0432FF"/>
          <w:sz w:val="20"/>
          <w:szCs w:val="20"/>
        </w:rPr>
        <w:t>˒</w:t>
      </w:r>
      <w:r w:rsidRPr="007B0471">
        <w:rPr>
          <w:rFonts w:asciiTheme="minorEastAsia" w:hAnsiTheme="minorEastAsia"/>
          <w:color w:val="0432FF"/>
          <w:sz w:val="20"/>
          <w:szCs w:val="20"/>
        </w:rPr>
        <w:t>¹¹ In addition, as the patient rights movement in the United States expanded after the 1970s, together with the broader process of deinstitutionalization, various restrictive interventions used in psychiatric treatment increasingly became subjects of ethical scrutiny. In this context, the term “chemical restraint” gradually came into use to refer to the use of medication for the purpose of controlling patients’ behavior (</w:t>
      </w:r>
      <w:r w:rsidRPr="007B0471">
        <w:rPr>
          <w:rFonts w:asciiTheme="minorEastAsia" w:hAnsiTheme="minorEastAsia"/>
          <w:color w:val="7030A0"/>
          <w:sz w:val="20"/>
          <w:szCs w:val="20"/>
        </w:rPr>
        <w:t>Appelbaum, 1994</w:t>
      </w:r>
      <w:r w:rsidRPr="007B0471">
        <w:rPr>
          <w:rFonts w:asciiTheme="minorEastAsia" w:hAnsiTheme="minorEastAsia"/>
          <w:color w:val="0432FF"/>
          <w:sz w:val="20"/>
          <w:szCs w:val="20"/>
        </w:rPr>
        <w:t>).</w:t>
      </w:r>
    </w:p>
    <w:p w14:paraId="036D47F8" w14:textId="77777777" w:rsidR="007B0471" w:rsidRDefault="007B0471" w:rsidP="007B0471">
      <w:pPr>
        <w:jc w:val="both"/>
        <w:rPr>
          <w:rFonts w:asciiTheme="minorEastAsia" w:hAnsiTheme="minorEastAsia"/>
          <w:color w:val="0432FF"/>
          <w:sz w:val="20"/>
          <w:szCs w:val="20"/>
        </w:rPr>
      </w:pPr>
      <w:r w:rsidRPr="007B0471">
        <w:rPr>
          <w:rFonts w:asciiTheme="minorEastAsia" w:hAnsiTheme="minorEastAsia" w:hint="eastAsia"/>
          <w:color w:val="0432FF"/>
          <w:sz w:val="20"/>
          <w:szCs w:val="20"/>
        </w:rPr>
        <w:t>비록</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화학적</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구속을</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직접적으로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다루고</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있지는</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않았지만</w:t>
      </w:r>
      <w:r w:rsidRPr="007B0471">
        <w:rPr>
          <w:rFonts w:asciiTheme="minorEastAsia" w:hAnsiTheme="minorEastAsia"/>
          <w:color w:val="0432FF"/>
          <w:sz w:val="20"/>
          <w:szCs w:val="20"/>
        </w:rPr>
        <w:t>, 1991</w:t>
      </w:r>
      <w:r w:rsidRPr="007B0471">
        <w:rPr>
          <w:rFonts w:asciiTheme="minorEastAsia" w:hAnsiTheme="minorEastAsia" w:hint="eastAsia"/>
          <w:color w:val="0432FF"/>
          <w:sz w:val="20"/>
          <w:szCs w:val="20"/>
        </w:rPr>
        <w:t>년</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유엔은</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환자의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자율성</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충분한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설명에</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기반한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동의</w:t>
      </w:r>
      <w:r w:rsidRPr="007B0471">
        <w:rPr>
          <w:rFonts w:asciiTheme="minorEastAsia" w:hAnsiTheme="minorEastAsia"/>
          <w:color w:val="0432FF"/>
          <w:sz w:val="20"/>
          <w:szCs w:val="20"/>
        </w:rPr>
        <w:t xml:space="preserve">(informed consent), </w:t>
      </w:r>
      <w:r w:rsidRPr="007B0471">
        <w:rPr>
          <w:rFonts w:asciiTheme="minorEastAsia" w:hAnsiTheme="minorEastAsia" w:hint="eastAsia"/>
          <w:color w:val="0432FF"/>
          <w:sz w:val="20"/>
          <w:szCs w:val="20"/>
        </w:rPr>
        <w:t>그리고</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최소</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제한적</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치료의</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중요성을</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강조한</w:t>
      </w:r>
      <w:r w:rsidRPr="007B0471">
        <w:rPr>
          <w:rFonts w:asciiTheme="minorEastAsia" w:hAnsiTheme="minorEastAsia"/>
          <w:color w:val="0432FF"/>
          <w:sz w:val="20"/>
          <w:szCs w:val="20"/>
        </w:rPr>
        <w:t xml:space="preserve"> Principles for the Protection of Persons with Mental Illness and the Improvement of Mental Health Care</w:t>
      </w:r>
      <w:r w:rsidRPr="007B0471">
        <w:rPr>
          <w:rFonts w:asciiTheme="minorEastAsia" w:hAnsiTheme="minorEastAsia" w:hint="eastAsia"/>
          <w:color w:val="0432FF"/>
          <w:sz w:val="20"/>
          <w:szCs w:val="20"/>
        </w:rPr>
        <w:t>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채택하였다</w:t>
      </w:r>
      <w:r w:rsidRPr="007B0471">
        <w:rPr>
          <w:rFonts w:asciiTheme="minorEastAsia" w:hAnsiTheme="minorEastAsia"/>
          <w:color w:val="0432FF"/>
          <w:sz w:val="20"/>
          <w:szCs w:val="20"/>
        </w:rPr>
        <w:t>.¹</w:t>
      </w:r>
      <w:r w:rsidRPr="007B0471">
        <w:rPr>
          <w:rFonts w:ascii="Malgun Gothic Semilight" w:eastAsia="Malgun Gothic Semilight" w:hAnsi="Malgun Gothic Semilight" w:cs="Malgun Gothic Semilight" w:hint="eastAsia"/>
          <w:color w:val="0432FF"/>
          <w:sz w:val="20"/>
          <w:szCs w:val="20"/>
        </w:rPr>
        <w:t>⁵</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이후</w:t>
      </w:r>
      <w:r w:rsidRPr="007B0471">
        <w:rPr>
          <w:rFonts w:asciiTheme="minorEastAsia" w:hAnsiTheme="minorEastAsia"/>
          <w:color w:val="0432FF"/>
          <w:sz w:val="20"/>
          <w:szCs w:val="20"/>
        </w:rPr>
        <w:t xml:space="preserve"> 1990</w:t>
      </w:r>
      <w:r w:rsidRPr="007B0471">
        <w:rPr>
          <w:rFonts w:asciiTheme="minorEastAsia" w:hAnsiTheme="minorEastAsia" w:hint="eastAsia"/>
          <w:color w:val="0432FF"/>
          <w:sz w:val="20"/>
          <w:szCs w:val="20"/>
        </w:rPr>
        <w:t>년대와</w:t>
      </w:r>
      <w:r w:rsidRPr="007B0471">
        <w:rPr>
          <w:rFonts w:asciiTheme="minorEastAsia" w:hAnsiTheme="minorEastAsia"/>
          <w:color w:val="0432FF"/>
          <w:sz w:val="20"/>
          <w:szCs w:val="20"/>
        </w:rPr>
        <w:t xml:space="preserve"> 2000</w:t>
      </w:r>
      <w:r w:rsidRPr="007B0471">
        <w:rPr>
          <w:rFonts w:asciiTheme="minorEastAsia" w:hAnsiTheme="minorEastAsia" w:hint="eastAsia"/>
          <w:color w:val="0432FF"/>
          <w:sz w:val="20"/>
          <w:szCs w:val="20"/>
        </w:rPr>
        <w:t>년대에</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들어서면서</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이</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용어는</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정신과</w:t>
      </w:r>
      <w:r w:rsidRPr="007B0471">
        <w:rPr>
          <w:rFonts w:asciiTheme="minorEastAsia" w:hAnsiTheme="minorEastAsia"/>
          <w:color w:val="0432FF"/>
          <w:sz w:val="20"/>
          <w:szCs w:val="20"/>
        </w:rPr>
        <w:t xml:space="preserve"> </w:t>
      </w:r>
      <w:r w:rsidRPr="007B0471">
        <w:rPr>
          <w:rFonts w:asciiTheme="minorEastAsia" w:hAnsiTheme="minorEastAsia" w:hint="eastAsia"/>
          <w:color w:val="0432FF"/>
          <w:sz w:val="20"/>
          <w:szCs w:val="20"/>
        </w:rPr>
        <w:t>임상 지침, 간호 문헌, 그리고 정신보건 관련 정책 문서에서 널리 사용되기 시작하였다. 특히 신체적 구속과 약물적 억제를 구분하여 규제하려는 정책적 접근이 등장하면서 chemical restraint는 정신과 치료에서의 강압적 개입(coercive intervention)을 설명하는 주요 개념 중 하나로 자리 잡게 되었다. 이러한 변화는 단순히 새로운 임상 근거의 등장 때문이라기</w:t>
      </w:r>
      <w:r w:rsidR="009B0720">
        <w:rPr>
          <w:rFonts w:asciiTheme="minorEastAsia" w:hAnsiTheme="minorEastAsia" w:hint="eastAsia"/>
          <w:color w:val="0432FF"/>
          <w:sz w:val="20"/>
          <w:szCs w:val="20"/>
        </w:rPr>
        <w:t xml:space="preserve"> </w:t>
      </w:r>
      <w:r w:rsidRPr="007B0471">
        <w:rPr>
          <w:rFonts w:asciiTheme="minorEastAsia" w:hAnsiTheme="minorEastAsia" w:hint="eastAsia"/>
          <w:color w:val="0432FF"/>
          <w:sz w:val="20"/>
          <w:szCs w:val="20"/>
        </w:rPr>
        <w:t>보다 윤리적 기대, 환자 권리 담론, 그리고 진료 표준의 변화라는 보다 광범위한 사회적 전환을 반영한 것이었다.</w:t>
      </w:r>
    </w:p>
    <w:p w14:paraId="126EA966" w14:textId="77777777" w:rsidR="008E4321" w:rsidRDefault="007B0471" w:rsidP="008E4321">
      <w:pPr>
        <w:jc w:val="both"/>
        <w:rPr>
          <w:rFonts w:asciiTheme="minorEastAsia" w:hAnsiTheme="minorEastAsia"/>
          <w:color w:val="0432FF"/>
          <w:sz w:val="20"/>
          <w:szCs w:val="20"/>
        </w:rPr>
      </w:pPr>
      <w:r w:rsidRPr="007B0471">
        <w:rPr>
          <w:rFonts w:asciiTheme="minorEastAsia" w:hAnsiTheme="minorEastAsia"/>
          <w:color w:val="0432FF"/>
          <w:sz w:val="20"/>
          <w:szCs w:val="20"/>
        </w:rPr>
        <w:t>Although it did not directly address chemical restraint, in 1991 the United Nations adopted the Principles for the Protection of Persons with Mental Illness and the Improvement of Mental Health Care, which emphasized patient autonomy, informed consent based on adequate explanation, and the importance of the least restrictive treatment.¹</w:t>
      </w:r>
      <w:r w:rsidRPr="007B0471">
        <w:rPr>
          <w:rFonts w:ascii="Malgun Gothic Semilight" w:eastAsia="Malgun Gothic Semilight" w:hAnsi="Malgun Gothic Semilight" w:cs="Malgun Gothic Semilight" w:hint="eastAsia"/>
          <w:color w:val="0432FF"/>
          <w:sz w:val="20"/>
          <w:szCs w:val="20"/>
        </w:rPr>
        <w:t>⁵</w:t>
      </w:r>
      <w:r w:rsidRPr="007B0471">
        <w:rPr>
          <w:rFonts w:asciiTheme="minorEastAsia" w:hAnsiTheme="minorEastAsia"/>
          <w:color w:val="0432FF"/>
          <w:sz w:val="20"/>
          <w:szCs w:val="20"/>
        </w:rPr>
        <w:t xml:space="preserve"> During the 1990s and 2000s, the term came to be widely used in psychiatric clinical guidelines, nursing literature, and mental health policy documents. In particular, as policy approaches emerged that sought to distinguish and regulate physical restraint and pharmacological restraint, chemical restraint became established as one of the key concepts used to describe coercive interventions in psychiatric treatment. These developments reflected not merely the emergence of new clinical evidence but a broader social shift involving evolving ethical expectations, patient rights discourse, and changes in standards of care.</w:t>
      </w:r>
      <w:r w:rsidR="008E4321">
        <w:rPr>
          <w:rFonts w:asciiTheme="minorEastAsia" w:hAnsiTheme="minorEastAsia" w:hint="eastAsia"/>
          <w:color w:val="0432FF"/>
          <w:sz w:val="20"/>
          <w:szCs w:val="20"/>
        </w:rPr>
        <w:t xml:space="preserve"> </w:t>
      </w:r>
    </w:p>
    <w:p w14:paraId="3A65594A" w14:textId="77777777" w:rsidR="0016023D" w:rsidRDefault="008E4321" w:rsidP="0016023D">
      <w:pPr>
        <w:jc w:val="both"/>
        <w:rPr>
          <w:rFonts w:asciiTheme="minorEastAsia" w:hAnsiTheme="minorEastAsia"/>
          <w:color w:val="0432FF"/>
          <w:sz w:val="20"/>
          <w:szCs w:val="20"/>
        </w:rPr>
      </w:pPr>
      <w:r w:rsidRPr="0016023D">
        <w:rPr>
          <w:rFonts w:asciiTheme="minorEastAsia" w:hAnsiTheme="minorEastAsia" w:cs="Batang" w:hint="eastAsia"/>
          <w:color w:val="0432FF"/>
          <w:sz w:val="20"/>
          <w:szCs w:val="20"/>
        </w:rPr>
        <w:t>일부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연구자들은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동일한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약물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투여가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환자의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고통을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완화하고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급성</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증상을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안정화하기</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위한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치료적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개입으로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이루어질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있음에도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불구하고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일률적으로</w:t>
      </w:r>
      <w:r w:rsidRPr="0016023D">
        <w:rPr>
          <w:rFonts w:asciiTheme="minorEastAsia" w:hAnsiTheme="minorEastAsia"/>
          <w:color w:val="0432FF"/>
          <w:sz w:val="20"/>
          <w:szCs w:val="20"/>
        </w:rPr>
        <w:t xml:space="preserve"> </w:t>
      </w:r>
      <w:r w:rsidRPr="0016023D">
        <w:rPr>
          <w:rStyle w:val="Emphasis"/>
          <w:rFonts w:asciiTheme="minorEastAsia" w:hAnsiTheme="minorEastAsia"/>
          <w:color w:val="0432FF"/>
          <w:sz w:val="20"/>
          <w:szCs w:val="20"/>
        </w:rPr>
        <w:t>chemical restraint</w:t>
      </w:r>
      <w:r w:rsidRPr="0016023D">
        <w:rPr>
          <w:rFonts w:asciiTheme="minorEastAsia" w:hAnsiTheme="minorEastAsia" w:cs="Batang" w:hint="eastAsia"/>
          <w:color w:val="0432FF"/>
          <w:sz w:val="20"/>
          <w:szCs w:val="20"/>
        </w:rPr>
        <w:t>라는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용어로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지칭하는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것은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현실을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충분히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반영하지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못할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있다고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지적하였다</w:t>
      </w:r>
      <w:r w:rsidRPr="0016023D">
        <w:rPr>
          <w:rFonts w:asciiTheme="minorEastAsia" w:hAnsiTheme="minorEastAsia"/>
          <w:color w:val="0432FF"/>
          <w:sz w:val="20"/>
          <w:szCs w:val="20"/>
        </w:rPr>
        <w:t xml:space="preserve"> (</w:t>
      </w:r>
      <w:r w:rsidRPr="0016023D">
        <w:rPr>
          <w:rFonts w:asciiTheme="minorEastAsia" w:hAnsiTheme="minorEastAsia"/>
          <w:color w:val="7030A0"/>
          <w:sz w:val="20"/>
          <w:szCs w:val="20"/>
        </w:rPr>
        <w:t>Muir-Cochrane et al., 2018</w:t>
      </w:r>
      <w:r w:rsidRPr="0016023D">
        <w:rPr>
          <w:rFonts w:asciiTheme="minorEastAsia" w:hAnsiTheme="minorEastAsia"/>
          <w:color w:val="0432FF"/>
          <w:sz w:val="20"/>
          <w:szCs w:val="20"/>
        </w:rPr>
        <w:t>). Freckelton(2023)</w:t>
      </w:r>
      <w:r w:rsidRPr="0016023D">
        <w:rPr>
          <w:rFonts w:asciiTheme="minorEastAsia" w:hAnsiTheme="minorEastAsia" w:cs="Batang" w:hint="eastAsia"/>
          <w:color w:val="0432FF"/>
          <w:sz w:val="20"/>
          <w:szCs w:val="20"/>
        </w:rPr>
        <w:t>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화학적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구속을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둘러싼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규제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개혁이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주체</w:t>
      </w:r>
      <w:r w:rsidRPr="0016023D">
        <w:rPr>
          <w:rFonts w:asciiTheme="minorEastAsia" w:hAnsiTheme="minorEastAsia"/>
          <w:color w:val="0432FF"/>
          <w:sz w:val="20"/>
          <w:szCs w:val="20"/>
        </w:rPr>
        <w:t>–</w:t>
      </w:r>
      <w:r w:rsidRPr="0016023D">
        <w:rPr>
          <w:rFonts w:asciiTheme="minorEastAsia" w:hAnsiTheme="minorEastAsia" w:cs="Batang" w:hint="eastAsia"/>
          <w:color w:val="0432FF"/>
          <w:sz w:val="20"/>
          <w:szCs w:val="20"/>
        </w:rPr>
        <w:t>대리인</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관계</w:t>
      </w:r>
      <w:r w:rsidRPr="0016023D">
        <w:rPr>
          <w:rFonts w:asciiTheme="minorEastAsia" w:hAnsiTheme="minorEastAsia"/>
          <w:color w:val="0432FF"/>
          <w:sz w:val="20"/>
          <w:szCs w:val="20"/>
        </w:rPr>
        <w:t>(principal–agent relationship)</w:t>
      </w:r>
      <w:r w:rsidRPr="0016023D">
        <w:rPr>
          <w:rFonts w:asciiTheme="minorEastAsia" w:hAnsiTheme="minorEastAsia" w:cs="Batang" w:hint="eastAsia"/>
          <w:color w:val="0432FF"/>
          <w:sz w:val="20"/>
          <w:szCs w:val="20"/>
        </w:rPr>
        <w:t>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제도적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유인을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충분히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고려하지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않는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실질적인</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변화가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이루어지기</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어렵다고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지적하였다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이러한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맥락에서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화학적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구속의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완전한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제거는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실현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가능한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목표가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lastRenderedPageBreak/>
        <w:t>아니다</w:t>
      </w:r>
      <w:r w:rsidRPr="0016023D">
        <w:rPr>
          <w:rFonts w:asciiTheme="minorEastAsia" w:hAnsiTheme="minorEastAsia"/>
          <w:color w:val="0432FF"/>
          <w:sz w:val="20"/>
          <w:szCs w:val="20"/>
        </w:rPr>
        <w:t>”(p.105)</w:t>
      </w:r>
      <w:r w:rsidRPr="0016023D">
        <w:rPr>
          <w:rFonts w:asciiTheme="minorEastAsia" w:hAnsiTheme="minorEastAsia" w:cs="Batang" w:hint="eastAsia"/>
          <w:color w:val="0432FF"/>
          <w:sz w:val="20"/>
          <w:szCs w:val="20"/>
        </w:rPr>
        <w:t>라고까지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주장하였다</w:t>
      </w:r>
      <w:r w:rsidRPr="0016023D">
        <w:rPr>
          <w:rFonts w:asciiTheme="minorEastAsia" w:hAnsiTheme="minorEastAsia"/>
          <w:color w:val="0432FF"/>
          <w:sz w:val="20"/>
          <w:szCs w:val="20"/>
        </w:rPr>
        <w:t xml:space="preserve"> (</w:t>
      </w:r>
      <w:r w:rsidRPr="0016023D">
        <w:rPr>
          <w:rFonts w:asciiTheme="minorEastAsia" w:hAnsiTheme="minorEastAsia"/>
          <w:color w:val="7030A0"/>
          <w:sz w:val="20"/>
          <w:szCs w:val="20"/>
        </w:rPr>
        <w:t xml:space="preserve">Freckelton, 2023; Hayward, 2025; Hayward BA. </w:t>
      </w:r>
      <w:r w:rsidRPr="0016023D">
        <w:rPr>
          <w:rStyle w:val="Emphasis"/>
          <w:rFonts w:asciiTheme="minorEastAsia" w:hAnsiTheme="minorEastAsia"/>
          <w:color w:val="7030A0"/>
          <w:sz w:val="20"/>
          <w:szCs w:val="20"/>
        </w:rPr>
        <w:t>Principals, agents, and the moral hazard of chemical restraint regulation in Australian disability services.</w:t>
      </w:r>
      <w:r w:rsidRPr="0016023D">
        <w:rPr>
          <w:rFonts w:asciiTheme="minorEastAsia" w:hAnsiTheme="minorEastAsia"/>
          <w:color w:val="7030A0"/>
          <w:sz w:val="20"/>
          <w:szCs w:val="20"/>
        </w:rPr>
        <w:t xml:space="preserve"> Research and Practice in Intellectual and Developmental Disabilities. 2025 Jul 3;12(2):179-191</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이러한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점에서</w:t>
      </w:r>
      <w:r w:rsidRPr="0016023D">
        <w:rPr>
          <w:rFonts w:asciiTheme="minorEastAsia" w:hAnsiTheme="minorEastAsia"/>
          <w:color w:val="0432FF"/>
          <w:sz w:val="20"/>
          <w:szCs w:val="20"/>
        </w:rPr>
        <w:t xml:space="preserve"> CMS</w:t>
      </w:r>
      <w:r w:rsidRPr="0016023D">
        <w:rPr>
          <w:rFonts w:asciiTheme="minorEastAsia" w:hAnsiTheme="minorEastAsia" w:cs="Batang" w:hint="eastAsia"/>
          <w:color w:val="0432FF"/>
          <w:sz w:val="20"/>
          <w:szCs w:val="20"/>
        </w:rPr>
        <w:t>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정의와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실제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현실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사이에는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일정한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개념적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긴장이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존재할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수밖에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없다고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있다</w:t>
      </w:r>
      <w:r w:rsidRPr="0016023D">
        <w:rPr>
          <w:rFonts w:asciiTheme="minorEastAsia" w:hAnsiTheme="minorEastAsia"/>
          <w:color w:val="0432FF"/>
          <w:sz w:val="20"/>
          <w:szCs w:val="20"/>
        </w:rPr>
        <w:t xml:space="preserve"> (Steiner et al., 2010; Shorter, 2021; Scull, 2015).</w:t>
      </w:r>
      <w:r w:rsidR="0016023D" w:rsidRPr="0016023D">
        <w:rPr>
          <w:rFonts w:asciiTheme="minorEastAsia" w:hAnsiTheme="minorEastAsia"/>
          <w:color w:val="0432FF"/>
          <w:sz w:val="20"/>
          <w:szCs w:val="20"/>
        </w:rPr>
        <w:t xml:space="preserve"> </w:t>
      </w:r>
    </w:p>
    <w:p w14:paraId="5D1F3E4D" w14:textId="77777777" w:rsidR="0016023D" w:rsidRPr="0016023D" w:rsidRDefault="0016023D" w:rsidP="0016023D">
      <w:pPr>
        <w:jc w:val="both"/>
        <w:rPr>
          <w:rFonts w:asciiTheme="minorEastAsia" w:hAnsiTheme="minorEastAsia"/>
          <w:color w:val="0432FF"/>
          <w:sz w:val="20"/>
          <w:szCs w:val="20"/>
        </w:rPr>
      </w:pPr>
      <w:r w:rsidRPr="0016023D">
        <w:rPr>
          <w:rFonts w:asciiTheme="minorEastAsia" w:hAnsiTheme="minorEastAsia"/>
          <w:color w:val="0432FF"/>
          <w:sz w:val="20"/>
          <w:szCs w:val="20"/>
        </w:rPr>
        <w:t>Some researchers have argued that although the administration of the same medication may be undertaken as a therapeutic intervention to relieve patients’ distress and stabilize acute symptoms, uniformly labeling such practices as “chemical restraint” may fail to adequately reflect clinical realities (</w:t>
      </w:r>
      <w:r w:rsidRPr="0016023D">
        <w:rPr>
          <w:rFonts w:asciiTheme="minorEastAsia" w:hAnsiTheme="minorEastAsia"/>
          <w:color w:val="7030A0"/>
          <w:sz w:val="20"/>
          <w:szCs w:val="20"/>
        </w:rPr>
        <w:t>Muir-Cochrane et al., 2018</w:t>
      </w:r>
      <w:r w:rsidRPr="0016023D">
        <w:rPr>
          <w:rFonts w:asciiTheme="minorEastAsia" w:hAnsiTheme="minorEastAsia"/>
          <w:color w:val="0432FF"/>
          <w:sz w:val="20"/>
          <w:szCs w:val="20"/>
        </w:rPr>
        <w:t>). Freckelton (2023) further noted that regulatory reforms concerning chemical restraint are unlikely to produce meaningful change unless they adequately consider principal–agent relationships and the institutional incentives involved. In this context, he even argued that “the complete elimination of chemical restraint is not a realistically achievable goal” (p. 105) (</w:t>
      </w:r>
      <w:r w:rsidRPr="0016023D">
        <w:rPr>
          <w:rFonts w:asciiTheme="minorEastAsia" w:hAnsiTheme="minorEastAsia"/>
          <w:color w:val="7030A0"/>
          <w:sz w:val="20"/>
          <w:szCs w:val="20"/>
        </w:rPr>
        <w:t>Freckelton, 2023; Hayward, 2025; Hayward BA. Principals, agents, and the moral hazard of chemical restraint regulation in Australian disability services. Research and Practice in Intellectual and Developmental Disabilities. 2025 Jul 3;12(2):179–191</w:t>
      </w:r>
      <w:r w:rsidRPr="0016023D">
        <w:rPr>
          <w:rFonts w:asciiTheme="minorEastAsia" w:hAnsiTheme="minorEastAsia"/>
          <w:color w:val="0432FF"/>
          <w:sz w:val="20"/>
          <w:szCs w:val="20"/>
        </w:rPr>
        <w:t>). From this perspective, a certain degree of conceptual tension between the CMS definition and the realities of clinical practice appears to be unavoidable (</w:t>
      </w:r>
      <w:r w:rsidRPr="0016023D">
        <w:rPr>
          <w:rFonts w:asciiTheme="minorEastAsia" w:hAnsiTheme="minorEastAsia"/>
          <w:color w:val="7030A0"/>
          <w:sz w:val="20"/>
          <w:szCs w:val="20"/>
        </w:rPr>
        <w:t>Steiner et al., 2010; Shorter, 2021; Scull, 2015</w:t>
      </w:r>
      <w:r w:rsidRPr="0016023D">
        <w:rPr>
          <w:rFonts w:asciiTheme="minorEastAsia" w:hAnsiTheme="minorEastAsia"/>
          <w:color w:val="0432FF"/>
          <w:sz w:val="20"/>
          <w:szCs w:val="20"/>
        </w:rPr>
        <w:t>).</w:t>
      </w:r>
    </w:p>
    <w:p w14:paraId="12A608AF" w14:textId="77777777" w:rsidR="0016023D" w:rsidRPr="0016023D" w:rsidRDefault="008E4321" w:rsidP="0016023D">
      <w:pPr>
        <w:jc w:val="both"/>
        <w:rPr>
          <w:rFonts w:asciiTheme="minorEastAsia" w:hAnsiTheme="minorEastAsia"/>
          <w:color w:val="0432FF"/>
          <w:sz w:val="20"/>
          <w:szCs w:val="20"/>
        </w:rPr>
      </w:pPr>
      <w:r w:rsidRPr="0016023D">
        <w:rPr>
          <w:rFonts w:asciiTheme="minorEastAsia" w:hAnsiTheme="minorEastAsia" w:cs="Batang" w:hint="eastAsia"/>
          <w:color w:val="0432FF"/>
          <w:sz w:val="20"/>
          <w:szCs w:val="20"/>
        </w:rPr>
        <w:t>중요한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점은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이러한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긴장이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단지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이론적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차원에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머무르지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않는다는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것이다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급성</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정신과적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상황이나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응급</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환경에서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임상가들은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약물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치료에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앞서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비약물적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탈긴장</w:t>
      </w:r>
      <w:r w:rsidRPr="0016023D">
        <w:rPr>
          <w:rFonts w:asciiTheme="minorEastAsia" w:hAnsiTheme="minorEastAsia"/>
          <w:color w:val="0432FF"/>
          <w:sz w:val="20"/>
          <w:szCs w:val="20"/>
        </w:rPr>
        <w:t xml:space="preserve">(de-escalation) </w:t>
      </w:r>
      <w:r w:rsidRPr="0016023D">
        <w:rPr>
          <w:rFonts w:asciiTheme="minorEastAsia" w:hAnsiTheme="minorEastAsia" w:cs="Batang" w:hint="eastAsia"/>
          <w:color w:val="0432FF"/>
          <w:sz w:val="20"/>
          <w:szCs w:val="20"/>
        </w:rPr>
        <w:t>전략을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시도하는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경우가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많다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그럼에도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불구하고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약물학적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개입이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불가피해지는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상황은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대개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편의에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따른</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선택이라기보다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제한적인</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중재가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충분한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효과를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거두지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못한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결과를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반영한다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이러한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윤리적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딜레마는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강제성을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어떻게</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개념화하고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규제할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것인지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그리고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치료</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전략의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발전을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통해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어떻게</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완화할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있을지를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재검토할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필요성을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분명히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보여준다</w:t>
      </w:r>
      <w:r w:rsidRPr="0016023D">
        <w:rPr>
          <w:rFonts w:asciiTheme="minorEastAsia" w:hAnsiTheme="minorEastAsia"/>
          <w:color w:val="0432FF"/>
          <w:sz w:val="20"/>
          <w:szCs w:val="20"/>
        </w:rPr>
        <w:t>.</w:t>
      </w:r>
      <w:r w:rsidR="0016023D" w:rsidRPr="0016023D">
        <w:rPr>
          <w:rFonts w:asciiTheme="minorEastAsia" w:hAnsiTheme="minorEastAsia"/>
          <w:color w:val="0432FF"/>
          <w:sz w:val="20"/>
          <w:szCs w:val="20"/>
        </w:rPr>
        <w:t xml:space="preserve"> </w:t>
      </w:r>
    </w:p>
    <w:p w14:paraId="06A7ECF5" w14:textId="77777777" w:rsidR="0016023D" w:rsidRDefault="0016023D" w:rsidP="0016023D">
      <w:pPr>
        <w:jc w:val="both"/>
        <w:rPr>
          <w:rFonts w:asciiTheme="minorEastAsia" w:hAnsiTheme="minorEastAsia"/>
          <w:color w:val="0432FF"/>
          <w:sz w:val="20"/>
          <w:szCs w:val="20"/>
        </w:rPr>
      </w:pPr>
      <w:r w:rsidRPr="0016023D">
        <w:rPr>
          <w:rFonts w:asciiTheme="minorEastAsia" w:hAnsiTheme="minorEastAsia"/>
          <w:color w:val="0432FF"/>
          <w:sz w:val="20"/>
          <w:szCs w:val="20"/>
        </w:rPr>
        <w:t>An important point is that this tension does not remain merely at a theoretical level. In acute psychiatric situations or emergency settings, clinicians often attempt non-pharmacological de-escalation strategies before resorting to medication. Nevertheless, situations in which pharmacological intervention becomes unavoidable generally reflect not a matter of clinical convenience, but rather the failure of less restrictive interventions to achieve sufficient effect. This ethical dilemma clearly underscores the need to reconsider how coercion should be conceptualized and regulated, and how the development of therapeutic strategies might help to mitigate it.</w:t>
      </w:r>
    </w:p>
    <w:p w14:paraId="733A1C23" w14:textId="77777777" w:rsidR="0016023D" w:rsidRPr="0016023D" w:rsidRDefault="0016023D" w:rsidP="0016023D">
      <w:pPr>
        <w:jc w:val="both"/>
        <w:rPr>
          <w:rFonts w:asciiTheme="minorEastAsia" w:hAnsiTheme="minorEastAsia"/>
          <w:color w:val="0432FF"/>
          <w:sz w:val="20"/>
          <w:szCs w:val="20"/>
        </w:rPr>
      </w:pPr>
    </w:p>
    <w:p w14:paraId="17566035" w14:textId="77777777" w:rsidR="008E4321" w:rsidRDefault="008E4321" w:rsidP="0016023D">
      <w:pPr>
        <w:jc w:val="both"/>
        <w:rPr>
          <w:rFonts w:asciiTheme="minorEastAsia" w:hAnsiTheme="minorEastAsia"/>
          <w:sz w:val="20"/>
          <w:szCs w:val="20"/>
        </w:rPr>
      </w:pPr>
      <w:r w:rsidRPr="0016023D">
        <w:rPr>
          <w:rFonts w:asciiTheme="minorEastAsia" w:hAnsiTheme="minorEastAsia" w:cs="Batang" w:hint="eastAsia"/>
          <w:color w:val="0432FF"/>
          <w:sz w:val="20"/>
          <w:szCs w:val="20"/>
        </w:rPr>
        <w:lastRenderedPageBreak/>
        <w:t>이러한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맥락에서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현대의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정의는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여전히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진화하고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있으며</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필요성</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안전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자율성</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그리고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기관의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책임</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사이의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긴장</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속에서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형성되고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현대의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틀은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의도</w:t>
      </w:r>
      <w:r w:rsidRPr="0016023D">
        <w:rPr>
          <w:rFonts w:asciiTheme="minorEastAsia" w:hAnsiTheme="minorEastAsia"/>
          <w:color w:val="0432FF"/>
          <w:sz w:val="20"/>
          <w:szCs w:val="20"/>
        </w:rPr>
        <w:t xml:space="preserve">(intent), </w:t>
      </w:r>
      <w:r w:rsidRPr="0016023D">
        <w:rPr>
          <w:rFonts w:asciiTheme="minorEastAsia" w:hAnsiTheme="minorEastAsia" w:cs="Batang" w:hint="eastAsia"/>
          <w:color w:val="0432FF"/>
          <w:sz w:val="20"/>
          <w:szCs w:val="20"/>
        </w:rPr>
        <w:t>비례성</w:t>
      </w:r>
      <w:r w:rsidRPr="0016023D">
        <w:rPr>
          <w:rFonts w:asciiTheme="minorEastAsia" w:hAnsiTheme="minorEastAsia"/>
          <w:color w:val="0432FF"/>
          <w:sz w:val="20"/>
          <w:szCs w:val="20"/>
        </w:rPr>
        <w:t xml:space="preserve">(proportionality), </w:t>
      </w:r>
      <w:r w:rsidRPr="0016023D">
        <w:rPr>
          <w:rFonts w:asciiTheme="minorEastAsia" w:hAnsiTheme="minorEastAsia" w:cs="Batang" w:hint="eastAsia"/>
          <w:color w:val="0432FF"/>
          <w:sz w:val="20"/>
          <w:szCs w:val="20"/>
        </w:rPr>
        <w:t>그리고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표준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치료</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여부를</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강조하지만</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응급</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상황에서의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약물적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진정이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치료인지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강제인지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혹은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모두에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해당하는지에</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대해서는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여전히</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논쟁이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지속되고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있다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따라서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학문적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관점에서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화학적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억제의</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정의는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고정된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진실이라기보다</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임상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실천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윤리</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그리고</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사회적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가치가</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교차하는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지점에서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형성된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역사적</w:t>
      </w:r>
      <w:r w:rsidRPr="0016023D">
        <w:rPr>
          <w:rFonts w:asciiTheme="minorEastAsia" w:hAnsiTheme="minorEastAsia"/>
          <w:color w:val="0432FF"/>
          <w:sz w:val="20"/>
          <w:szCs w:val="20"/>
        </w:rPr>
        <w:t>·</w:t>
      </w:r>
      <w:r w:rsidRPr="0016023D">
        <w:rPr>
          <w:rFonts w:asciiTheme="minorEastAsia" w:hAnsiTheme="minorEastAsia" w:cs="Batang" w:hint="eastAsia"/>
          <w:color w:val="0432FF"/>
          <w:sz w:val="20"/>
          <w:szCs w:val="20"/>
        </w:rPr>
        <w:t>맥락적</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구성물로</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이해하는</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것이</w:t>
      </w:r>
      <w:r w:rsidRPr="0016023D">
        <w:rPr>
          <w:rFonts w:asciiTheme="minorEastAsia" w:hAnsiTheme="minorEastAsia"/>
          <w:color w:val="0432FF"/>
          <w:sz w:val="20"/>
          <w:szCs w:val="20"/>
        </w:rPr>
        <w:t xml:space="preserve"> </w:t>
      </w:r>
      <w:r w:rsidRPr="0016023D">
        <w:rPr>
          <w:rFonts w:asciiTheme="minorEastAsia" w:hAnsiTheme="minorEastAsia" w:cs="Batang" w:hint="eastAsia"/>
          <w:color w:val="0432FF"/>
          <w:sz w:val="20"/>
          <w:szCs w:val="20"/>
        </w:rPr>
        <w:t>타당하다</w:t>
      </w:r>
      <w:r w:rsidRPr="0016023D">
        <w:rPr>
          <w:rFonts w:asciiTheme="minorEastAsia" w:hAnsiTheme="minorEastAsia"/>
          <w:color w:val="0432FF"/>
          <w:sz w:val="20"/>
          <w:szCs w:val="20"/>
        </w:rPr>
        <w:t xml:space="preserve"> </w:t>
      </w:r>
      <w:r w:rsidRPr="0016023D">
        <w:rPr>
          <w:rFonts w:asciiTheme="minorEastAsia" w:hAnsiTheme="minorEastAsia"/>
          <w:sz w:val="20"/>
          <w:szCs w:val="20"/>
        </w:rPr>
        <w:t>(</w:t>
      </w:r>
      <w:r w:rsidRPr="0016023D">
        <w:rPr>
          <w:rFonts w:asciiTheme="minorEastAsia" w:hAnsiTheme="minorEastAsia"/>
          <w:color w:val="7030A0"/>
          <w:sz w:val="20"/>
          <w:szCs w:val="20"/>
        </w:rPr>
        <w:t>Stewart et al., 2020</w:t>
      </w:r>
      <w:r w:rsidRPr="0016023D">
        <w:rPr>
          <w:rFonts w:asciiTheme="minorEastAsia" w:hAnsiTheme="minorEastAsia"/>
          <w:sz w:val="20"/>
          <w:szCs w:val="20"/>
        </w:rPr>
        <w:t>).</w:t>
      </w:r>
    </w:p>
    <w:p w14:paraId="67B57D89" w14:textId="77777777" w:rsidR="0016023D" w:rsidRDefault="0016023D" w:rsidP="0016023D">
      <w:pPr>
        <w:jc w:val="both"/>
        <w:rPr>
          <w:rFonts w:asciiTheme="minorEastAsia" w:hAnsiTheme="minorEastAsia"/>
          <w:color w:val="0432FF"/>
          <w:sz w:val="20"/>
          <w:szCs w:val="20"/>
        </w:rPr>
      </w:pPr>
      <w:r w:rsidRPr="0016023D">
        <w:rPr>
          <w:rFonts w:asciiTheme="minorEastAsia" w:hAnsiTheme="minorEastAsia"/>
          <w:color w:val="0432FF"/>
          <w:sz w:val="20"/>
          <w:szCs w:val="20"/>
        </w:rPr>
        <w:t>In this context, contemporary definitions continue to evolve and are shaped within tensions among clinical necessity, safety, autonomy, and institutional responsibility. Current frameworks emphasize intent, proportionality, and whether an intervention constitutes standard treatment; however, debate persists as to whether pharmacological sedation in emergency situations should be understood as treatment, coercion, or some combination of both. From a scholarly perspective, therefore, the definition of chemical restraint is better understood not as a fixed truth but as a historical and contextual construct formed at the intersection of clinical practice, ethics, and social values (</w:t>
      </w:r>
      <w:r w:rsidRPr="0016023D">
        <w:rPr>
          <w:rFonts w:asciiTheme="minorEastAsia" w:hAnsiTheme="minorEastAsia"/>
          <w:color w:val="7030A0"/>
          <w:sz w:val="20"/>
          <w:szCs w:val="20"/>
        </w:rPr>
        <w:t>Stewart et al., 2020</w:t>
      </w:r>
      <w:r w:rsidRPr="0016023D">
        <w:rPr>
          <w:rFonts w:asciiTheme="minorEastAsia" w:hAnsiTheme="minorEastAsia"/>
          <w:color w:val="0432FF"/>
          <w:sz w:val="20"/>
          <w:szCs w:val="20"/>
        </w:rPr>
        <w:t>).</w:t>
      </w:r>
    </w:p>
    <w:p w14:paraId="389DD806" w14:textId="77777777" w:rsidR="00917760" w:rsidRDefault="00917760" w:rsidP="0016023D">
      <w:pPr>
        <w:jc w:val="both"/>
        <w:rPr>
          <w:rFonts w:asciiTheme="minorEastAsia" w:hAnsiTheme="minorEastAsia"/>
          <w:color w:val="0432FF"/>
          <w:sz w:val="20"/>
          <w:szCs w:val="20"/>
        </w:rPr>
      </w:pPr>
      <w:r w:rsidRPr="00917760">
        <w:rPr>
          <w:rFonts w:asciiTheme="minorEastAsia" w:hAnsiTheme="minorEastAsia" w:hint="eastAsia"/>
          <w:color w:val="0432FF"/>
          <w:sz w:val="20"/>
          <w:szCs w:val="20"/>
        </w:rPr>
        <w:t>그럼에도 불구하고, 그 역사가 어떠하든 “chemical restraint”라는 용어 자체는 현재의 임상적 맥락을 충분히 반영하지 못하는 한계를 가진다. 이는 실제 임상에서 이루어지는 맥락 의존적 판단과 위험 관리의 복합성을 충분히 설명하지 못한 채, 특정 개입에 대한 인식을 왜곡하고 불필요한 개념적 범주를 강화할 가능성을 내포한다. 나아가 이러한 문제는 단순한 용어 선택의 차원을 넘어, 임상적 사고방식과 의사결정의 구조에 영향을 미치며, 궁극적으로는 환자를 어떻게 이해하고 개입할 것인가에 대한 근본적인 태도와도 연결된다. 따라서 당사자를 낙인화하고 임상적 개입을 단순한 통제의 문제로 환원시킬 수 있는 이 용어의 사용에 대해서는 비판적 재검토가 필요하다.</w:t>
      </w:r>
    </w:p>
    <w:p w14:paraId="1A751D32" w14:textId="77777777" w:rsidR="00917760" w:rsidRPr="00917760" w:rsidRDefault="00917760" w:rsidP="00917760">
      <w:pPr>
        <w:jc w:val="both"/>
        <w:rPr>
          <w:rFonts w:asciiTheme="minorEastAsia" w:hAnsiTheme="minorEastAsia"/>
          <w:color w:val="0432FF"/>
          <w:sz w:val="20"/>
          <w:szCs w:val="20"/>
        </w:rPr>
      </w:pPr>
      <w:r w:rsidRPr="00917760">
        <w:rPr>
          <w:rFonts w:asciiTheme="minorEastAsia" w:hAnsiTheme="minorEastAsia"/>
          <w:color w:val="0432FF"/>
          <w:sz w:val="20"/>
          <w:szCs w:val="20"/>
        </w:rPr>
        <w:t>Nevertheless, regardless of its historical origins, the term “chemical restraint” itself has limitations in adequately reflecting the complexity of contemporary clinical practice. It fails to capture the context-dependent nature of clinical judgment and risk management in real-world settings, and may instead distort the understanding of specific interventions while reinforcing unnecessary conceptual categories.</w:t>
      </w:r>
    </w:p>
    <w:p w14:paraId="19EDD7CA" w14:textId="77777777" w:rsidR="00917760" w:rsidRDefault="00917760" w:rsidP="00917760">
      <w:pPr>
        <w:jc w:val="both"/>
        <w:rPr>
          <w:rFonts w:asciiTheme="minorEastAsia" w:hAnsiTheme="minorEastAsia"/>
          <w:color w:val="0432FF"/>
          <w:sz w:val="20"/>
          <w:szCs w:val="20"/>
        </w:rPr>
      </w:pPr>
      <w:r w:rsidRPr="00917760">
        <w:rPr>
          <w:rFonts w:asciiTheme="minorEastAsia" w:hAnsiTheme="minorEastAsia"/>
          <w:color w:val="0432FF"/>
          <w:sz w:val="20"/>
          <w:szCs w:val="20"/>
        </w:rPr>
        <w:t>Furthermore, this issue extends beyond a matter of terminology; it influences clinical ways of thinking and the structure of decision-making, and ultimately relates to the fundamental stance through which patients are understood and managed. Accordingly, the continued use of this term—given its potential to stigmatize individuals and reduce clinical interventions to mere acts of control—warrants critical re-examination.</w:t>
      </w:r>
    </w:p>
    <w:p w14:paraId="547C24F1" w14:textId="77777777" w:rsidR="00917760" w:rsidRPr="00917760" w:rsidRDefault="00917760" w:rsidP="00917760">
      <w:pPr>
        <w:jc w:val="both"/>
        <w:rPr>
          <w:rFonts w:asciiTheme="minorEastAsia" w:hAnsiTheme="minorEastAsia"/>
          <w:color w:val="0432FF"/>
          <w:sz w:val="20"/>
          <w:szCs w:val="20"/>
        </w:rPr>
      </w:pPr>
    </w:p>
    <w:p w14:paraId="39A2131C" w14:textId="77777777" w:rsidR="00415C81" w:rsidRPr="00415C81" w:rsidRDefault="00415C81" w:rsidP="00045BE7">
      <w:pPr>
        <w:jc w:val="both"/>
        <w:rPr>
          <w:rFonts w:asciiTheme="minorEastAsia" w:hAnsiTheme="minorEastAsia"/>
          <w:color w:val="7030A0"/>
          <w:sz w:val="20"/>
          <w:szCs w:val="20"/>
        </w:rPr>
      </w:pPr>
      <w:r w:rsidRPr="00415C81">
        <w:rPr>
          <w:rFonts w:asciiTheme="minorEastAsia" w:hAnsiTheme="minorEastAsia" w:hint="eastAsia"/>
          <w:color w:val="7030A0"/>
          <w:sz w:val="20"/>
          <w:szCs w:val="20"/>
        </w:rPr>
        <w:t xml:space="preserve">참고문헌 </w:t>
      </w:r>
    </w:p>
    <w:p w14:paraId="19C3DFAF" w14:textId="77777777" w:rsidR="00415C81" w:rsidRDefault="00415C81" w:rsidP="00415C81">
      <w:pPr>
        <w:jc w:val="both"/>
        <w:rPr>
          <w:rFonts w:asciiTheme="minorEastAsia" w:hAnsiTheme="minorEastAsia"/>
          <w:color w:val="7030A0"/>
          <w:sz w:val="20"/>
          <w:szCs w:val="20"/>
        </w:rPr>
      </w:pPr>
      <w:r w:rsidRPr="00415C81">
        <w:rPr>
          <w:rFonts w:asciiTheme="minorEastAsia" w:hAnsiTheme="minorEastAsia"/>
          <w:color w:val="7030A0"/>
          <w:sz w:val="20"/>
          <w:szCs w:val="20"/>
        </w:rPr>
        <w:t>Berrios GE. The history of psychiatric therapies. In: Tyrer P, Silk KR, eds. Cambridge Textbook of Effective Treatments in Psychiatry. Cambridge: Cambridge University Press; 2010:16–44.</w:t>
      </w:r>
    </w:p>
    <w:p w14:paraId="0A68ED22" w14:textId="77777777" w:rsidR="00DF3955" w:rsidRPr="00415C81" w:rsidRDefault="00DF3955" w:rsidP="00415C81">
      <w:pPr>
        <w:jc w:val="both"/>
        <w:rPr>
          <w:rFonts w:asciiTheme="minorEastAsia" w:hAnsiTheme="minorEastAsia"/>
          <w:color w:val="7030A0"/>
          <w:sz w:val="20"/>
          <w:szCs w:val="20"/>
        </w:rPr>
      </w:pPr>
      <w:r w:rsidRPr="00DF3955">
        <w:rPr>
          <w:rFonts w:asciiTheme="minorEastAsia" w:hAnsiTheme="minorEastAsia"/>
          <w:color w:val="7030A0"/>
          <w:sz w:val="20"/>
          <w:szCs w:val="20"/>
        </w:rPr>
        <w:t>Fellowes S. In defence of psychiatric diagnoses. Springer Nature; 2025, Preface</w:t>
      </w:r>
    </w:p>
    <w:p w14:paraId="765DD96F" w14:textId="77777777" w:rsidR="00415C81" w:rsidRDefault="00415C81" w:rsidP="00415C81">
      <w:pPr>
        <w:jc w:val="both"/>
        <w:rPr>
          <w:rFonts w:asciiTheme="minorEastAsia" w:hAnsiTheme="minorEastAsia"/>
          <w:color w:val="7030A0"/>
          <w:sz w:val="20"/>
          <w:szCs w:val="20"/>
        </w:rPr>
      </w:pPr>
      <w:r w:rsidRPr="00415C81">
        <w:rPr>
          <w:rFonts w:asciiTheme="minorEastAsia" w:hAnsiTheme="minorEastAsia"/>
          <w:color w:val="7030A0"/>
          <w:sz w:val="20"/>
          <w:szCs w:val="20"/>
        </w:rPr>
        <w:t>Tyrer P, Milner K. Complex interventions. In: Tyrer P, Silk KR, eds. Cambridge Textbook of Effective Treatments in Psychiatry. Cambridge: Cambridge University Press; 2010:157–170.</w:t>
      </w:r>
    </w:p>
    <w:p w14:paraId="096B7E59" w14:textId="77777777" w:rsidR="00AE330A" w:rsidRPr="00AE093A" w:rsidRDefault="00AE093A" w:rsidP="00415C81">
      <w:pPr>
        <w:jc w:val="both"/>
        <w:rPr>
          <w:rFonts w:asciiTheme="minorEastAsia" w:hAnsiTheme="minorEastAsia"/>
          <w:b/>
          <w:bCs/>
          <w:color w:val="0432FF"/>
          <w:sz w:val="20"/>
          <w:szCs w:val="20"/>
        </w:rPr>
      </w:pPr>
      <w:r>
        <w:rPr>
          <w:rFonts w:asciiTheme="minorEastAsia" w:hAnsiTheme="minorEastAsia" w:hint="eastAsia"/>
          <w:b/>
          <w:bCs/>
          <w:color w:val="0432FF"/>
          <w:sz w:val="20"/>
          <w:szCs w:val="20"/>
        </w:rPr>
        <w:t>I</w:t>
      </w:r>
      <w:r>
        <w:rPr>
          <w:rFonts w:asciiTheme="minorEastAsia" w:hAnsiTheme="minorEastAsia"/>
          <w:b/>
          <w:bCs/>
          <w:color w:val="0432FF"/>
          <w:sz w:val="20"/>
          <w:szCs w:val="20"/>
        </w:rPr>
        <w:t xml:space="preserve">V. </w:t>
      </w:r>
      <w:r w:rsidR="00105A7A" w:rsidRPr="00AE093A">
        <w:rPr>
          <w:rFonts w:asciiTheme="minorEastAsia" w:hAnsiTheme="minorEastAsia" w:hint="eastAsia"/>
          <w:b/>
          <w:bCs/>
          <w:color w:val="0432FF"/>
          <w:sz w:val="20"/>
          <w:szCs w:val="20"/>
        </w:rPr>
        <w:t>화학적 억제 구성 요소의 변화</w:t>
      </w:r>
    </w:p>
    <w:p w14:paraId="7BDADBF1" w14:textId="77777777" w:rsidR="00E447DC" w:rsidRPr="00BF4DAE" w:rsidRDefault="00AE093A" w:rsidP="00E447DC">
      <w:pPr>
        <w:jc w:val="both"/>
        <w:rPr>
          <w:rFonts w:asciiTheme="minorEastAsia" w:hAnsiTheme="minorEastAsia"/>
          <w:color w:val="0432FF"/>
          <w:sz w:val="20"/>
          <w:szCs w:val="20"/>
        </w:rPr>
      </w:pPr>
      <w:r>
        <w:rPr>
          <w:rFonts w:asciiTheme="minorEastAsia" w:hAnsiTheme="minorEastAsia" w:hint="eastAsia"/>
          <w:b/>
          <w:bCs/>
          <w:color w:val="0432FF"/>
          <w:sz w:val="20"/>
          <w:szCs w:val="20"/>
        </w:rPr>
        <w:t>I</w:t>
      </w:r>
      <w:r>
        <w:rPr>
          <w:rFonts w:asciiTheme="minorEastAsia" w:hAnsiTheme="minorEastAsia"/>
          <w:b/>
          <w:bCs/>
          <w:color w:val="0432FF"/>
          <w:sz w:val="20"/>
          <w:szCs w:val="20"/>
        </w:rPr>
        <w:t xml:space="preserve">V. </w:t>
      </w:r>
      <w:r w:rsidRPr="00AE093A">
        <w:rPr>
          <w:rFonts w:asciiTheme="minorEastAsia" w:hAnsiTheme="minorEastAsia"/>
          <w:b/>
          <w:bCs/>
          <w:color w:val="0432FF"/>
          <w:sz w:val="20"/>
          <w:szCs w:val="20"/>
        </w:rPr>
        <w:t>Changes in the Components of Chemical Restraint</w:t>
      </w:r>
      <w:r>
        <w:rPr>
          <w:rFonts w:asciiTheme="minorEastAsia" w:hAnsiTheme="minorEastAsia"/>
          <w:b/>
          <w:bCs/>
          <w:color w:val="0432FF"/>
          <w:sz w:val="20"/>
          <w:szCs w:val="20"/>
        </w:rPr>
        <w:t xml:space="preserve"> </w:t>
      </w:r>
    </w:p>
    <w:p w14:paraId="1634B4EC" w14:textId="77777777" w:rsidR="00080D5B" w:rsidRPr="00080D5B" w:rsidRDefault="00080D5B" w:rsidP="00E447DC">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심한 흥분이나 공격적 행동을 억제하기 위해 사용되어 온 물질들은 역사적 시기에 따라 크게 변화해 왔다. 이러한 변화는 의학 지식, 치료 철학, 그리고 약리학의 발전과 밀접하게 관련되어 있다. 오늘날 chemical restraint라는 용어로 논의되는 개념 역시 현대 정신의학에서 갑자기 등장한 것이 아니라, 다양한 진정 물질과 치료 접근이 축적되어 온 역사적 과정 속에서 형성된 것이다. 고대의 경험적 식물성 진정제에서부터 현대의 프로토콜 기반 rapid tranquillization 전략에 이르기까지, 심하게 흥분된 환자를 진정시키기 위해 사용된 약물적 수단은 상당한 변화를 겪어 왔다.</w:t>
      </w:r>
    </w:p>
    <w:p w14:paraId="7F0D8BAF"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 substances used to suppress severe agitation or aggressive behavior have changed considerably across historical periods, reflecting developments in medical knowledge, therapeutic philosophy, and pharmacology. What is currently discussed under the term chemical restraint did not emerge suddenly in modern psychiatry but rather evolved through successive generations of sedative substances and treatment approaches. From the empirical use of plant-derived sedatives in antiquity to modern protocol-based rapid tranquillization strategies, the pharmacological means used to calm severely disturbed patients have undergone substantial transformation.</w:t>
      </w:r>
    </w:p>
    <w:p w14:paraId="45B4C37E" w14:textId="77777777" w:rsidR="00E447DC" w:rsidRDefault="00E447DC" w:rsidP="00E447DC">
      <w:pPr>
        <w:jc w:val="both"/>
        <w:rPr>
          <w:rFonts w:asciiTheme="minorEastAsia" w:hAnsiTheme="minorEastAsia"/>
          <w:color w:val="7030A0"/>
          <w:sz w:val="20"/>
          <w:szCs w:val="20"/>
        </w:rPr>
      </w:pPr>
    </w:p>
    <w:p w14:paraId="42BC8979"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1. 고대 및 전근대 시기: 자연 유래 진정 물질</w:t>
      </w:r>
    </w:p>
    <w:p w14:paraId="55F2B27C"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 xml:space="preserve">고대 의학에서는 심한 흥분 상태나 행동 장애를 완화하기 위해 자연에서 얻은 진정 물질들이 사용되었다. 그리스와 로마 의학 문헌에는 알코올, 아편(opium), 맨드레이크(mandrake), 헨베인(henbane), 벨라도나(belladonna)와 같은 물질을 사용하여 수면을 유도하거나 통증을 완화하고 흥분 상태를 진정시키려 했다는 기록이 나타난다. 이러한 물질의 사용은 체계적인 </w:t>
      </w:r>
      <w:r w:rsidRPr="00080D5B">
        <w:rPr>
          <w:rFonts w:asciiTheme="minorEastAsia" w:hAnsiTheme="minorEastAsia" w:hint="eastAsia"/>
          <w:color w:val="0432FF"/>
          <w:sz w:val="20"/>
          <w:szCs w:val="20"/>
        </w:rPr>
        <w:lastRenderedPageBreak/>
        <w:t>정신의학적 치료 체계 속에서 이루어진 것은 아니었지만, 당시 이용 가능한 약리적 지식을 바탕으로 고통이나 동요 상태를 완화하려는 실용적 시도였다 (Nutton, 2004; Porter, 2002).</w:t>
      </w:r>
    </w:p>
    <w:p w14:paraId="5AB61C7B" w14:textId="77777777" w:rsidR="00080D5B" w:rsidRPr="00080D5B" w:rsidRDefault="00080D5B" w:rsidP="00080D5B">
      <w:pPr>
        <w:jc w:val="both"/>
        <w:rPr>
          <w:rFonts w:asciiTheme="minorEastAsia" w:hAnsiTheme="minorEastAsia"/>
          <w:color w:val="0432FF"/>
          <w:sz w:val="20"/>
          <w:szCs w:val="20"/>
        </w:rPr>
      </w:pPr>
    </w:p>
    <w:p w14:paraId="176F87EF" w14:textId="77777777" w:rsid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그러나 약리 기전이나 안전한 용량에 대한 이해가 부족했기 때문에 이러한 물질들은 종종 예측하기 어려운 효과를 나타냈다. 독성 반응, 섬망, 호흡 억제, 또는 우발적 중독이 발생하는 경우도 드물지 않았다. 그럼에도 불구하고 이러한 사례들은 심한 행동 흥분 상태를 화학적 수단을 통해 완화하려는 시도가 의학 역사에서 오래전부터 존재해 왔음을 보여준다.</w:t>
      </w:r>
    </w:p>
    <w:p w14:paraId="2CBE88DC" w14:textId="77777777" w:rsidR="00BF4DAE" w:rsidRPr="00080D5B" w:rsidRDefault="00BF4DAE" w:rsidP="00080D5B">
      <w:pPr>
        <w:jc w:val="both"/>
        <w:rPr>
          <w:rFonts w:asciiTheme="minorEastAsia" w:hAnsiTheme="minorEastAsia"/>
          <w:color w:val="0432FF"/>
          <w:sz w:val="20"/>
          <w:szCs w:val="20"/>
        </w:rPr>
      </w:pPr>
    </w:p>
    <w:p w14:paraId="249519C5"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1. Ancient and Pre-modern Period: Natural Sedatives</w:t>
      </w:r>
    </w:p>
    <w:p w14:paraId="070A56BD"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In ancient medicine, behavioral disturbance and extreme agitation were sometimes managed using naturally occurring sedative substances. Historical sources from Greek and Roman medicine describe the use of alcohol, opium, mandrake (Mandragora officinarum), henbane (Hyoscyamus niger), and belladonna to induce sleep, relieve pain, or calm states of excitement. These substances were not used within a systematic psychiatric framework but rather represented pragmatic attempts to control distress, agitation, or delirium using the pharmacological knowledge available at the time (Nutton, 2004; Porter, 2002).</w:t>
      </w:r>
    </w:p>
    <w:p w14:paraId="32AE3EAB" w14:textId="77777777" w:rsidR="00E447DC" w:rsidRPr="00080D5B" w:rsidRDefault="00E447DC" w:rsidP="00E447DC">
      <w:pPr>
        <w:jc w:val="both"/>
        <w:rPr>
          <w:rFonts w:asciiTheme="minorEastAsia" w:hAnsiTheme="minorEastAsia"/>
          <w:color w:val="0432FF"/>
          <w:sz w:val="20"/>
          <w:szCs w:val="20"/>
        </w:rPr>
      </w:pPr>
    </w:p>
    <w:p w14:paraId="61A6EDD3"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Because pharmacological mechanisms and safe dosing were poorly understood, these substances often produced unpredictable effects. Toxic reactions, delirium, respiratory suppression, and accidental poisoning were not uncommon. Nevertheless, their use demonstrates that the chemical suppression of extreme behavioral disturbance has a long historical precedent in medical practice.</w:t>
      </w:r>
    </w:p>
    <w:p w14:paraId="5BFEB156" w14:textId="77777777" w:rsidR="00E447DC" w:rsidRDefault="00E447DC" w:rsidP="00E447DC">
      <w:pPr>
        <w:jc w:val="both"/>
        <w:rPr>
          <w:rFonts w:asciiTheme="minorEastAsia" w:hAnsiTheme="minorEastAsia"/>
          <w:color w:val="7030A0"/>
          <w:sz w:val="20"/>
          <w:szCs w:val="20"/>
        </w:rPr>
      </w:pPr>
    </w:p>
    <w:p w14:paraId="54E6097B"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2. 19세기: 정신병원 시대의 진정제 사용</w:t>
      </w:r>
    </w:p>
    <w:p w14:paraId="18069A57"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19세기에는 정신병원이 급속히 확산되면서 심한 흥분, 정신병적 증상, 폭력적 행동을 보이는 환자를 관리하는 문제가 중요한 임상 과제가 되었다. 이 시기에 진정 효과를 가진 약물들이 정신병원 치료에 점차 통합되기 시작하였다. 브로마이드(bromides), 클로랄 하이드레이트(chloral hydrate), 파랄데하이드(paraldehyde) 등이 널리 사용되었으며, 이러한 약물은 수면을 유도하고 흥분을 완화하기 위한 목적으로 처방되었다 (Shorter, 1</w:t>
      </w:r>
      <w:r w:rsidRPr="00080D5B">
        <w:rPr>
          <w:rFonts w:asciiTheme="minorEastAsia" w:hAnsiTheme="minorEastAsia"/>
          <w:color w:val="0432FF"/>
          <w:sz w:val="20"/>
          <w:szCs w:val="20"/>
        </w:rPr>
        <w:t>997; Healy, 2002).</w:t>
      </w:r>
    </w:p>
    <w:p w14:paraId="505BA93C" w14:textId="77777777" w:rsidR="00080D5B" w:rsidRPr="00080D5B" w:rsidRDefault="00080D5B" w:rsidP="00080D5B">
      <w:pPr>
        <w:jc w:val="both"/>
        <w:rPr>
          <w:rFonts w:asciiTheme="minorEastAsia" w:hAnsiTheme="minorEastAsia"/>
          <w:color w:val="0432FF"/>
          <w:sz w:val="20"/>
          <w:szCs w:val="20"/>
        </w:rPr>
      </w:pPr>
    </w:p>
    <w:p w14:paraId="67785463"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lastRenderedPageBreak/>
        <w:t>당시 이러한 약물은 쇠사슬이나 구속복(straitjacket)과 같은 물리적 구속을 대신할 수 있는 수단으로 제시되기도 하였다. 그러나 이들 약물은 치료 범위가 좁았고, 호흡 억제, 섬망, 약물 의존, 중독 상태 등 다양한 부작용이 빈번하게 보고되었다. 이 시기 약물 사용의 확산은 새롭게 등장한 약리학적 치료에 대한 기대와 함께, 과밀한 정신병원 환경에서 환자 행동을 관리해야 했던 현실적 필요를 동시에 반영하고 있었다.</w:t>
      </w:r>
      <w:r w:rsidR="00BD4518">
        <w:rPr>
          <w:rFonts w:asciiTheme="minorEastAsia" w:hAnsiTheme="minorEastAsia"/>
          <w:color w:val="0432FF"/>
          <w:sz w:val="20"/>
          <w:szCs w:val="20"/>
        </w:rPr>
        <w:t xml:space="preserve"> </w:t>
      </w:r>
    </w:p>
    <w:p w14:paraId="0E4A41E5" w14:textId="77777777" w:rsidR="00080D5B" w:rsidRDefault="00080D5B" w:rsidP="00E447DC">
      <w:pPr>
        <w:jc w:val="both"/>
        <w:rPr>
          <w:rFonts w:asciiTheme="minorEastAsia" w:hAnsiTheme="minorEastAsia"/>
          <w:color w:val="7030A0"/>
          <w:sz w:val="20"/>
          <w:szCs w:val="20"/>
        </w:rPr>
      </w:pPr>
    </w:p>
    <w:p w14:paraId="51CE9F32"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2. Nineteenth Century: Sedatives in Institutional Psychiatry</w:t>
      </w:r>
    </w:p>
    <w:p w14:paraId="7EBE130F"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 nineteenth century saw the rapid expansion of psychiatric institutions, creating practical challenges in managing large numbers of patients with severe agitation, psychosis, or violent behavior. During this period, sedative pharmacology became increasingly integrated into asylum practice. Bromides, chloral hydrate, and paraldehyde were widely used to induce sleep and reduce agitation in institutional settings (Shorter, 1997; Healy, 2002).</w:t>
      </w:r>
    </w:p>
    <w:p w14:paraId="5CEE14BE" w14:textId="77777777" w:rsidR="00E447DC" w:rsidRPr="00080D5B" w:rsidRDefault="00E447DC" w:rsidP="00E447DC">
      <w:pPr>
        <w:jc w:val="both"/>
        <w:rPr>
          <w:rFonts w:asciiTheme="minorEastAsia" w:hAnsiTheme="minorEastAsia"/>
          <w:color w:val="0432FF"/>
          <w:sz w:val="20"/>
          <w:szCs w:val="20"/>
        </w:rPr>
      </w:pPr>
    </w:p>
    <w:p w14:paraId="349EA540"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These agents were often presented as alternatives to mechanical restraints such as chains or straitjackets. However, their therapeutic range was limited, and adverse effects—including respiratory depression, delirium, dependency, and toxic states—were frequently reported. The widespread use of such drugs reflected both the therapeutic optimism of emerging pharmacology and the practical need to maintain order in overcrowded institutions.</w:t>
      </w:r>
    </w:p>
    <w:p w14:paraId="45365520" w14:textId="77777777" w:rsidR="00E447DC" w:rsidRDefault="00E447DC" w:rsidP="00E447DC">
      <w:pPr>
        <w:jc w:val="both"/>
        <w:rPr>
          <w:rFonts w:asciiTheme="minorEastAsia" w:hAnsiTheme="minorEastAsia"/>
          <w:color w:val="7030A0"/>
          <w:sz w:val="20"/>
          <w:szCs w:val="20"/>
        </w:rPr>
      </w:pPr>
    </w:p>
    <w:p w14:paraId="506C9466"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3. 20세기 초: 바르비투르산염과 깊은 진정</w:t>
      </w:r>
    </w:p>
    <w:p w14:paraId="7085FCD8"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20세기 초에는 새로운 세대의 진정-수면제인 바르비투르산염(barbiturates)이 등장하였다. 페노바르비탈(phenobarbital)과 아모바르비탈(amobarbital)과 같은 약물은 불안, 불면, 그리고 흥분 상태를 치료하기 위해 정신과뿐 아니라 일반 의학에서도 널리 사용되었다.</w:t>
      </w:r>
    </w:p>
    <w:p w14:paraId="5F41EAF8"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정신병원 환경에서는 이러한 약물이 심한 행동 흥분을 조절하기 위한 수단으로 자주 사용되었다. 일부 치료법에서는 환자를 장기간 약물로 수면 상태에 유지하는 이른바 “deep sleep therapy”가 시행되기도 하였다. 이러한 접근은 일정한 치료 효과가 있다고 여겨지기도 했지만, 동시에 호흡 억제, 과량 복용, 사망 등 심각한 위험성을 동반하였다 (Healy, 2002; Shorter, 2021).</w:t>
      </w:r>
    </w:p>
    <w:p w14:paraId="7EE019B6"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이러한 사례들은 환자의 행동을 통제하기 위한 수단이 점차 물리적 구속에서 약물적 진정으로 이동해 갔음을 보여주는 동시에, 새로운 의학적·윤리적 문제를 야기하였음을 보여준다.</w:t>
      </w:r>
    </w:p>
    <w:p w14:paraId="7647515A" w14:textId="77777777" w:rsidR="00080D5B" w:rsidRPr="00080D5B" w:rsidRDefault="00080D5B" w:rsidP="00080D5B">
      <w:pPr>
        <w:jc w:val="both"/>
        <w:rPr>
          <w:rFonts w:asciiTheme="minorEastAsia" w:hAnsiTheme="minorEastAsia"/>
          <w:color w:val="0432FF"/>
          <w:sz w:val="20"/>
          <w:szCs w:val="20"/>
        </w:rPr>
      </w:pPr>
    </w:p>
    <w:p w14:paraId="2908DBAA"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lastRenderedPageBreak/>
        <w:t>3. Early Twentieth Century: Barbiturates and Deep Sedation</w:t>
      </w:r>
    </w:p>
    <w:p w14:paraId="53DFC6DF"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 early twentieth century introduced a new generation of sedative-hypnotic drugs, particularly barbiturates. Agents such as phenobarbital and amobarbital became widely used in psychiatric and general medical practice for the treatment of anxiety, insomnia, and agitation.</w:t>
      </w:r>
    </w:p>
    <w:p w14:paraId="4ADD491B"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In psychiatric institutions, barbiturates were frequently administered to control severe behavioral disturbances. Some treatment approaches, including “deep sleep therapy,” involved maintaining patients in prolonged pharmacologically induced sleep. Although these methods were sometimes believed to have therapeutic benefits, they also carried substantial risks, including respiratory depression, overdose, and mortality (Healy, 2002; Shorter, 2021).</w:t>
      </w:r>
    </w:p>
    <w:p w14:paraId="264A6076"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These developments illustrate how pharmacological sedation increasingly replaced mechanical restraint as a means of managing disruptive behavior, while simultaneously introducing new medical and ethical concerns.</w:t>
      </w:r>
    </w:p>
    <w:p w14:paraId="0E634591" w14:textId="77777777" w:rsidR="00E447DC" w:rsidRDefault="00E447DC" w:rsidP="00E447DC">
      <w:pPr>
        <w:jc w:val="both"/>
        <w:rPr>
          <w:rFonts w:asciiTheme="minorEastAsia" w:hAnsiTheme="minorEastAsia"/>
          <w:color w:val="7030A0"/>
          <w:sz w:val="20"/>
          <w:szCs w:val="20"/>
        </w:rPr>
      </w:pPr>
    </w:p>
    <w:p w14:paraId="11709615"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4. 20세기 중반: 정신약리학 혁명</w:t>
      </w:r>
    </w:p>
    <w:p w14:paraId="273A6545"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1950년대 초 클로르프로마진(chlorpromazine)의 도입은 중요한 전환점을 가져왔다. 이는 흔히 현대 정신약리학의 시작으로 평가되며, 항정신병약의 개발은 이전과 같이 비특이적 진정(non-specific sedation)에만 의존하는 것이 아니라 정신병적 증상을 직접적으로 표적으로 삼는 치료를 가능하게 하였다.</w:t>
      </w:r>
    </w:p>
    <w:p w14:paraId="064BC00B"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이후 할로페리돌(haloperidol)과 같은 항정신병약들이 등장하면서 급성 정신과적 환경에서 환자의 흥분이나 공격적 행동을 조절하기 위해 널리 사용되기 시작하였다. 그러나 이러한 강력한 약물의 등장으로 인해 일부 상황에서는 행동 문제를 신속히 억제하기 위한 공격적인 용량 전략(aggressive dosing strategies) 이 사용되기도 하였다. 특정 임상 환경에서는 급성 정신병을 통제하기 위해 매우 높은 용량의 항정신병약을 투여하기도 하였으며, 이러한 접근은 이른바 “메가도스 치료(megadose therapy)” 로 불리기도 하였다. 이후 이러한 관행은 심한 추체외로 증상(extrapyramidal symptoms)과 기타 부작용과의 연관성 때문에 논쟁의 대상이 되었다 (Healy, 2002; Shorter, 2021).</w:t>
      </w:r>
    </w:p>
    <w:p w14:paraId="23130D69" w14:textId="77777777" w:rsidR="00080D5B" w:rsidRPr="00080D5B" w:rsidRDefault="00080D5B" w:rsidP="00080D5B">
      <w:pPr>
        <w:jc w:val="both"/>
        <w:rPr>
          <w:rFonts w:asciiTheme="minorEastAsia" w:hAnsiTheme="minorEastAsia"/>
          <w:color w:val="0432FF"/>
          <w:sz w:val="20"/>
          <w:szCs w:val="20"/>
        </w:rPr>
      </w:pPr>
      <w:r w:rsidRPr="00080D5B">
        <w:rPr>
          <w:rFonts w:asciiTheme="minorEastAsia" w:hAnsiTheme="minorEastAsia" w:hint="eastAsia"/>
          <w:color w:val="0432FF"/>
          <w:sz w:val="20"/>
          <w:szCs w:val="20"/>
        </w:rPr>
        <w:t>이러한 역사적 사례들은 약물의 임상적 영향이 단순히 약물 자체의 특성에 의해서만 결정되는 것이 아니라, 당시의 치료 철학과 의료기관의 임상 관행에 의해서도 크게 영향을 받아 왔음을 보여준다.</w:t>
      </w:r>
    </w:p>
    <w:p w14:paraId="2CF63D74" w14:textId="77777777" w:rsidR="00080D5B" w:rsidRDefault="00080D5B" w:rsidP="00E447DC">
      <w:pPr>
        <w:jc w:val="both"/>
        <w:rPr>
          <w:rFonts w:asciiTheme="minorEastAsia" w:hAnsiTheme="minorEastAsia"/>
          <w:color w:val="7030A0"/>
          <w:sz w:val="20"/>
          <w:szCs w:val="20"/>
        </w:rPr>
      </w:pPr>
    </w:p>
    <w:p w14:paraId="7DA0497A"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lastRenderedPageBreak/>
        <w:t>4. Mid-Twentieth Century: The Psychopharmacological Revolution</w:t>
      </w:r>
    </w:p>
    <w:p w14:paraId="092FD252"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A major turning point occurred with the introduction of chlorpromazine in the early 1950s. Often described as the beginning of modern psychopharmacology, the development of antipsychotic drugs made it possible to directly target psychotic symptoms rather than relying solely on nonspecific sedation.</w:t>
      </w:r>
    </w:p>
    <w:p w14:paraId="0AA45727"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Subsequent antipsychotic agents such as haloperidol became widely used in acute psychiatric settings to control agitation and aggression. However, the availability of these potent drugs also led in some contexts to aggressive dosing strategies intended to suppress behavioral disturbance rapidly. In certain clinical environments, very high doses of antipsychotics were administered in attempts to control acute psychosis, an approach sometimes referred to as “megadose therapy.” Such practices later became controversial because of their association with severe extrapyramidal symptoms and other adverse effects (Healy, 2002; Shorter, 2021).</w:t>
      </w:r>
    </w:p>
    <w:p w14:paraId="5DB031F5" w14:textId="77777777" w:rsidR="00E447DC" w:rsidRPr="00080D5B" w:rsidRDefault="00E447DC" w:rsidP="00E447DC">
      <w:pPr>
        <w:jc w:val="both"/>
        <w:rPr>
          <w:rFonts w:asciiTheme="minorEastAsia" w:hAnsiTheme="minorEastAsia"/>
          <w:color w:val="0432FF"/>
          <w:sz w:val="20"/>
          <w:szCs w:val="20"/>
        </w:rPr>
      </w:pPr>
      <w:r w:rsidRPr="00080D5B">
        <w:rPr>
          <w:rFonts w:asciiTheme="minorEastAsia" w:hAnsiTheme="minorEastAsia"/>
          <w:color w:val="0432FF"/>
          <w:sz w:val="20"/>
          <w:szCs w:val="20"/>
        </w:rPr>
        <w:t>These historical episodes illustrate that the clinical impact of pharmacological agents has been shaped not only by the properties of the drugs themselves but also by prevailing therapeutic philosophies and institutional practices.</w:t>
      </w:r>
    </w:p>
    <w:p w14:paraId="4B796616" w14:textId="77777777" w:rsidR="00E447DC" w:rsidRDefault="00E447DC" w:rsidP="00E447DC">
      <w:pPr>
        <w:jc w:val="both"/>
        <w:rPr>
          <w:rFonts w:asciiTheme="minorEastAsia" w:hAnsiTheme="minorEastAsia"/>
          <w:color w:val="7030A0"/>
          <w:sz w:val="20"/>
          <w:szCs w:val="20"/>
        </w:rPr>
      </w:pPr>
    </w:p>
    <w:p w14:paraId="0B4E2AEB" w14:textId="77777777" w:rsidR="00195619" w:rsidRPr="00195619" w:rsidRDefault="00195619" w:rsidP="00195619">
      <w:pPr>
        <w:jc w:val="both"/>
        <w:rPr>
          <w:rFonts w:asciiTheme="minorEastAsia" w:hAnsiTheme="minorEastAsia"/>
          <w:color w:val="0432FF"/>
          <w:sz w:val="20"/>
          <w:szCs w:val="20"/>
        </w:rPr>
      </w:pPr>
      <w:r w:rsidRPr="00195619">
        <w:rPr>
          <w:rFonts w:asciiTheme="minorEastAsia" w:hAnsiTheme="minorEastAsia" w:hint="eastAsia"/>
          <w:color w:val="0432FF"/>
          <w:sz w:val="20"/>
          <w:szCs w:val="20"/>
        </w:rPr>
        <w:t>5. 현대 시대: Rapid Tranquilization</w:t>
      </w:r>
    </w:p>
    <w:p w14:paraId="50D13371" w14:textId="77777777" w:rsidR="00195619" w:rsidRPr="00195619" w:rsidRDefault="00195619" w:rsidP="00195619">
      <w:pPr>
        <w:jc w:val="both"/>
        <w:rPr>
          <w:rFonts w:asciiTheme="minorEastAsia" w:hAnsiTheme="minorEastAsia"/>
          <w:color w:val="0432FF"/>
          <w:sz w:val="20"/>
          <w:szCs w:val="20"/>
        </w:rPr>
      </w:pPr>
      <w:r w:rsidRPr="00195619">
        <w:rPr>
          <w:rFonts w:asciiTheme="minorEastAsia" w:hAnsiTheme="minorEastAsia" w:hint="eastAsia"/>
          <w:color w:val="0432FF"/>
          <w:sz w:val="20"/>
          <w:szCs w:val="20"/>
        </w:rPr>
        <w:t>1970년대 이후에는 급성 행동 이상을 관리하기 위한 보다 체계적인 임상 개념인 rapid tranquillization이 등장하였다. 이전의 접근법이 단순한 진정이나 신체적 억제를 강조하였다면, rapid tranquillization은 기도 안전을 유지하고 일정 수준의 의식을 보존하면서도 신속하게 환자의 흥분 상태를 완화하는 것을 목표로 한다.</w:t>
      </w:r>
    </w:p>
    <w:p w14:paraId="04AF4721" w14:textId="77777777" w:rsidR="00195619" w:rsidRPr="00195619" w:rsidRDefault="00195619" w:rsidP="00195619">
      <w:pPr>
        <w:jc w:val="both"/>
        <w:rPr>
          <w:rFonts w:asciiTheme="minorEastAsia" w:hAnsiTheme="minorEastAsia"/>
          <w:color w:val="0432FF"/>
          <w:sz w:val="20"/>
          <w:szCs w:val="20"/>
        </w:rPr>
      </w:pPr>
      <w:r w:rsidRPr="00195619">
        <w:rPr>
          <w:rFonts w:asciiTheme="minorEastAsia" w:hAnsiTheme="minorEastAsia" w:hint="eastAsia"/>
          <w:color w:val="0432FF"/>
          <w:sz w:val="20"/>
          <w:szCs w:val="20"/>
        </w:rPr>
        <w:t>현대의 rapid tranquillization 프로토콜에서는 일반적으로 고효능 항정신병약(예: haloperidol, olanzapine), 벤조디아제핀(예: lorazepam, midazolam), 또는 이들의 병용이 사용된다. 이러한 접근의 목표는 단순히 행동을 억제하는 것이 아니라, 부작용을 최소화하면서 신속한 진정을 달성하고 동시에 임상적 모니터링을 유지하는 것이다. 이러한 치료 전략은 현재 정신과 및 응급의학 환경에서 급성 흥분 상태를 관리하기 위한 국제 임상 지침에도 포함되어 있다 (Allen et al., 2005; NICE, 2015; Zeller, 2010).</w:t>
      </w:r>
    </w:p>
    <w:p w14:paraId="53485EA1" w14:textId="77777777" w:rsidR="00195619" w:rsidRPr="00195619" w:rsidRDefault="00195619" w:rsidP="00195619">
      <w:pPr>
        <w:jc w:val="both"/>
        <w:rPr>
          <w:rFonts w:asciiTheme="minorEastAsia" w:hAnsiTheme="minorEastAsia"/>
          <w:color w:val="7030A0"/>
          <w:sz w:val="20"/>
          <w:szCs w:val="20"/>
        </w:rPr>
      </w:pPr>
    </w:p>
    <w:p w14:paraId="1A6335AF" w14:textId="77777777" w:rsidR="00E447DC" w:rsidRPr="00195619" w:rsidRDefault="00E447DC" w:rsidP="00E447DC">
      <w:pPr>
        <w:jc w:val="both"/>
        <w:rPr>
          <w:rFonts w:asciiTheme="minorEastAsia" w:hAnsiTheme="minorEastAsia"/>
          <w:color w:val="0432FF"/>
          <w:sz w:val="20"/>
          <w:szCs w:val="20"/>
        </w:rPr>
      </w:pPr>
      <w:r w:rsidRPr="00195619">
        <w:rPr>
          <w:rFonts w:asciiTheme="minorEastAsia" w:hAnsiTheme="minorEastAsia"/>
          <w:color w:val="0432FF"/>
          <w:sz w:val="20"/>
          <w:szCs w:val="20"/>
        </w:rPr>
        <w:t>5. Contemporary Era: Rapid Tranquilization</w:t>
      </w:r>
    </w:p>
    <w:p w14:paraId="6B0F4354" w14:textId="77777777" w:rsidR="00E447DC" w:rsidRPr="00195619" w:rsidRDefault="00E447DC" w:rsidP="00E447DC">
      <w:pPr>
        <w:jc w:val="both"/>
        <w:rPr>
          <w:rFonts w:asciiTheme="minorEastAsia" w:hAnsiTheme="minorEastAsia"/>
          <w:color w:val="0432FF"/>
          <w:sz w:val="20"/>
          <w:szCs w:val="20"/>
        </w:rPr>
      </w:pPr>
      <w:r w:rsidRPr="00195619">
        <w:rPr>
          <w:rFonts w:asciiTheme="minorEastAsia" w:hAnsiTheme="minorEastAsia"/>
          <w:color w:val="0432FF"/>
          <w:sz w:val="20"/>
          <w:szCs w:val="20"/>
        </w:rPr>
        <w:lastRenderedPageBreak/>
        <w:t>Beginning in the 1970s, a more structured clinical concept known as rapid tranquillization emerged for the management of acute behavioral disturbance. Unlike earlier approaches that emphasized sedation or immobilization, rapid tranquillization aimed to reduce agitation quickly while maintaining airway safety and an adequate level of consciousness.</w:t>
      </w:r>
    </w:p>
    <w:p w14:paraId="4396D5AB" w14:textId="77777777" w:rsidR="00E447DC" w:rsidRPr="00195619" w:rsidRDefault="00E447DC" w:rsidP="00E447DC">
      <w:pPr>
        <w:jc w:val="both"/>
        <w:rPr>
          <w:rFonts w:asciiTheme="minorEastAsia" w:hAnsiTheme="minorEastAsia"/>
          <w:color w:val="0432FF"/>
          <w:sz w:val="20"/>
          <w:szCs w:val="20"/>
        </w:rPr>
      </w:pPr>
      <w:r w:rsidRPr="00195619">
        <w:rPr>
          <w:rFonts w:asciiTheme="minorEastAsia" w:hAnsiTheme="minorEastAsia"/>
          <w:color w:val="0432FF"/>
          <w:sz w:val="20"/>
          <w:szCs w:val="20"/>
        </w:rPr>
        <w:t>Modern rapid tranquillization protocols typically involve the use of high-potency antipsychotics (e.g., haloperidol or olanzapine), benzodiazepines (e.g., lorazepam or midazolam), or combinations of these agents. The goal is not simply to suppress behavior but to achieve rapid calming while minimizing adverse effects and maintaining clinical monitoring. These approaches are now incorporated into international clinical guidelines for the management of acute agitation in psychiatric and emergency settings (Allen et al., 2005; NICE, 2015; Zeller, 2010).</w:t>
      </w:r>
    </w:p>
    <w:p w14:paraId="0C8FC708" w14:textId="77777777" w:rsidR="00E447DC" w:rsidRDefault="00E447DC" w:rsidP="00E447DC">
      <w:pPr>
        <w:jc w:val="both"/>
        <w:rPr>
          <w:rFonts w:asciiTheme="minorEastAsia" w:hAnsiTheme="minorEastAsia"/>
          <w:color w:val="7030A0"/>
          <w:sz w:val="20"/>
          <w:szCs w:val="20"/>
        </w:rPr>
      </w:pPr>
    </w:p>
    <w:p w14:paraId="02D34372"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030EBF">
        <w:rPr>
          <w:rFonts w:asciiTheme="minorEastAsia" w:hAnsiTheme="minorEastAsia" w:hint="eastAsia"/>
          <w:color w:val="0432FF"/>
          <w:sz w:val="20"/>
          <w:szCs w:val="20"/>
        </w:rPr>
        <w:t>6</w:t>
      </w:r>
      <w:r w:rsidRPr="00030EBF">
        <w:rPr>
          <w:rFonts w:asciiTheme="minorEastAsia" w:hAnsiTheme="minorEastAsia"/>
          <w:color w:val="0432FF"/>
          <w:sz w:val="20"/>
          <w:szCs w:val="20"/>
        </w:rPr>
        <w:t xml:space="preserve">. </w:t>
      </w:r>
      <w:r w:rsidRPr="0020004D">
        <w:rPr>
          <w:rFonts w:asciiTheme="minorEastAsia" w:hAnsiTheme="minorEastAsia" w:cs="Batang"/>
          <w:color w:val="0432FF"/>
          <w:kern w:val="0"/>
          <w:sz w:val="20"/>
          <w:szCs w:val="20"/>
          <w:lang/>
          <w14:ligatures w14:val="none"/>
        </w:rPr>
        <w:t>Rapid Tranquilization과 Chemical Restraint의 개념적 구분</w:t>
      </w:r>
    </w:p>
    <w:p w14:paraId="7DCF0F1A" w14:textId="77777777" w:rsidR="00030EBF" w:rsidRPr="0020004D" w:rsidRDefault="00030EBF" w:rsidP="00030EBF">
      <w:pPr>
        <w:spacing w:before="100" w:beforeAutospacing="1" w:after="100" w:afterAutospacing="1" w:line="240" w:lineRule="auto"/>
        <w:jc w:val="both"/>
        <w:rPr>
          <w:rFonts w:asciiTheme="minorEastAsia" w:hAnsiTheme="minorEastAsia" w:cs="Batang"/>
          <w:kern w:val="0"/>
          <w:sz w:val="20"/>
          <w:szCs w:val="20"/>
          <w:lang/>
          <w14:ligatures w14:val="none"/>
        </w:rPr>
      </w:pP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라는 용어는 주로 정책적·규제적 논의 속에서 형성된 개념인 반면, rapid tranquillization(RT)은 급성 흥분 상태와 행동 이상을 관리하기 위한 치료 전략으로 정신의학 임상 영역에서 발전해 온 개념이다. Rapid tranquillization은 심하게 흥분한 환자를 기도 안전을 유지하고 적절한 수준의 의식을 보존하면서 신속히 진정시키는 것을 목표로 하며, 이를 통해 추가적인 임상 평가와 치료가 가능하도록 하는 것을 목적으로 한다. 이에 비해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는 규제적 문맥에서 일반적으로 기저의 의학적 또는 정신의학적 상태를 치료하기 위한 목적이 아니라 환자의 행동을 통제하기 위해 약물을 사용하는 경우를 지칭하는 개념으로 정의된다 </w:t>
      </w:r>
      <w:r w:rsidRPr="0020004D">
        <w:rPr>
          <w:rFonts w:asciiTheme="minorEastAsia" w:hAnsiTheme="minorEastAsia" w:cs="Batang"/>
          <w:kern w:val="0"/>
          <w:sz w:val="20"/>
          <w:szCs w:val="20"/>
          <w:lang/>
          <w14:ligatures w14:val="none"/>
        </w:rPr>
        <w:t>(</w:t>
      </w:r>
      <w:r w:rsidRPr="0020004D">
        <w:rPr>
          <w:rFonts w:asciiTheme="minorEastAsia" w:hAnsiTheme="minorEastAsia" w:cs="Batang"/>
          <w:color w:val="7030A0"/>
          <w:kern w:val="0"/>
          <w:sz w:val="20"/>
          <w:szCs w:val="20"/>
          <w:lang/>
          <w14:ligatures w14:val="none"/>
        </w:rPr>
        <w:t>Allen et al., 2005; NICE, 2015; CMS, 2017</w:t>
      </w:r>
      <w:r w:rsidRPr="0020004D">
        <w:rPr>
          <w:rFonts w:asciiTheme="minorEastAsia" w:hAnsiTheme="minorEastAsia" w:cs="Batang"/>
          <w:kern w:val="0"/>
          <w:sz w:val="20"/>
          <w:szCs w:val="20"/>
          <w:lang/>
          <w14:ligatures w14:val="none"/>
        </w:rPr>
        <w:t>).</w:t>
      </w:r>
    </w:p>
    <w:p w14:paraId="0B835C7A" w14:textId="77777777" w:rsidR="00030EBF" w:rsidRPr="0020004D" w:rsidRDefault="00030EBF" w:rsidP="00030EBF">
      <w:pPr>
        <w:spacing w:before="100" w:beforeAutospacing="1" w:after="100" w:afterAutospacing="1" w:line="240" w:lineRule="auto"/>
        <w:jc w:val="both"/>
        <w:rPr>
          <w:rFonts w:asciiTheme="minorEastAsia" w:hAnsiTheme="minorEastAsia" w:cs="Batang"/>
          <w:kern w:val="0"/>
          <w:sz w:val="20"/>
          <w:szCs w:val="20"/>
          <w:lang/>
          <w14:ligatures w14:val="none"/>
        </w:rPr>
      </w:pPr>
      <w:r w:rsidRPr="0020004D">
        <w:rPr>
          <w:rFonts w:asciiTheme="minorEastAsia" w:hAnsiTheme="minorEastAsia" w:cs="Batang"/>
          <w:color w:val="0432FF"/>
          <w:kern w:val="0"/>
          <w:sz w:val="20"/>
          <w:szCs w:val="20"/>
          <w:lang/>
          <w14:ligatures w14:val="none"/>
        </w:rPr>
        <w:t xml:space="preserve">그러나 실제 임상 환경에서는 이 두 개념 사이의 구분이 항상 명확한 것은 아니다. Rapid tranquillization에 사용되는 약물—예를 들어 항정신병약이나 벤조디아제핀—은 정책적 정의에서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로 언급되는 약물과 동일할 수 있기 때문이다. 이러한 차이는 약물 자체보다는 약물을 사용하는 임상적 의도, 치료적 맥락, 그리고 모니터링 및 안전 관리의 기준에 의해 결정되는 경우가 많다. 이러한 이유로 일부 연구자들은 정책적 규제 개념으로서의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가 급성 정신과 진료에서 이루어지는 임상적 의사결정의 복잡성을 충분히 반영하지 못할 수 있다고 지적하기도 하였다 </w:t>
      </w:r>
      <w:r w:rsidRPr="0020004D">
        <w:rPr>
          <w:rFonts w:asciiTheme="minorEastAsia" w:hAnsiTheme="minorEastAsia" w:cs="Batang"/>
          <w:kern w:val="0"/>
          <w:sz w:val="20"/>
          <w:szCs w:val="20"/>
          <w:lang/>
          <w14:ligatures w14:val="none"/>
        </w:rPr>
        <w:t>(</w:t>
      </w:r>
      <w:r w:rsidRPr="0020004D">
        <w:rPr>
          <w:rFonts w:asciiTheme="minorEastAsia" w:hAnsiTheme="minorEastAsia" w:cs="Batang"/>
          <w:color w:val="7030A0"/>
          <w:kern w:val="0"/>
          <w:sz w:val="20"/>
          <w:szCs w:val="20"/>
          <w:lang/>
          <w14:ligatures w14:val="none"/>
        </w:rPr>
        <w:t>Zeller, 2010; Allen et al., 2005</w:t>
      </w:r>
      <w:r w:rsidRPr="0020004D">
        <w:rPr>
          <w:rFonts w:asciiTheme="minorEastAsia" w:hAnsiTheme="minorEastAsia" w:cs="Batang"/>
          <w:kern w:val="0"/>
          <w:sz w:val="20"/>
          <w:szCs w:val="20"/>
          <w:lang/>
          <w14:ligatures w14:val="none"/>
        </w:rPr>
        <w:t>).</w:t>
      </w:r>
    </w:p>
    <w:p w14:paraId="497F5A4F"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20004D">
        <w:rPr>
          <w:rFonts w:asciiTheme="minorEastAsia" w:hAnsiTheme="minorEastAsia" w:cs="Batang"/>
          <w:color w:val="0432FF"/>
          <w:kern w:val="0"/>
          <w:sz w:val="20"/>
          <w:szCs w:val="20"/>
          <w:lang/>
          <w14:ligatures w14:val="none"/>
        </w:rPr>
        <w:t xml:space="preserve">이러한 개념적 구분을 이해하는 것은 중요하다. 이는 정책 중심의 정의와 실제 임상 실천 사이에 존재할 수 있는 간극을 보여주기 때문이다. 규제 체계는 환자의 행동 통제를 목적으로 한 부적절한 약물 사용을 예방하는 것을 목표로 하지만, 급성 흥분 상태를 관리하는 임상가들은 환자의 안전, 타인의 안전, 그리고 신속한 치료적 개입의 필요성 사이에서 균형을 맞추어야 한다. 따라서 rapid tranquillization은 임상적으로 구조화된 치료 전략으로 이해될 수 있는 반면,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는 잠재적으로 부적절한 약물 사용을 식별하고 규제하기 위해 정책적 맥락에서 형성된 범주적 개념으로 이해할 수 있다.</w:t>
      </w:r>
    </w:p>
    <w:p w14:paraId="35B86610" w14:textId="77777777" w:rsidR="00030EBF" w:rsidRPr="0020004D" w:rsidRDefault="001963F5" w:rsidP="00030EBF">
      <w:pPr>
        <w:spacing w:before="100" w:beforeAutospacing="1" w:after="100" w:afterAutospacing="1" w:line="240" w:lineRule="auto"/>
        <w:jc w:val="both"/>
        <w:rPr>
          <w:rFonts w:asciiTheme="minorEastAsia" w:hAnsiTheme="minorEastAsia" w:cs="Batang"/>
          <w:b/>
          <w:bCs/>
          <w:kern w:val="0"/>
          <w:sz w:val="20"/>
          <w:szCs w:val="20"/>
          <w:lang/>
          <w14:ligatures w14:val="none"/>
        </w:rPr>
      </w:pPr>
      <w:r>
        <w:rPr>
          <w:rFonts w:asciiTheme="minorEastAsia" w:hAnsiTheme="minorEastAsia" w:cs="Batang"/>
          <w:b/>
          <w:noProof/>
          <w:kern w:val="0"/>
          <w:sz w:val="20"/>
          <w:szCs w:val="20"/>
          <w:lang/>
        </w:rPr>
        <w:lastRenderedPageBreak/>
        <w:pict w14:anchorId="0E23D6BF">
          <v:rect id="_x0000_i1025" alt="" style="width:451.3pt;height:.05pt;mso-width-percent:0;mso-height-percent:0;mso-width-percent:0;mso-height-percent:0" o:hralign="center" o:hrstd="t" o:hr="t" fillcolor="#a0a0a0" stroked="f"/>
        </w:pict>
      </w:r>
    </w:p>
    <w:p w14:paraId="7E3033B9"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7030A0"/>
          <w:kern w:val="0"/>
          <w:sz w:val="20"/>
          <w:szCs w:val="20"/>
          <w:lang/>
          <w14:ligatures w14:val="none"/>
        </w:rPr>
      </w:pPr>
      <w:r w:rsidRPr="0020004D">
        <w:rPr>
          <w:rFonts w:asciiTheme="minorEastAsia" w:hAnsiTheme="minorEastAsia" w:cs="Batang"/>
          <w:color w:val="7030A0"/>
          <w:kern w:val="0"/>
          <w:sz w:val="20"/>
          <w:szCs w:val="20"/>
          <w:lang/>
          <w14:ligatures w14:val="none"/>
        </w:rPr>
        <w:t>참고 문헌 (예시)</w:t>
      </w:r>
      <w:r w:rsidR="00C9352E">
        <w:rPr>
          <w:rFonts w:asciiTheme="minorEastAsia" w:hAnsiTheme="minorEastAsia" w:cs="Batang"/>
          <w:color w:val="7030A0"/>
          <w:kern w:val="0"/>
          <w:sz w:val="20"/>
          <w:szCs w:val="20"/>
          <w:lang/>
          <w14:ligatures w14:val="none"/>
        </w:rPr>
        <w:t>-ChatGPT</w:t>
      </w:r>
    </w:p>
    <w:p w14:paraId="1A3D3E17"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7030A0"/>
          <w:kern w:val="0"/>
          <w:sz w:val="20"/>
          <w:szCs w:val="20"/>
          <w:lang/>
          <w14:ligatures w14:val="none"/>
        </w:rPr>
      </w:pPr>
      <w:r w:rsidRPr="0020004D">
        <w:rPr>
          <w:rFonts w:asciiTheme="minorEastAsia" w:hAnsiTheme="minorEastAsia" w:cs="Batang"/>
          <w:color w:val="7030A0"/>
          <w:kern w:val="0"/>
          <w:sz w:val="20"/>
          <w:szCs w:val="20"/>
          <w:lang/>
          <w14:ligatures w14:val="none"/>
        </w:rPr>
        <w:t>Allen MH, Currier GW, Carpenter D, Ross RW, Docherty JP.</w:t>
      </w:r>
      <w:r w:rsidRPr="0020004D">
        <w:rPr>
          <w:rFonts w:asciiTheme="minorEastAsia" w:hAnsiTheme="minorEastAsia" w:cs="Batang"/>
          <w:color w:val="7030A0"/>
          <w:kern w:val="0"/>
          <w:sz w:val="20"/>
          <w:szCs w:val="20"/>
          <w:lang/>
          <w14:ligatures w14:val="none"/>
        </w:rPr>
        <w:br/>
        <w:t xml:space="preserve">The Expert Consensus Guideline Series: Treatment of Behavioral Emergencies. </w:t>
      </w:r>
      <w:r w:rsidRPr="0020004D">
        <w:rPr>
          <w:rFonts w:asciiTheme="minorEastAsia" w:hAnsiTheme="minorEastAsia" w:cs="Batang"/>
          <w:i/>
          <w:iCs/>
          <w:color w:val="7030A0"/>
          <w:kern w:val="0"/>
          <w:sz w:val="20"/>
          <w:szCs w:val="20"/>
          <w:lang/>
          <w14:ligatures w14:val="none"/>
        </w:rPr>
        <w:t>Journal of Psychiatric Practice</w:t>
      </w:r>
      <w:r w:rsidRPr="0020004D">
        <w:rPr>
          <w:rFonts w:asciiTheme="minorEastAsia" w:hAnsiTheme="minorEastAsia" w:cs="Batang"/>
          <w:color w:val="7030A0"/>
          <w:kern w:val="0"/>
          <w:sz w:val="20"/>
          <w:szCs w:val="20"/>
          <w:lang/>
          <w14:ligatures w14:val="none"/>
        </w:rPr>
        <w:t>. 2005;11(Suppl 1):5–108.</w:t>
      </w:r>
    </w:p>
    <w:p w14:paraId="3A83B1D3"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7030A0"/>
          <w:kern w:val="0"/>
          <w:sz w:val="20"/>
          <w:szCs w:val="20"/>
          <w:lang/>
          <w14:ligatures w14:val="none"/>
        </w:rPr>
      </w:pPr>
      <w:r w:rsidRPr="0020004D">
        <w:rPr>
          <w:rFonts w:asciiTheme="minorEastAsia" w:hAnsiTheme="minorEastAsia" w:cs="Batang"/>
          <w:color w:val="7030A0"/>
          <w:kern w:val="0"/>
          <w:sz w:val="20"/>
          <w:szCs w:val="20"/>
          <w:lang/>
          <w14:ligatures w14:val="none"/>
        </w:rPr>
        <w:t>National Institute for Health and Care Excellence (NICE).</w:t>
      </w:r>
      <w:r w:rsidRPr="0020004D">
        <w:rPr>
          <w:rFonts w:asciiTheme="minorEastAsia" w:hAnsiTheme="minorEastAsia" w:cs="Batang"/>
          <w:color w:val="7030A0"/>
          <w:kern w:val="0"/>
          <w:sz w:val="20"/>
          <w:szCs w:val="20"/>
          <w:lang/>
          <w14:ligatures w14:val="none"/>
        </w:rPr>
        <w:br/>
      </w:r>
      <w:r w:rsidRPr="0020004D">
        <w:rPr>
          <w:rFonts w:asciiTheme="minorEastAsia" w:hAnsiTheme="minorEastAsia" w:cs="Batang"/>
          <w:i/>
          <w:iCs/>
          <w:color w:val="7030A0"/>
          <w:kern w:val="0"/>
          <w:sz w:val="20"/>
          <w:szCs w:val="20"/>
          <w:lang/>
          <w14:ligatures w14:val="none"/>
        </w:rPr>
        <w:t>Violence and aggression: short-term management in mental health, health and community settings</w:t>
      </w:r>
      <w:r w:rsidRPr="0020004D">
        <w:rPr>
          <w:rFonts w:asciiTheme="minorEastAsia" w:hAnsiTheme="minorEastAsia" w:cs="Batang"/>
          <w:color w:val="7030A0"/>
          <w:kern w:val="0"/>
          <w:sz w:val="20"/>
          <w:szCs w:val="20"/>
          <w:lang/>
          <w14:ligatures w14:val="none"/>
        </w:rPr>
        <w:t>. London: NICE; 2015.</w:t>
      </w:r>
    </w:p>
    <w:p w14:paraId="6949D1B4"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7030A0"/>
          <w:kern w:val="0"/>
          <w:sz w:val="20"/>
          <w:szCs w:val="20"/>
          <w:lang/>
          <w14:ligatures w14:val="none"/>
        </w:rPr>
      </w:pPr>
      <w:r w:rsidRPr="0020004D">
        <w:rPr>
          <w:rFonts w:asciiTheme="minorEastAsia" w:hAnsiTheme="minorEastAsia" w:cs="Batang"/>
          <w:color w:val="7030A0"/>
          <w:kern w:val="0"/>
          <w:sz w:val="20"/>
          <w:szCs w:val="20"/>
          <w:lang/>
          <w14:ligatures w14:val="none"/>
        </w:rPr>
        <w:t>Zeller SL.</w:t>
      </w:r>
      <w:r w:rsidRPr="0020004D">
        <w:rPr>
          <w:rFonts w:asciiTheme="minorEastAsia" w:hAnsiTheme="minorEastAsia" w:cs="Batang"/>
          <w:color w:val="7030A0"/>
          <w:kern w:val="0"/>
          <w:sz w:val="20"/>
          <w:szCs w:val="20"/>
          <w:lang/>
          <w14:ligatures w14:val="none"/>
        </w:rPr>
        <w:br/>
        <w:t xml:space="preserve">Treatment of acute agitation in the emergency department. </w:t>
      </w:r>
      <w:r w:rsidRPr="0020004D">
        <w:rPr>
          <w:rFonts w:asciiTheme="minorEastAsia" w:hAnsiTheme="minorEastAsia" w:cs="Batang"/>
          <w:i/>
          <w:iCs/>
          <w:color w:val="7030A0"/>
          <w:kern w:val="0"/>
          <w:sz w:val="20"/>
          <w:szCs w:val="20"/>
          <w:lang/>
          <w14:ligatures w14:val="none"/>
        </w:rPr>
        <w:t>Western Journal of Emergency Medicine</w:t>
      </w:r>
      <w:r w:rsidRPr="0020004D">
        <w:rPr>
          <w:rFonts w:asciiTheme="minorEastAsia" w:hAnsiTheme="minorEastAsia" w:cs="Batang"/>
          <w:color w:val="7030A0"/>
          <w:kern w:val="0"/>
          <w:sz w:val="20"/>
          <w:szCs w:val="20"/>
          <w:lang/>
          <w14:ligatures w14:val="none"/>
        </w:rPr>
        <w:t>. 2010;11(4):341-347.</w:t>
      </w:r>
    </w:p>
    <w:p w14:paraId="4FFECF5D" w14:textId="77777777" w:rsidR="00030EBF" w:rsidRPr="0020004D" w:rsidRDefault="00030EBF" w:rsidP="00030EBF">
      <w:pPr>
        <w:spacing w:before="100" w:beforeAutospacing="1" w:after="100" w:afterAutospacing="1" w:line="240" w:lineRule="auto"/>
        <w:jc w:val="both"/>
        <w:rPr>
          <w:rFonts w:asciiTheme="minorEastAsia" w:hAnsiTheme="minorEastAsia" w:cs="Batang"/>
          <w:color w:val="7030A0"/>
          <w:kern w:val="0"/>
          <w:sz w:val="20"/>
          <w:szCs w:val="20"/>
          <w:lang/>
          <w14:ligatures w14:val="none"/>
        </w:rPr>
      </w:pPr>
      <w:r w:rsidRPr="0020004D">
        <w:rPr>
          <w:rFonts w:asciiTheme="minorEastAsia" w:hAnsiTheme="minorEastAsia" w:cs="Batang"/>
          <w:color w:val="7030A0"/>
          <w:kern w:val="0"/>
          <w:sz w:val="20"/>
          <w:szCs w:val="20"/>
          <w:lang/>
          <w14:ligatures w14:val="none"/>
        </w:rPr>
        <w:t>Centers for Medicare &amp; Medicaid Services (CMS).</w:t>
      </w:r>
      <w:r w:rsidRPr="0020004D">
        <w:rPr>
          <w:rFonts w:asciiTheme="minorEastAsia" w:hAnsiTheme="minorEastAsia" w:cs="Batang"/>
          <w:color w:val="7030A0"/>
          <w:kern w:val="0"/>
          <w:sz w:val="20"/>
          <w:szCs w:val="20"/>
          <w:lang/>
          <w14:ligatures w14:val="none"/>
        </w:rPr>
        <w:br/>
      </w:r>
      <w:r w:rsidRPr="0020004D">
        <w:rPr>
          <w:rFonts w:asciiTheme="minorEastAsia" w:hAnsiTheme="minorEastAsia" w:cs="Batang"/>
          <w:i/>
          <w:iCs/>
          <w:color w:val="7030A0"/>
          <w:kern w:val="0"/>
          <w:sz w:val="20"/>
          <w:szCs w:val="20"/>
          <w:lang/>
          <w14:ligatures w14:val="none"/>
        </w:rPr>
        <w:t>State Operations Manual Appendix PP – Guidance to Surveyors for Long Term Care Facilities</w:t>
      </w:r>
      <w:r w:rsidRPr="0020004D">
        <w:rPr>
          <w:rFonts w:asciiTheme="minorEastAsia" w:hAnsiTheme="minorEastAsia" w:cs="Batang"/>
          <w:color w:val="7030A0"/>
          <w:kern w:val="0"/>
          <w:sz w:val="20"/>
          <w:szCs w:val="20"/>
          <w:lang/>
          <w14:ligatures w14:val="none"/>
        </w:rPr>
        <w:t>. 2017.</w:t>
      </w:r>
    </w:p>
    <w:p w14:paraId="3B9FF6A6" w14:textId="77777777" w:rsidR="00355799" w:rsidRPr="0035579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46728B12" w14:textId="77777777" w:rsidR="0022682F" w:rsidRDefault="0022682F" w:rsidP="0022682F">
      <w:pPr>
        <w:jc w:val="both"/>
        <w:rPr>
          <w:rFonts w:asciiTheme="minorEastAsia" w:hAnsiTheme="minorEastAsia"/>
          <w:b/>
          <w:bCs/>
          <w:sz w:val="20"/>
          <w:szCs w:val="20"/>
        </w:rPr>
      </w:pPr>
      <w:r w:rsidRPr="005F7FD0">
        <w:rPr>
          <w:rFonts w:asciiTheme="minorEastAsia" w:hAnsiTheme="minorEastAsia"/>
          <w:b/>
          <w:bCs/>
          <w:sz w:val="20"/>
          <w:szCs w:val="20"/>
        </w:rPr>
        <w:t>V. 화학적 구속에 대한 비판의 근본적 논거</w:t>
      </w:r>
    </w:p>
    <w:p w14:paraId="334E13C5" w14:textId="77777777" w:rsidR="00C46F14" w:rsidRDefault="0022682F" w:rsidP="0022682F">
      <w:pPr>
        <w:jc w:val="both"/>
        <w:rPr>
          <w:rFonts w:asciiTheme="minorEastAsia" w:hAnsiTheme="minorEastAsia"/>
          <w:b/>
          <w:bCs/>
          <w:sz w:val="20"/>
          <w:szCs w:val="20"/>
        </w:rPr>
      </w:pPr>
      <w:r w:rsidRPr="005F7FD0">
        <w:rPr>
          <w:rFonts w:asciiTheme="minorEastAsia" w:hAnsiTheme="minorEastAsia"/>
          <w:b/>
          <w:bCs/>
          <w:sz w:val="20"/>
          <w:szCs w:val="20"/>
        </w:rPr>
        <w:t xml:space="preserve">V. </w:t>
      </w:r>
      <w:r w:rsidR="00C46F14" w:rsidRPr="00C46F14">
        <w:rPr>
          <w:rFonts w:asciiTheme="minorEastAsia" w:hAnsiTheme="minorEastAsia"/>
          <w:b/>
          <w:bCs/>
          <w:sz w:val="20"/>
          <w:szCs w:val="20"/>
        </w:rPr>
        <w:t>Theoretical Foundations of the Controversy over Chemical Restraint</w:t>
      </w:r>
    </w:p>
    <w:p w14:paraId="55594B6D" w14:textId="77777777" w:rsidR="00F41A41" w:rsidRPr="00626721" w:rsidRDefault="00F41A41" w:rsidP="00F41A41">
      <w:pPr>
        <w:jc w:val="both"/>
        <w:rPr>
          <w:rFonts w:asciiTheme="minorEastAsia" w:hAnsiTheme="minorEastAsia"/>
          <w:b/>
          <w:bCs/>
          <w:sz w:val="20"/>
          <w:szCs w:val="20"/>
          <w:highlight w:val="yellow"/>
        </w:rPr>
      </w:pPr>
      <w:r>
        <w:rPr>
          <w:rFonts w:asciiTheme="minorEastAsia" w:hAnsiTheme="minorEastAsia" w:hint="eastAsia"/>
          <w:b/>
          <w:bCs/>
          <w:sz w:val="20"/>
          <w:szCs w:val="20"/>
        </w:rPr>
        <w:t>A</w:t>
      </w:r>
      <w:r>
        <w:rPr>
          <w:rFonts w:asciiTheme="minorEastAsia" w:hAnsiTheme="minorEastAsia"/>
          <w:b/>
          <w:bCs/>
          <w:sz w:val="20"/>
          <w:szCs w:val="20"/>
        </w:rPr>
        <w:t xml:space="preserve">. </w:t>
      </w:r>
      <w:r w:rsidRPr="00391E8C">
        <w:rPr>
          <w:rFonts w:asciiTheme="minorEastAsia" w:hAnsiTheme="minorEastAsia"/>
          <w:b/>
          <w:bCs/>
          <w:sz w:val="20"/>
          <w:szCs w:val="20"/>
        </w:rPr>
        <w:t>화학적 구속의 윤리적 딜레마</w:t>
      </w:r>
      <w:r>
        <w:rPr>
          <w:rFonts w:asciiTheme="minorEastAsia" w:hAnsiTheme="minorEastAsia" w:hint="eastAsia"/>
          <w:b/>
          <w:bCs/>
          <w:sz w:val="20"/>
          <w:szCs w:val="20"/>
        </w:rPr>
        <w:t xml:space="preserve"> </w:t>
      </w:r>
      <w:r w:rsidRPr="00626721">
        <w:rPr>
          <w:rFonts w:asciiTheme="minorEastAsia" w:hAnsiTheme="minorEastAsia"/>
          <w:b/>
          <w:bCs/>
          <w:sz w:val="20"/>
          <w:szCs w:val="20"/>
        </w:rPr>
        <w:t>Ethical dilemma of Chemical Restraint</w:t>
      </w:r>
    </w:p>
    <w:p w14:paraId="5DAF6CC9" w14:textId="77777777" w:rsidR="00F41A41" w:rsidRPr="00F41A41" w:rsidRDefault="00F41A41" w:rsidP="00F41A41">
      <w:pPr>
        <w:jc w:val="both"/>
        <w:rPr>
          <w:rFonts w:ascii="Malgun Gothic" w:eastAsia="Malgun Gothic" w:hAnsi="Malgun Gothic" w:cs="Times New Roman"/>
          <w:b/>
          <w:bCs/>
          <w:sz w:val="20"/>
          <w:szCs w:val="20"/>
        </w:rPr>
      </w:pPr>
      <w:r>
        <w:rPr>
          <w:rFonts w:ascii="Malgun Gothic" w:eastAsia="Malgun Gothic" w:hAnsi="Malgun Gothic" w:cs="Times New Roman" w:hint="eastAsia"/>
          <w:b/>
          <w:bCs/>
          <w:sz w:val="20"/>
          <w:szCs w:val="20"/>
        </w:rPr>
        <w:t>1</w:t>
      </w:r>
      <w:r>
        <w:rPr>
          <w:rFonts w:ascii="Malgun Gothic" w:eastAsia="Malgun Gothic" w:hAnsi="Malgun Gothic" w:cs="Times New Roman"/>
          <w:b/>
          <w:bCs/>
          <w:sz w:val="20"/>
          <w:szCs w:val="20"/>
        </w:rPr>
        <w:t xml:space="preserve">. </w:t>
      </w:r>
      <w:r w:rsidRPr="00F41A41">
        <w:rPr>
          <w:rFonts w:ascii="Malgun Gothic" w:eastAsia="Malgun Gothic" w:hAnsi="Malgun Gothic" w:cs="Times New Roman"/>
          <w:b/>
          <w:bCs/>
          <w:sz w:val="20"/>
          <w:szCs w:val="20"/>
        </w:rPr>
        <w:t>비자의적 치료</w:t>
      </w:r>
      <w:r>
        <w:rPr>
          <w:rFonts w:ascii="Malgun Gothic" w:eastAsia="Malgun Gothic" w:hAnsi="Malgun Gothic" w:cs="Times New Roman" w:hint="eastAsia"/>
          <w:b/>
          <w:bCs/>
          <w:sz w:val="20"/>
          <w:szCs w:val="20"/>
        </w:rPr>
        <w:t xml:space="preserve"> </w:t>
      </w:r>
      <w:r w:rsidRPr="00F41A41">
        <w:rPr>
          <w:rFonts w:ascii="Malgun Gothic" w:eastAsia="Malgun Gothic" w:hAnsi="Malgun Gothic" w:cs="Times New Roman"/>
          <w:b/>
          <w:bCs/>
          <w:sz w:val="20"/>
          <w:szCs w:val="20"/>
        </w:rPr>
        <w:t>Coercive treatment</w:t>
      </w:r>
    </w:p>
    <w:p w14:paraId="2DED533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Coercive treatment refers to any form of intervention that is administered without the patient's explicit consent or against their will. It includes involuntary hospitalization, forced medication, chemical and physical restraints.</w:t>
      </w:r>
      <w:r w:rsidRPr="00F41A41">
        <w:rPr>
          <w:rFonts w:ascii="Malgun Gothic" w:eastAsia="Malgun Gothic" w:hAnsi="Malgun Gothic" w:cs="Times New Roman"/>
          <w:sz w:val="20"/>
          <w:szCs w:val="20"/>
        </w:rPr>
        <w:fldChar w:fldCharType="begin">
          <w:fldData xml:space="preserve">PEVuZE5vdGU+PENpdGU+PEF1dGhvcj5TdGVpbmVydDwvQXV0aG9yPjxZZWFyPjIwMTc8L1llYXI+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=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16,17</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 use of these measures has been justified on the grounds of protecting the patient from harm, or to facilitate treatment when the patient is deemed incapable of making reasonable decisions due to their mental state.</w:t>
      </w:r>
    </w:p>
    <w:p w14:paraId="049DD938"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강제적 치료(coercive treatment)란 환자의 명시적 동의 없이, 또는 환자가 표명한 의사에 반하여 시행되는 임상적 개입을 의미하며, 여기에는 비자의적 입원, 강제 약물 투여, 그리고 화학적 또는 신체적 구속의 사용이 포함된다. 이러한 조치는 전통적으로 선행(beneficence)과 무해(non-maleficence)의 원칙에 근거하여 정당화되어 왔으며, 특히 환자가 의사결정 능력을 상실한 것으로 판단되거나 자신 또는 타인에게 즉각적인 위해를 가할 위험이 있다고 평가되는 경우에 적용되어 왔다.</w:t>
      </w:r>
    </w:p>
    <w:p w14:paraId="36A2FF54"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The debate surrounding the chemical restraints is part of a broader debate on the justification of coercive treatment in psychiatric care. Human rights advocates argue that persistent violations of patient rights stem from inadequate legal frameworks governing and limiting coercive treatment.</w:t>
      </w:r>
      <w:r w:rsidRPr="00F41A41">
        <w:rPr>
          <w:rFonts w:ascii="Malgun Gothic" w:eastAsia="Malgun Gothic" w:hAnsi="Malgun Gothic" w:cs="Times New Roman"/>
          <w:sz w:val="20"/>
          <w:szCs w:val="20"/>
        </w:rPr>
        <w:fldChar w:fldCharType="begin">
          <w:fldData xml:space="preserve">PEVuZE5vdGU+PENpdGU+PEF1dGhvcj5XeWRlcjwvQXV0aG9yPjxZZWFyPjIwMTU8L1llYXI+PFJl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18,19</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They further contend that these issues are exacerbated by psychiatrists' and other healthcare providers' insufficient understanding of bioethical principles and lack of human rights sensitivity.</w:t>
      </w:r>
      <w:r w:rsidRPr="00F41A41">
        <w:rPr>
          <w:rFonts w:ascii="Malgun Gothic" w:eastAsia="Malgun Gothic" w:hAnsi="Malgun Gothic" w:cs="Times New Roman"/>
          <w:sz w:val="20"/>
          <w:szCs w:val="20"/>
        </w:rPr>
        <w:fldChar w:fldCharType="begin">
          <w:fldData xml:space="preserve">PEVuZE5vdGU+PENpdGU+PEF1dGhvcj5WaWpheWFsYWtzaG1pPC9BdXRob3I+PFllYXI+MjAxMjwv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20,21</w:t>
      </w:r>
      <w:r w:rsidRPr="00F41A41">
        <w:rPr>
          <w:rFonts w:ascii="Malgun Gothic" w:eastAsia="Malgun Gothic" w:hAnsi="Malgun Gothic" w:cs="Times New Roman"/>
          <w:sz w:val="20"/>
          <w:szCs w:val="20"/>
        </w:rPr>
        <w:fldChar w:fldCharType="end"/>
      </w:r>
    </w:p>
    <w:p w14:paraId="262A060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화학적 구속을 둘러싼 논쟁은 정신과 진료에서 강제적 치료를 어떻게 정당화할 것인가에 관한 보다 광범위한 논의의 일부를 이룬다. 인권 옹호자들은 환자 권리에 대한 지속적인 침해가 강제적 치료를 규율하고 제한하는 법적 틀이 충분히 마련되어 있지 않은 데서 비롯된다고 주장한다.¹</w:t>
      </w:r>
      <w:r w:rsidRPr="00F41A41">
        <w:rPr>
          <w:rFonts w:ascii="Malgun Gothic Semilight" w:eastAsia="Malgun Gothic Semilight" w:hAnsi="Malgun Gothic Semilight" w:cs="Malgun Gothic Semilight" w:hint="eastAsia"/>
          <w:sz w:val="20"/>
          <w:szCs w:val="20"/>
        </w:rPr>
        <w:t>⁸</w:t>
      </w:r>
      <w:r w:rsidRPr="00F41A41">
        <w:rPr>
          <w:rFonts w:ascii="Arial" w:eastAsia="Malgun Gothic" w:hAnsi="Arial" w:cs="Arial"/>
          <w:sz w:val="20"/>
          <w:szCs w:val="20"/>
        </w:rPr>
        <w:t>˒</w:t>
      </w:r>
      <w:r w:rsidRPr="00F41A41">
        <w:rPr>
          <w:rFonts w:ascii="Malgun Gothic" w:eastAsia="Malgun Gothic" w:hAnsi="Malgun Gothic" w:cs="Times New Roman"/>
          <w:sz w:val="20"/>
          <w:szCs w:val="20"/>
        </w:rPr>
        <w:t>¹</w:t>
      </w:r>
      <w:r w:rsidRPr="00F41A41">
        <w:rPr>
          <w:rFonts w:ascii="Cambria Math" w:eastAsia="Malgun Gothic" w:hAnsi="Cambria Math" w:cs="Cambria Math"/>
          <w:sz w:val="20"/>
          <w:szCs w:val="20"/>
        </w:rPr>
        <w:t>⁹</w:t>
      </w:r>
      <w:r w:rsidRPr="00F41A41">
        <w:rPr>
          <w:rFonts w:ascii="Malgun Gothic" w:eastAsia="Malgun Gothic" w:hAnsi="Malgun Gothic" w:cs="Times New Roman"/>
          <w:sz w:val="20"/>
          <w:szCs w:val="20"/>
        </w:rPr>
        <w:t xml:space="preserve"> 또한 이들은 이러한 문제가 정신과 의사 및 기타 보건의료 종사자들이 생명윤리 원칙에 대한 이해가 충분하지 않거나 인권 감수성이 부족한 데 의해 더욱 심화된다고 지적한다.²</w:t>
      </w:r>
      <w:r w:rsidRPr="00F41A41">
        <w:rPr>
          <w:rFonts w:ascii="Cambria Math" w:eastAsia="Malgun Gothic" w:hAnsi="Cambria Math" w:cs="Cambria Math"/>
          <w:sz w:val="20"/>
          <w:szCs w:val="20"/>
        </w:rPr>
        <w:t>⁰</w:t>
      </w:r>
      <w:r w:rsidRPr="00F41A41">
        <w:rPr>
          <w:rFonts w:ascii="Arial" w:eastAsia="Malgun Gothic" w:hAnsi="Arial" w:cs="Arial"/>
          <w:sz w:val="20"/>
          <w:szCs w:val="20"/>
        </w:rPr>
        <w:t>˒</w:t>
      </w:r>
      <w:r w:rsidRPr="00F41A41">
        <w:rPr>
          <w:rFonts w:ascii="Malgun Gothic" w:eastAsia="Malgun Gothic" w:hAnsi="Malgun Gothic" w:cs="Times New Roman"/>
          <w:sz w:val="20"/>
          <w:szCs w:val="20"/>
        </w:rPr>
        <w:t>²¹</w:t>
      </w:r>
    </w:p>
    <w:p w14:paraId="3535B2C0"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Instead, they advocate for a more patient-centered approach, contending that involving individuals in their treatment decisions, even in emergency situation, can foster better long-term therapeutic outcomes. This strategy, which might include offering choices between observation, isolation, medication, or physical restraint, is thought to build trust between physician and patient while boosting treatment adherence.</w:t>
      </w:r>
      <w:r w:rsidRPr="00F41A41">
        <w:rPr>
          <w:rFonts w:ascii="Malgun Gothic" w:eastAsia="Malgun Gothic" w:hAnsi="Malgun Gothic" w:cs="Times New Roman"/>
          <w:sz w:val="20"/>
          <w:szCs w:val="20"/>
        </w:rPr>
        <w:fldChar w:fldCharType="begin">
          <w:fldData xml:space="preserve">PEVuZE5vdGU+PENpdGU+PEF1dGhvcj5Cb2FyZG1hbjwvQXV0aG9yPjxZZWFyPjIwMjA8L1llYXI+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22</w:t>
      </w:r>
      <w:r w:rsidRPr="00F41A41">
        <w:rPr>
          <w:rFonts w:ascii="Malgun Gothic" w:eastAsia="Malgun Gothic" w:hAnsi="Malgun Gothic" w:cs="Times New Roman"/>
          <w:sz w:val="20"/>
          <w:szCs w:val="20"/>
        </w:rPr>
        <w:fldChar w:fldCharType="end"/>
      </w:r>
    </w:p>
    <w:p w14:paraId="68174DC8"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대신 이들은 보다 환자 중심적인 접근을 옹호하며, 응급 상황에서도 개인을 치료 결정 과정에 참여시키는 것이 장기적인 치료 성과를 향상시킬 수 있다고 주장한다. 이러한 전략은 관찰, 격리, 약물 치료, 또는 신체적 구속 중에서 선택지를 제시하는 방식을 포함할 수 있으며, 이를 통해 의사와 환자 간의 신뢰를 구축하고 치료 순응도를 높일 수 있다고 여겨진다.²²</w:t>
      </w:r>
    </w:p>
    <w:p w14:paraId="610FF049" w14:textId="77777777" w:rsidR="00F41A41" w:rsidRPr="00F41A41" w:rsidRDefault="00F41A41" w:rsidP="00F41A41">
      <w:pPr>
        <w:jc w:val="both"/>
        <w:rPr>
          <w:rFonts w:ascii="Malgun Gothic" w:eastAsia="Malgun Gothic" w:hAnsi="Malgun Gothic" w:cs="Times New Roman"/>
          <w:sz w:val="20"/>
          <w:szCs w:val="20"/>
        </w:rPr>
      </w:pPr>
    </w:p>
    <w:p w14:paraId="3B81F94F" w14:textId="77777777" w:rsidR="00F41A41" w:rsidRPr="00F41A41" w:rsidRDefault="00F41A41" w:rsidP="00F41A41">
      <w:pPr>
        <w:jc w:val="both"/>
        <w:rPr>
          <w:rFonts w:ascii="Malgun Gothic" w:eastAsia="Malgun Gothic" w:hAnsi="Malgun Gothic" w:cs="Times New Roman"/>
          <w:b/>
          <w:bCs/>
          <w:sz w:val="20"/>
          <w:szCs w:val="20"/>
        </w:rPr>
      </w:pPr>
      <w:r>
        <w:rPr>
          <w:rFonts w:ascii="Malgun Gothic" w:eastAsia="Malgun Gothic" w:hAnsi="Malgun Gothic" w:cs="Times New Roman"/>
          <w:b/>
          <w:bCs/>
          <w:sz w:val="20"/>
          <w:szCs w:val="20"/>
        </w:rPr>
        <w:t xml:space="preserve">2. </w:t>
      </w:r>
      <w:r w:rsidRPr="00F41A41">
        <w:rPr>
          <w:rFonts w:ascii="Malgun Gothic" w:eastAsia="Malgun Gothic" w:hAnsi="Malgun Gothic" w:cs="Times New Roman"/>
          <w:b/>
          <w:bCs/>
          <w:sz w:val="20"/>
          <w:szCs w:val="20"/>
        </w:rPr>
        <w:t>유엔의 입장</w:t>
      </w:r>
      <w:r>
        <w:rPr>
          <w:rFonts w:ascii="Malgun Gothic" w:eastAsia="Malgun Gothic" w:hAnsi="Malgun Gothic" w:cs="Times New Roman" w:hint="eastAsia"/>
          <w:b/>
          <w:bCs/>
          <w:sz w:val="20"/>
          <w:szCs w:val="20"/>
        </w:rPr>
        <w:t xml:space="preserve"> </w:t>
      </w:r>
      <w:r w:rsidRPr="00F41A41">
        <w:rPr>
          <w:rFonts w:ascii="Malgun Gothic" w:eastAsia="Malgun Gothic" w:hAnsi="Malgun Gothic" w:cs="Times New Roman"/>
          <w:b/>
          <w:bCs/>
          <w:sz w:val="20"/>
          <w:szCs w:val="20"/>
        </w:rPr>
        <w:t>UN's Position</w:t>
      </w:r>
    </w:p>
    <w:p w14:paraId="04462EE9"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In 2017, the United Nations (UN) Special Rapporteur, Dainius P</w:t>
      </w:r>
      <w:r w:rsidRPr="00F41A41">
        <w:rPr>
          <w:rFonts w:ascii="Calibri" w:eastAsia="Malgun Gothic" w:hAnsi="Calibri" w:cs="Calibri"/>
          <w:sz w:val="20"/>
          <w:szCs w:val="20"/>
        </w:rPr>
        <w:t>ū</w:t>
      </w:r>
      <w:r w:rsidRPr="00F41A41">
        <w:rPr>
          <w:rFonts w:ascii="Malgun Gothic" w:eastAsia="Malgun Gothic" w:hAnsi="Malgun Gothic" w:cs="Times New Roman"/>
          <w:sz w:val="20"/>
          <w:szCs w:val="20"/>
        </w:rPr>
        <w:t>ras, issued a statement calling for "the abandonment of all practices that fail to respect the rights, will, and preferences of all persons equally, and that lead to power imbalances, stigma, and discrimination in mental health settings." This report, titled "Report of the Special Rapporteur on the right of everyone to the enjoyment of the highest attainable standard of physical and mental health” (A/HRC/35/21) was officially adopted by the CRPD (United Nations Convention on the Rights of Persons with Disabilities) and subsequently became a catalyst for intense debate.</w:t>
      </w:r>
      <w:r w:rsidRPr="00F41A41">
        <w:rPr>
          <w:rFonts w:ascii="Malgun Gothic" w:eastAsia="Malgun Gothic" w:hAnsi="Malgun Gothic" w:cs="Times New Roman"/>
          <w:sz w:val="20"/>
          <w:szCs w:val="20"/>
        </w:rPr>
        <w:fldChar w:fldCharType="begin">
          <w:fldData xml:space="preserve">PEVuZE5vdGU+PENpdGU+PEF1dGhvcj5XaWxsaWFtczwvQXV0aG9yPjxZZWFyPjIwMjI8L1llYXI+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23</w:t>
      </w:r>
      <w:r w:rsidRPr="00F41A41">
        <w:rPr>
          <w:rFonts w:ascii="Malgun Gothic" w:eastAsia="Malgun Gothic" w:hAnsi="Malgun Gothic" w:cs="Times New Roman"/>
          <w:sz w:val="20"/>
          <w:szCs w:val="20"/>
        </w:rPr>
        <w:fldChar w:fldCharType="end"/>
      </w:r>
    </w:p>
    <w:p w14:paraId="138240A4"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2017년 유엔(UN) 특별보고관인 다이니우스 푸라스(Dainius P</w:t>
      </w:r>
      <w:r w:rsidRPr="00F41A41">
        <w:rPr>
          <w:rFonts w:ascii="Calibri" w:eastAsia="Malgun Gothic" w:hAnsi="Calibri" w:cs="Calibri"/>
          <w:sz w:val="20"/>
          <w:szCs w:val="20"/>
        </w:rPr>
        <w:t>ū</w:t>
      </w:r>
      <w:r w:rsidRPr="00F41A41">
        <w:rPr>
          <w:rFonts w:ascii="Malgun Gothic" w:eastAsia="Malgun Gothic" w:hAnsi="Malgun Gothic" w:cs="Times New Roman"/>
          <w:sz w:val="20"/>
          <w:szCs w:val="20"/>
        </w:rPr>
        <w:t xml:space="preserve">ras)는 정신건강 치료 환경에서 모든 사람의 권리, 의지, 그리고 선호를 동등하게 존중하지 못하고, 권력 불균형, 낙인, 차별을 초래하는 모든 관행을 포기할 것을 촉구하는 성명을 발표하였다. 이 보고서는 「모든 사람이 도달 가능한 </w:t>
      </w:r>
      <w:r w:rsidRPr="00F41A41">
        <w:rPr>
          <w:rFonts w:ascii="Malgun Gothic" w:eastAsia="Malgun Gothic" w:hAnsi="Malgun Gothic" w:cs="Times New Roman"/>
          <w:sz w:val="20"/>
          <w:szCs w:val="20"/>
        </w:rPr>
        <w:lastRenderedPageBreak/>
        <w:t>최고 수준의 신체적·정신적 건강을 누릴 권리에 관한 특별보고관 보고서(Report of the Special Rapporteur on the right of everyone to the enjoyment of the highest attainable standard of physical and mental health)」(A/HRC/35/21)라는 제목으로 제시되었으며, 이후 유엔 장애인권리협약(Convention on the Rights of Persons with Disabilities, CRPD)에 의해 공식 채택되었다. 이 보고서는 이후 정신과 진료에서의 강제적 관행을 둘러싼 격렬한 논쟁을 촉발하는 계기가 되었다.²³</w:t>
      </w:r>
    </w:p>
    <w:p w14:paraId="06F69C90"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This exemplifies the unwavering position of human rights advocates. The report contends that coercive treatment, frequently rationalized by concepts such as "medical necessity," "dangerousness," and "lack of judgment capacity," is not only subjective but also left entirely to psychiatrists' discretion—thus clearly infringing upon patients' human rights. It further asserted that "the existence of a disability shall in no case justify a deprivation of liberty," which is interpreted as prohibiting the use of mental illness as a justification for restricting liberty.</w:t>
      </w:r>
      <w:r w:rsidRPr="00F41A41">
        <w:rPr>
          <w:rFonts w:ascii="Malgun Gothic" w:eastAsia="Malgun Gothic" w:hAnsi="Malgun Gothic" w:cs="Times New Roman"/>
          <w:sz w:val="20"/>
          <w:szCs w:val="20"/>
        </w:rPr>
        <w:fldChar w:fldCharType="begin">
          <w:fldData xml:space="preserve">PEVuZE5vdGU+PENpdGU+PEF1dGhvcj5GaWFsYS1CdXRvcmE8L0F1dGhvcj48WWVhcj4yMDI0PC9Z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=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6</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While acknowledging the challenges in eliminating all coercive treatment, the report emphasized the urgency of eventually ending coercive psychiatric treatment without exception.</w:t>
      </w:r>
      <w:r w:rsidRPr="00F41A41">
        <w:rPr>
          <w:rFonts w:ascii="Malgun Gothic" w:eastAsia="Malgun Gothic" w:hAnsi="Malgun Gothic" w:cs="Times New Roman"/>
          <w:sz w:val="20"/>
          <w:szCs w:val="20"/>
        </w:rPr>
        <w:fldChar w:fldCharType="begin">
          <w:fldData xml:space="preserve">PEVuZE5vdGU+PENpdGU+PEF1dGhvcj5HdXJiYWk8L0F1dGhvcj48WWVhcj4yMDIwPC9ZZWFyPjxS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24</w:t>
      </w:r>
      <w:r w:rsidRPr="00F41A41">
        <w:rPr>
          <w:rFonts w:ascii="Malgun Gothic" w:eastAsia="Malgun Gothic" w:hAnsi="Malgun Gothic" w:cs="Times New Roman"/>
          <w:sz w:val="20"/>
          <w:szCs w:val="20"/>
        </w:rPr>
        <w:fldChar w:fldCharType="end"/>
      </w:r>
    </w:p>
    <w:p w14:paraId="3DE0F0A4"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이는 인권 옹호자들이 취하고 있는 단호한 입장을 잘 보여주는 사례이다. 해당 보고서는 ‘의학적 필요성’, ‘위험성(dangerousness)’, ‘의사결정 능력의 결여’와 같은 개념에 의해 자주 정당화되어 온 강제적 치료가 본질적으로 주관적이며, 그 판단이 전적으로 정신과 의사의 재량에 맡겨져 있다는 점에서 환자의 인권을 명백히 침해한다고 주장하였다. 또한 보고서는 “장애의 존재는 어떠한 경우에도 자유의 박탈을 정당화할 수 없다”고 명시하며, 이를 정신질환을 자유 제한의 근거로 사용하는 것을 금지하는 것으로 해석하였다.</w:t>
      </w:r>
      <w:r w:rsidRPr="00F41A41">
        <w:rPr>
          <w:rFonts w:ascii="Cambria Math" w:eastAsia="Malgun Gothic" w:hAnsi="Cambria Math" w:cs="Cambria Math"/>
          <w:sz w:val="20"/>
          <w:szCs w:val="20"/>
        </w:rPr>
        <w:t>⁶</w:t>
      </w:r>
      <w:r w:rsidRPr="00F41A41">
        <w:rPr>
          <w:rFonts w:ascii="Malgun Gothic" w:eastAsia="Malgun Gothic" w:hAnsi="Malgun Gothic" w:cs="Times New Roman"/>
          <w:sz w:val="20"/>
          <w:szCs w:val="20"/>
        </w:rPr>
        <w:t xml:space="preserve"> 모든 형태의 강제적 치료를 즉각적으로 제거하는 데에는 현실적인 어려움이 있음을 인정하면서도, 궁극적으로는 예외 없이 강제적 정신과 치료를 종식시켜야 할 필요성이 시급하다는 점을 강조하였다.²⁴</w:t>
      </w:r>
    </w:p>
    <w:p w14:paraId="797CA37C"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However, there was disagreement on how to negotiate between medical necessity with human rights, even within the UN itself.</w:t>
      </w:r>
      <w:r w:rsidRPr="00F41A41">
        <w:rPr>
          <w:rFonts w:ascii="Malgun Gothic" w:eastAsia="Malgun Gothic" w:hAnsi="Malgun Gothic" w:cs="Times New Roman"/>
          <w:sz w:val="20"/>
          <w:szCs w:val="20"/>
        </w:rPr>
        <w:fldChar w:fldCharType="begin">
          <w:fldData xml:space="preserve">PEVuZE5vdGU+PENpdGU+PEF1dGhvcj5Eb3lsZSBHdWlsbG91ZDwvQXV0aG9yPjxZZWFyPjIwMTk8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==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25</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 few years earlier, in 2014, the Human Rights Committee adopted General Comment 35 (GC35), which states:</w:t>
      </w:r>
    </w:p>
    <w:p w14:paraId="3D98B911"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그러나 의학적 필요성과 인권을 어떻게 조정할 것인가에 대해서는 유엔 내부에서도 의견의 일치가 이루어지지 않았다.²</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 xml:space="preserve"> 그보다 몇 년 앞선 2014년, 유엔 인권위원회(Human Rights Committee)는 일반논평 제35호(General Comment No. 35, GC35)를 채택하였으며, 이 문서에서는 다음과 같이 명시하고 있다:</w:t>
      </w:r>
    </w:p>
    <w:p w14:paraId="2700A61B" w14:textId="77777777" w:rsidR="00F41A41" w:rsidRPr="00F41A41" w:rsidRDefault="00F41A41" w:rsidP="00F41A41">
      <w:pPr>
        <w:pBdr>
          <w:left w:val="single" w:sz="4" w:space="4" w:color="auto"/>
        </w:pBdr>
        <w:ind w:left="720"/>
        <w:jc w:val="both"/>
        <w:rPr>
          <w:rFonts w:ascii="Aptos" w:eastAsia="Malgun Gothic" w:hAnsi="Aptos" w:cs="Times New Roman"/>
          <w:sz w:val="20"/>
          <w:szCs w:val="20"/>
        </w:rPr>
      </w:pPr>
      <w:r w:rsidRPr="00F41A41">
        <w:rPr>
          <w:rFonts w:ascii="Aptos" w:eastAsia="Malgun Gothic" w:hAnsi="Aptos" w:cs="Times New Roman"/>
          <w:sz w:val="20"/>
          <w:szCs w:val="20"/>
        </w:rPr>
        <w:t>The existence of a disability shall not in itself justify a deprivation of liberty but rather any deprivation of liberty must be necessary and proportionate, for the purpose of protecting the individual in question from serious harm or preventing injury to others.</w:t>
      </w:r>
    </w:p>
    <w:p w14:paraId="5EF126FC" w14:textId="77777777" w:rsidR="00F41A41" w:rsidRPr="00F41A41" w:rsidRDefault="00F41A41" w:rsidP="00F41A41">
      <w:pPr>
        <w:pBdr>
          <w:left w:val="single" w:sz="4" w:space="4" w:color="auto"/>
        </w:pBdr>
        <w:ind w:left="720"/>
        <w:jc w:val="both"/>
        <w:rPr>
          <w:rFonts w:ascii="Aptos" w:eastAsia="Malgun Gothic" w:hAnsi="Aptos" w:cs="Times New Roman"/>
          <w:sz w:val="20"/>
          <w:szCs w:val="20"/>
        </w:rPr>
      </w:pPr>
      <w:r w:rsidRPr="00F41A41">
        <w:rPr>
          <w:rFonts w:ascii="Aptos" w:eastAsia="Malgun Gothic" w:hAnsi="Aptos" w:cs="Times New Roman"/>
          <w:sz w:val="20"/>
          <w:szCs w:val="20"/>
        </w:rPr>
        <w:lastRenderedPageBreak/>
        <w:t>장애의</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존재</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그</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자체는</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자유의</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박탈을</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정당화할</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수</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없으며</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어떠한</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자유의</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제한도</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해당</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개인을</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중대한</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위해로부터</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보호하거나</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타인에</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대한</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위해를</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예방하기</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위해</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필요하고</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비례적인</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경우에</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한해서만</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허용되어야</w:t>
      </w:r>
      <w:r w:rsidRPr="00F41A41">
        <w:rPr>
          <w:rFonts w:ascii="Aptos" w:eastAsia="Malgun Gothic" w:hAnsi="Aptos" w:cs="Times New Roman"/>
          <w:sz w:val="20"/>
          <w:szCs w:val="20"/>
        </w:rPr>
        <w:t xml:space="preserve"> </w:t>
      </w:r>
      <w:r w:rsidRPr="00F41A41">
        <w:rPr>
          <w:rFonts w:ascii="Aptos" w:eastAsia="Malgun Gothic" w:hAnsi="Aptos" w:cs="Times New Roman"/>
          <w:sz w:val="20"/>
          <w:szCs w:val="20"/>
        </w:rPr>
        <w:t>한다</w:t>
      </w:r>
      <w:r w:rsidRPr="00F41A41">
        <w:rPr>
          <w:rFonts w:ascii="Aptos" w:eastAsia="Malgun Gothic" w:hAnsi="Aptos" w:cs="Times New Roman"/>
          <w:sz w:val="20"/>
          <w:szCs w:val="20"/>
        </w:rPr>
        <w:t>.</w:t>
      </w:r>
    </w:p>
    <w:p w14:paraId="64716ED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The European Convention on Human Rights (ECHR) also refused to fully accept the CRPD's decision. The ECHR explicitly permits the detention of "persons of unsound mind." This means that coercive measures, including involuntary hospitalization or restraint for psychiatric treatment, do not constitute inhuman treatment if their use is deemed a "therapeutic necessity." The Court thus does not separate the question of detention from treatment without consent, nor does it apply different criteria, such as lack of legal capacity, to the latter. </w:t>
      </w:r>
      <w:r w:rsidRPr="00F41A41">
        <w:rPr>
          <w:rFonts w:ascii="Malgun Gothic" w:eastAsia="Malgun Gothic" w:hAnsi="Malgun Gothic" w:cs="Times New Roman"/>
          <w:sz w:val="20"/>
          <w:szCs w:val="20"/>
        </w:rPr>
        <w:fldChar w:fldCharType="begin">
          <w:fldData xml:space="preserve">PEVuZE5vdGU+PENpdGU+PEF1dGhvcj5NY1NoZXJyeTwvQXV0aG9yPjxZZWFyPjIwMTc8L1llYXI+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26-28</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However, recent trends indicate a shift towards recognizing patients' rights to refuse forced medication, independent of the legality of involuntary hospitalization. </w:t>
      </w:r>
      <w:r w:rsidRPr="00F41A41">
        <w:rPr>
          <w:rFonts w:ascii="Malgun Gothic" w:eastAsia="Malgun Gothic" w:hAnsi="Malgun Gothic" w:cs="Times New Roman"/>
          <w:sz w:val="20"/>
          <w:szCs w:val="20"/>
        </w:rPr>
        <w:fldChar w:fldCharType="begin">
          <w:fldData xml:space="preserve">PEVuZE5vdGU+PENpdGU+PEF1dGhvcj5GaWFsYS1CdXRvcmE8L0F1dGhvcj48WWVhcj4yMDI0PC9Z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=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6</w:t>
      </w:r>
      <w:r w:rsidRPr="00F41A41">
        <w:rPr>
          <w:rFonts w:ascii="Malgun Gothic" w:eastAsia="Malgun Gothic" w:hAnsi="Malgun Gothic" w:cs="Times New Roman"/>
          <w:sz w:val="20"/>
          <w:szCs w:val="20"/>
        </w:rPr>
        <w:fldChar w:fldCharType="end"/>
      </w:r>
    </w:p>
    <w:p w14:paraId="6EB5C0AF"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유럽인권협약(European Convention on Human Rights, ECHR) 역시 CRPD의 입장을 전면적으로 수용하지는 않았다. ECHR은 “정신적으로 정상적이지 않은(persons of unsound mind)” 개인에 대한 구금을 명시적으로 허용하고 있으며, 이에 따라 정신과적 치료를 위한 비자의 입원이나 구속을 포함한 강제적 조치가 그 사용이 ‘치료적 필요성(therapeutic necessity)’에 근거한다고 판단되는 경우 비인도적 처우에 해당하지 않는다고 본다. 이러한 해석에서 유럽인권재판소는 자유의 박탈과 동의 없는 치료의 문제를 분리하여 다루지 않으며, 후자에 대해 법적 능력의 결여와 같은 별도의 기준을 적용하지도 않는다.¹</w:t>
      </w:r>
      <w:r w:rsidRPr="00F41A41">
        <w:rPr>
          <w:rFonts w:ascii="Cambria Math" w:eastAsia="Malgun Gothic" w:hAnsi="Cambria Math" w:cs="Cambria Math"/>
          <w:sz w:val="20"/>
          <w:szCs w:val="20"/>
        </w:rPr>
        <w:t>⁶</w:t>
      </w:r>
      <w:r w:rsidRPr="00F41A41">
        <w:rPr>
          <w:rFonts w:ascii="Malgun Gothic" w:eastAsia="Malgun Gothic" w:hAnsi="Malgun Gothic" w:cs="Times New Roman"/>
          <w:sz w:val="20"/>
          <w:szCs w:val="20"/>
        </w:rPr>
        <w:t>–¹</w:t>
      </w:r>
      <w:r w:rsidRPr="00F41A41">
        <w:rPr>
          <w:rFonts w:ascii="Malgun Gothic Semilight" w:eastAsia="Malgun Gothic Semilight" w:hAnsi="Malgun Gothic Semilight" w:cs="Malgun Gothic Semilight" w:hint="eastAsia"/>
          <w:sz w:val="20"/>
          <w:szCs w:val="20"/>
        </w:rPr>
        <w:t>⁸</w:t>
      </w:r>
    </w:p>
    <w:p w14:paraId="4DADFB93" w14:textId="77777777" w:rsidR="00F41A41" w:rsidRPr="00F41A41" w:rsidRDefault="00F41A41" w:rsidP="00F41A41">
      <w:pPr>
        <w:jc w:val="both"/>
        <w:rPr>
          <w:rFonts w:ascii="Cambria Math" w:eastAsia="Malgun Gothic" w:hAnsi="Cambria Math" w:cs="Cambria Math"/>
          <w:sz w:val="20"/>
          <w:szCs w:val="20"/>
        </w:rPr>
      </w:pPr>
      <w:r w:rsidRPr="00F41A41">
        <w:rPr>
          <w:rFonts w:ascii="Malgun Gothic" w:eastAsia="Malgun Gothic" w:hAnsi="Malgun Gothic" w:cs="Times New Roman"/>
          <w:sz w:val="20"/>
          <w:szCs w:val="20"/>
        </w:rPr>
        <w:t>다만 최근에는 비자의 입원의 적법성과는 별개로, 강제적 약물 치료를 거부할 권리를 환자의 권리로 인정하려는 방향으로 논의가 점진적으로 이동하고 있는 경향도 관찰된다.</w:t>
      </w:r>
      <w:r w:rsidRPr="00F41A41">
        <w:rPr>
          <w:rFonts w:ascii="Cambria Math" w:eastAsia="Malgun Gothic" w:hAnsi="Cambria Math" w:cs="Cambria Math"/>
          <w:sz w:val="20"/>
          <w:szCs w:val="20"/>
        </w:rPr>
        <w:t>⁶</w:t>
      </w:r>
    </w:p>
    <w:p w14:paraId="269915F0"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Both positions share the principle that individuals with mental illnesses or disabilities should not be deprived of their rights and autonomy. However, there is a significant divergence in their interpretations. GC35 and ECHR stipulates that deprivation of liberty can be justified in certain circumstances, whereas A/HRC/35/21 maintains an unwavering stance against accepting such exception. Wayne Martin and Sándor Gurbai from the University of Essex had termed this disagreement as "Geneva Impasse."</w:t>
      </w:r>
      <w:r w:rsidRPr="00F41A41">
        <w:rPr>
          <w:rFonts w:ascii="Malgun Gothic" w:eastAsia="Malgun Gothic" w:hAnsi="Malgun Gothic" w:cs="Times New Roman"/>
          <w:sz w:val="20"/>
          <w:szCs w:val="20"/>
        </w:rPr>
        <w:fldChar w:fldCharType="begin">
          <w:fldData xml:space="preserve">PEVuZE5vdGU+PENpdGU+PEF1dGhvcj5NYXJ0aW48L0F1dGhvcj48WWVhcj4yMDE5PC9ZZWFyPjxS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28</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They argued that this impasse arose from an irreconcilable difference between two distinct approaches to legal interpretation: proportionality and absolute interpretation.</w:t>
      </w:r>
    </w:p>
    <w:p w14:paraId="59EB625E"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양측의 입장은 정신질환이나 장애를 가진 개인이 그들의 권리와 자율성을 박탈당해서는 안 된다는 원칙을 공유하고 있다. 그러나 이 원칙을 해석하는 방식에서는 중대한 차이를 보인다. GC35와 유럽인권협약(ECHR)은 특정한 상황에서는 자유의 박탈이 정당화될 수 있음을 인정하는 </w:t>
      </w:r>
      <w:r w:rsidRPr="00F41A41">
        <w:rPr>
          <w:rFonts w:ascii="Malgun Gothic" w:eastAsia="Malgun Gothic" w:hAnsi="Malgun Gothic" w:cs="Times New Roman"/>
          <w:sz w:val="20"/>
          <w:szCs w:val="20"/>
        </w:rPr>
        <w:lastRenderedPageBreak/>
        <w:t>반면, A/HRC/35/21은 그러한 예외를 어떠한 경우에도 수용하지 않는 일관된 입장을 유지하고 있다.</w:t>
      </w:r>
    </w:p>
    <w:p w14:paraId="3629833F"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영국 에식스대학교(University of Essex)의 Wayne Martin과 Sándor Gurbai는 이러한 견해 차이를 “제네바 교착 상태(Geneva Impasse)”라고 명명하였다.¹</w:t>
      </w:r>
      <w:r w:rsidRPr="00F41A41">
        <w:rPr>
          <w:rFonts w:ascii="Malgun Gothic Semilight" w:eastAsia="Malgun Gothic Semilight" w:hAnsi="Malgun Gothic Semilight" w:cs="Malgun Gothic Semilight" w:hint="eastAsia"/>
          <w:sz w:val="20"/>
          <w:szCs w:val="20"/>
        </w:rPr>
        <w:t>⁸</w:t>
      </w:r>
      <w:r w:rsidRPr="00F41A41">
        <w:rPr>
          <w:rFonts w:ascii="Malgun Gothic" w:eastAsia="Malgun Gothic" w:hAnsi="Malgun Gothic" w:cs="Times New Roman"/>
          <w:sz w:val="20"/>
          <w:szCs w:val="20"/>
        </w:rPr>
        <w:t xml:space="preserve"> 이들은 이 교착 상태가 법 규범 해석에 있어 **비례성에 기반한 접근(proportionality-based interpretation)**과 **절대적 해석(absolute interpretation)**이라는 서로 양립하기 어려운 두 가지 해석 방식 간의 근본적인 차이에서 비롯되었다고 주장하였다.</w:t>
      </w:r>
    </w:p>
    <w:p w14:paraId="719CCC38" w14:textId="77777777" w:rsidR="00F41A41" w:rsidRPr="00F41A41" w:rsidRDefault="00F41A41" w:rsidP="00F41A41">
      <w:pPr>
        <w:jc w:val="both"/>
        <w:rPr>
          <w:rFonts w:ascii="Malgun Gothic" w:eastAsia="Malgun Gothic" w:hAnsi="Malgun Gothic" w:cs="Times New Roman"/>
          <w:sz w:val="20"/>
          <w:szCs w:val="20"/>
        </w:rPr>
      </w:pPr>
    </w:p>
    <w:p w14:paraId="2753735C" w14:textId="77777777" w:rsidR="00F41A41" w:rsidRPr="00F41A41" w:rsidRDefault="00F41A41" w:rsidP="00F41A41">
      <w:pPr>
        <w:jc w:val="both"/>
        <w:rPr>
          <w:rFonts w:ascii="Malgun Gothic" w:eastAsia="Malgun Gothic" w:hAnsi="Malgun Gothic" w:cs="Times New Roman"/>
          <w:b/>
          <w:bCs/>
          <w:sz w:val="20"/>
          <w:szCs w:val="20"/>
        </w:rPr>
      </w:pPr>
      <w:r>
        <w:rPr>
          <w:rFonts w:ascii="Malgun Gothic" w:eastAsia="Malgun Gothic" w:hAnsi="Malgun Gothic" w:cs="Times New Roman"/>
          <w:b/>
          <w:bCs/>
          <w:sz w:val="20"/>
          <w:szCs w:val="20"/>
        </w:rPr>
        <w:t xml:space="preserve">3. </w:t>
      </w:r>
      <w:r w:rsidRPr="00F41A41">
        <w:rPr>
          <w:rFonts w:ascii="Malgun Gothic" w:eastAsia="Malgun Gothic" w:hAnsi="Malgun Gothic" w:cs="Times New Roman"/>
          <w:b/>
          <w:bCs/>
          <w:sz w:val="20"/>
          <w:szCs w:val="20"/>
        </w:rPr>
        <w:t>Two approaches for legal interpretation</w:t>
      </w:r>
    </w:p>
    <w:p w14:paraId="477D635E" w14:textId="77777777" w:rsidR="00F41A41" w:rsidRPr="00F41A41" w:rsidRDefault="00F41A41" w:rsidP="00F41A41">
      <w:pPr>
        <w:jc w:val="both"/>
        <w:rPr>
          <w:rFonts w:ascii="Malgun Gothic" w:eastAsia="Malgun Gothic" w:hAnsi="Malgun Gothic" w:cs="Times New Roman"/>
          <w:b/>
          <w:bCs/>
          <w:sz w:val="20"/>
          <w:szCs w:val="20"/>
        </w:rPr>
      </w:pPr>
      <w:r w:rsidRPr="00F41A41">
        <w:rPr>
          <w:rFonts w:ascii="Malgun Gothic" w:eastAsia="Malgun Gothic" w:hAnsi="Malgun Gothic" w:cs="Times New Roman"/>
          <w:b/>
          <w:bCs/>
          <w:sz w:val="20"/>
          <w:szCs w:val="20"/>
        </w:rPr>
        <w:t>법적 해석에 대한 두 가지 접근 방식</w:t>
      </w:r>
    </w:p>
    <w:p w14:paraId="3059E9E9" w14:textId="77777777" w:rsidR="00F41A41" w:rsidRPr="00F41A41" w:rsidRDefault="00F41A41" w:rsidP="00F41A41">
      <w:pPr>
        <w:numPr>
          <w:ilvl w:val="0"/>
          <w:numId w:val="2"/>
        </w:numPr>
        <w:jc w:val="both"/>
        <w:rPr>
          <w:rFonts w:ascii="Malgun Gothic" w:eastAsia="Malgun Gothic" w:hAnsi="Malgun Gothic" w:cs="Times New Roman"/>
          <w:sz w:val="20"/>
          <w:szCs w:val="20"/>
        </w:rPr>
      </w:pPr>
      <w:r w:rsidRPr="00F41A41">
        <w:rPr>
          <w:rFonts w:ascii="Malgun Gothic" w:eastAsia="Malgun Gothic" w:hAnsi="Malgun Gothic" w:cs="Times New Roman"/>
          <w:b/>
          <w:bCs/>
          <w:sz w:val="20"/>
          <w:szCs w:val="20"/>
        </w:rPr>
        <w:t>Proportionality interpretation</w:t>
      </w:r>
    </w:p>
    <w:p w14:paraId="046F648B" w14:textId="77777777" w:rsidR="00F41A41" w:rsidRPr="00F41A41" w:rsidRDefault="00F41A41" w:rsidP="00F41A41">
      <w:pPr>
        <w:ind w:firstLineChars="200" w:firstLine="400"/>
        <w:jc w:val="both"/>
        <w:rPr>
          <w:rFonts w:ascii="Malgun Gothic" w:eastAsia="Malgun Gothic" w:hAnsi="Malgun Gothic" w:cs="Times New Roman"/>
          <w:b/>
          <w:bCs/>
          <w:sz w:val="20"/>
          <w:szCs w:val="20"/>
        </w:rPr>
      </w:pPr>
      <w:r w:rsidRPr="00F41A41">
        <w:rPr>
          <w:rFonts w:ascii="Malgun Gothic" w:eastAsia="Malgun Gothic" w:hAnsi="Malgun Gothic" w:cs="Times New Roman"/>
          <w:sz w:val="20"/>
          <w:szCs w:val="20"/>
        </w:rPr>
        <w:t>1.</w:t>
      </w:r>
      <w:r w:rsidRPr="00F41A41">
        <w:rPr>
          <w:rFonts w:ascii="Malgun Gothic" w:eastAsia="Malgun Gothic" w:hAnsi="Malgun Gothic" w:cs="Times New Roman"/>
          <w:b/>
          <w:bCs/>
          <w:sz w:val="20"/>
          <w:szCs w:val="20"/>
        </w:rPr>
        <w:t xml:space="preserve"> 비례성 해석(Proportionality Interpretation)</w:t>
      </w:r>
    </w:p>
    <w:p w14:paraId="4070D441"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The concept of proportionality is a legal principle that determines an action's legality by assessing the balance between its objective, methods, and consequences.</w:t>
      </w:r>
      <w:r w:rsidRPr="00F41A41">
        <w:rPr>
          <w:rFonts w:ascii="Malgun Gothic" w:eastAsia="Malgun Gothic" w:hAnsi="Malgun Gothic" w:cs="Times New Roman"/>
          <w:sz w:val="20"/>
          <w:szCs w:val="20"/>
        </w:rPr>
        <w:fldChar w:fldCharType="begin">
          <w:fldData xml:space="preserve">PEVuZE5vdGU+PENpdGU+PEF1dGhvcj5CZW5kb3I8L0F1dGhvcj48WWVhcj4yMDE1PC9ZZWFyPjxS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29</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Human rights span a diverse spectrum, including civil, cultural, economic, political, and social rights. Despite their inviolable nature, conflicts may arise between these different categories. This principle suggests that compromising certain rights may be permissible if the action represents a proportionate measure to safeguard one or more fundamental rights.</w:t>
      </w:r>
      <w:r w:rsidRPr="00F41A41">
        <w:rPr>
          <w:rFonts w:ascii="Malgun Gothic" w:eastAsia="Malgun Gothic" w:hAnsi="Malgun Gothic" w:cs="Times New Roman"/>
          <w:sz w:val="20"/>
          <w:szCs w:val="20"/>
        </w:rPr>
        <w:fldChar w:fldCharType="begin">
          <w:fldData xml:space="preserve">PEVuZE5vdGU+PENpdGU+PEF1dGhvcj5TaWVja21hbm48L0F1dGhvcj48WWVhcj4yMDE4PC9ZZWFy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30</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It has been elevated to to the status of a basic principle of interpretation of ECHR.</w:t>
      </w:r>
      <w:r w:rsidRPr="00F41A41">
        <w:rPr>
          <w:rFonts w:ascii="Malgun Gothic" w:eastAsia="Malgun Gothic" w:hAnsi="Malgun Gothic" w:cs="Times New Roman"/>
          <w:sz w:val="20"/>
          <w:szCs w:val="20"/>
        </w:rPr>
        <w:fldChar w:fldCharType="begin">
          <w:fldData xml:space="preserve">PEVuZE5vdGU+PENpdGU+PEF1dGhvcj5Uc2FreXJha2lzPC9BdXRob3I+PFllYXI+MjAwOTwvWWVh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31</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For instance, ECHR ruled in favor of mandatory COVID-19 vaccination, emphasizing the importance of a balanced approach that protects individual rights while safeguarding public health.</w:t>
      </w:r>
    </w:p>
    <w:p w14:paraId="438B9E73"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비례성의 개념은 어떤 행위의 합법성을 그 목적, 수단, 그리고 결과 간의 균형을 평가함으로써 판단하는 법적 원칙이다.²</w:t>
      </w:r>
      <w:r w:rsidRPr="00F41A41">
        <w:rPr>
          <w:rFonts w:ascii="Cambria Math" w:eastAsia="Malgun Gothic" w:hAnsi="Cambria Math" w:cs="Cambria Math"/>
          <w:sz w:val="20"/>
          <w:szCs w:val="20"/>
        </w:rPr>
        <w:t>⁹</w:t>
      </w:r>
      <w:r w:rsidRPr="00F41A41">
        <w:rPr>
          <w:rFonts w:ascii="Malgun Gothic" w:eastAsia="Malgun Gothic" w:hAnsi="Malgun Gothic" w:cs="Times New Roman"/>
          <w:sz w:val="20"/>
          <w:szCs w:val="20"/>
        </w:rPr>
        <w:t xml:space="preserve"> 인권은 시민적·문화적·경제적·정치적·사회적 권리를 포함하는 광범위한 스펙트럼으로 구성되어 있으며, 그 불가침성이 강조됨에도 불구하고 이들 권리 간에는 충돌이 발생할 수 있다. 비례성 원칙은 하나 이상의 기본권을 보호하기 위한 목적에서 이루어진 조치라면, 일정한 권리의 제한이 </w:t>
      </w:r>
      <w:r w:rsidRPr="00F41A41">
        <w:rPr>
          <w:rFonts w:ascii="Malgun Gothic" w:eastAsia="Malgun Gothic" w:hAnsi="Malgun Gothic" w:cs="Times New Roman"/>
          <w:b/>
          <w:bCs/>
          <w:sz w:val="20"/>
          <w:szCs w:val="20"/>
        </w:rPr>
        <w:t>비례적인 범위 내에서 허용될 수 있음</w:t>
      </w:r>
      <w:r w:rsidRPr="00F41A41">
        <w:rPr>
          <w:rFonts w:ascii="Malgun Gothic" w:eastAsia="Malgun Gothic" w:hAnsi="Malgun Gothic" w:cs="Times New Roman"/>
          <w:sz w:val="20"/>
          <w:szCs w:val="20"/>
        </w:rPr>
        <w:t>을 시사한다.³</w:t>
      </w:r>
      <w:r w:rsidRPr="00F41A41">
        <w:rPr>
          <w:rFonts w:ascii="Cambria Math" w:eastAsia="Malgun Gothic" w:hAnsi="Cambria Math" w:cs="Cambria Math"/>
          <w:sz w:val="20"/>
          <w:szCs w:val="20"/>
        </w:rPr>
        <w:t xml:space="preserve">⁰  </w:t>
      </w:r>
      <w:r w:rsidRPr="00F41A41">
        <w:rPr>
          <w:rFonts w:ascii="Malgun Gothic" w:eastAsia="Malgun Gothic" w:hAnsi="Malgun Gothic" w:cs="Times New Roman"/>
          <w:sz w:val="20"/>
          <w:szCs w:val="20"/>
        </w:rPr>
        <w:t>이 원칙은 유럽인권협약(ECHR)의 해석에 있어 기본적인 해석 원칙의 지위로 격상되어 왔다.³¹ 예컨대, ECHR은 개인의 권리 보호와 공중보건의 안전을 조화시키는 균형적 접근의 중요성을 강조하며, 코로나19 백신의 의무 접종에 대해 합헌 결정을 내린 바 있다.</w:t>
      </w:r>
    </w:p>
    <w:p w14:paraId="5E4A7DA3" w14:textId="77777777" w:rsidR="00F41A41" w:rsidRPr="00F41A41" w:rsidRDefault="00F41A41" w:rsidP="00F41A41">
      <w:pPr>
        <w:tabs>
          <w:tab w:val="num" w:pos="720"/>
        </w:tabs>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When assessing proportionality in the context of human rights restrictions, several key criteria must be met. First, there must be a legitimate aim, such as safeguarding national security, ensuring public </w:t>
      </w:r>
      <w:r w:rsidRPr="00F41A41">
        <w:rPr>
          <w:rFonts w:ascii="Malgun Gothic" w:eastAsia="Malgun Gothic" w:hAnsi="Malgun Gothic" w:cs="Times New Roman"/>
          <w:sz w:val="20"/>
          <w:szCs w:val="20"/>
        </w:rPr>
        <w:lastRenderedPageBreak/>
        <w:t>safety, or protecting the rights and freedoms of others. Second, the necessity principle, meaning it should not exceed what is required to achieve the intended goal. Third, the restriction must be commensurate with the threat posed, taking into account both individual impact and broader societal implications. These requirements ensure that any limitation on human rights is justified, appropriate, and minimally invasive.</w:t>
      </w:r>
      <w:r w:rsidRPr="00F41A41">
        <w:rPr>
          <w:rFonts w:ascii="Malgun Gothic" w:eastAsia="Malgun Gothic" w:hAnsi="Malgun Gothic" w:cs="Times New Roman"/>
          <w:sz w:val="20"/>
          <w:szCs w:val="20"/>
        </w:rPr>
        <w:fldChar w:fldCharType="begin">
          <w:fldData xml:space="preserve">PEVuZE5vdGU+PENpdGU+PEF1dGhvcj5SaXZlcnM8L0F1dGhvcj48WWVhcj4yMDA2PC9ZZWFyPjxS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32</w:t>
      </w:r>
      <w:r w:rsidRPr="00F41A41">
        <w:rPr>
          <w:rFonts w:ascii="Malgun Gothic" w:eastAsia="Malgun Gothic" w:hAnsi="Malgun Gothic" w:cs="Times New Roman"/>
          <w:sz w:val="20"/>
          <w:szCs w:val="20"/>
        </w:rPr>
        <w:fldChar w:fldCharType="end"/>
      </w:r>
    </w:p>
    <w:p w14:paraId="6AC2CA94" w14:textId="77777777" w:rsidR="00F41A41" w:rsidRPr="00F41A41" w:rsidRDefault="00F41A41" w:rsidP="00F41A41">
      <w:pPr>
        <w:numPr>
          <w:ilvl w:val="0"/>
          <w:numId w:val="2"/>
        </w:numPr>
        <w:contextualSpacing/>
        <w:jc w:val="both"/>
        <w:rPr>
          <w:rFonts w:ascii="Malgun Gothic" w:eastAsia="Malgun Gothic" w:hAnsi="Malgun Gothic" w:cs="Times New Roman"/>
          <w:sz w:val="20"/>
          <w:szCs w:val="20"/>
        </w:rPr>
      </w:pPr>
      <w:r w:rsidRPr="00F41A41">
        <w:rPr>
          <w:rFonts w:ascii="Malgun Gothic" w:eastAsia="Malgun Gothic" w:hAnsi="Malgun Gothic" w:cs="Times New Roman"/>
          <w:b/>
          <w:bCs/>
          <w:sz w:val="20"/>
          <w:szCs w:val="20"/>
        </w:rPr>
        <w:t>Absolute interpretation</w:t>
      </w:r>
    </w:p>
    <w:p w14:paraId="4DE26CFA" w14:textId="77777777" w:rsidR="00F41A41" w:rsidRPr="00F41A41" w:rsidRDefault="00F41A41" w:rsidP="00F41A41">
      <w:pPr>
        <w:ind w:firstLineChars="200" w:firstLine="400"/>
        <w:jc w:val="both"/>
        <w:rPr>
          <w:rFonts w:ascii="Malgun Gothic" w:eastAsia="Malgun Gothic" w:hAnsi="Malgun Gothic" w:cs="Times New Roman"/>
          <w:b/>
          <w:bCs/>
          <w:sz w:val="20"/>
          <w:szCs w:val="20"/>
        </w:rPr>
      </w:pPr>
      <w:r w:rsidRPr="00F41A41">
        <w:rPr>
          <w:rFonts w:ascii="Malgun Gothic" w:eastAsia="Malgun Gothic" w:hAnsi="Malgun Gothic" w:cs="Times New Roman" w:hint="eastAsia"/>
          <w:sz w:val="20"/>
          <w:szCs w:val="20"/>
        </w:rPr>
        <w:t>2</w:t>
      </w:r>
      <w:r w:rsidRPr="00F41A41">
        <w:rPr>
          <w:rFonts w:ascii="Malgun Gothic" w:eastAsia="Malgun Gothic" w:hAnsi="Malgun Gothic" w:cs="Times New Roman"/>
          <w:sz w:val="20"/>
          <w:szCs w:val="20"/>
        </w:rPr>
        <w:t>.</w:t>
      </w:r>
      <w:r w:rsidRPr="00F41A41">
        <w:rPr>
          <w:rFonts w:ascii="Malgun Gothic" w:eastAsia="Malgun Gothic" w:hAnsi="Malgun Gothic" w:cs="Times New Roman"/>
          <w:b/>
          <w:bCs/>
          <w:sz w:val="20"/>
          <w:szCs w:val="20"/>
        </w:rPr>
        <w:t xml:space="preserve"> 절대적 해석</w:t>
      </w:r>
    </w:p>
    <w:p w14:paraId="027B8B2A"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Certain actions are considered unethical, regardless of the circumstances. While warfare might justify killing enemies to protect national security, the torture or deliberate mistreatment of prisoners of war is unequivocally condemned. These inviolable human rights must be absolutely protected. The prohibitions of torture and slavery exemplify such rights. In contrast to Europe's emphasis on proportionality, American legalists often rule that basic human rights enshrined in the Constitution cannot be infringed upon on any basis. They insist that without some kind of absolute definition, the entire concept of human rights becomes meaningless.</w:t>
      </w:r>
      <w:r w:rsidRPr="00F41A41">
        <w:rPr>
          <w:rFonts w:ascii="Malgun Gothic" w:eastAsia="Malgun Gothic" w:hAnsi="Malgun Gothic" w:cs="Times New Roman"/>
          <w:sz w:val="20"/>
          <w:szCs w:val="20"/>
        </w:rPr>
        <w:fldChar w:fldCharType="begin">
          <w:fldData xml:space="preserve">PEVuZE5vdGU+PENpdGU+PEF1dGhvcj5Uc2FreXJha2lzPC9BdXRob3I+PFllYXI+MjAwOTwvWWVh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31</w:t>
      </w:r>
      <w:r w:rsidRPr="00F41A41">
        <w:rPr>
          <w:rFonts w:ascii="Malgun Gothic" w:eastAsia="Malgun Gothic" w:hAnsi="Malgun Gothic" w:cs="Times New Roman"/>
          <w:sz w:val="20"/>
          <w:szCs w:val="20"/>
        </w:rPr>
        <w:fldChar w:fldCharType="end"/>
      </w:r>
    </w:p>
    <w:p w14:paraId="589683A7"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일부 행위는 어떠한 상황에서도 비윤리적인 것으로 간주된다. 전쟁 상황에서 국가 안보를 보호하기 위해 적을 살해하는 행위가 정당화될 수 있다 하더라도, 전쟁 포로에 대한 고문이나 의도적인 학대는 단호히 금지된다. 이러한 불가침적 인권은 절대적으로 보호되어야 하며, 고문과 노예제에 대한 금지는 그 대표적인 예이다. 유럽에서 비례성 원칙을 강조하는 접근과 달리, 미국의 법률 해석가들은 헌법에 명시된 기본적 인권은 어떠한 근거로도 침해될 수 없다고 판단하는 경향이 있다. 이들은 일정한 절대적 기준이 존재하지 않는다면, 인권이라는 개념 자체가 무의미해질 수 있다고 주장한다.³¹</w:t>
      </w:r>
    </w:p>
    <w:p w14:paraId="21457CC2"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Returning to the aforementioned examples, it is evident that GC35 and ECHR adopts the proportionality interpretation, while A/HRC/35/21 maintains the absolute interpretation approach. The CRPD considers Article 12 (Equal Recognition before the Law) and Article 14 (Liberty and Security of the Person) as absolute human rights. These provisions are applied to psychiatric patients through the following logic: </w:t>
      </w:r>
    </w:p>
    <w:p w14:paraId="01CFD5DA"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앞서 언급한 사례들을 다시 살펴보면, GC35와 유럽인권협약(ECHR)은 비례성 해석을 채택하고 있는 반면, A/HRC/35/21은 절대적 해석의 입장을 유지하고 있음을 확인할 수 있다. 장애인권리협약(CRPD)은 제12조(법 앞의 평등한 인정)와 제14조(신체의 자유와 안전)를 절대적 인권으로 간주하며, 이러한 조항들은 다음과 같은 논리를 통해 정신과 환자에게 적용된다.</w:t>
      </w:r>
    </w:p>
    <w:p w14:paraId="1D4BC897"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 xml:space="preserve">Firstly, if a person without mental illness retains the right to refuse coercive treatment, the same right must be conferred on psychatric patients. Such rights should not be denied based on illnesses or disabilities. </w:t>
      </w:r>
    </w:p>
    <w:p w14:paraId="7F5B0BC4"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첫째, 정신질환이 없는 개인이 강제적 치료를 거부할 권리를 가진다면, 동일한 권리는 정신과 환자에게도 부여되어야 한다. 이러한 권리는 질병이나 장애의 존재를 근거로 부정되어서는 안 된다.</w:t>
      </w:r>
    </w:p>
    <w:p w14:paraId="62DF56E9"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Secondly, all forms of coercive treatment inherently restrict the patients’ liberty and potentially threaten their physical and mental integrity. Consequently, these practices should be prohibited under Article 14. From a clinician's perspective, this logic doesn’t make sense. How can medication, officially approved to be used for specific indications and carefully administered to protect a patient's safety, be construed as a threat to their physical and mental integrity? Yet, this appears to be the prevailing view within the UN Committee. Such a disconnect between clinical reality and policy interpretation is not just frustrating—it's deeply concerning for those on the front lines of patient care.</w:t>
      </w:r>
    </w:p>
    <w:p w14:paraId="2D161A7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둘째, 모든 형태의 강제적 치료는 본질적으로 환자의 자유를 제한하며, 신체적·정신적 온전성에 잠재적인 위협이 된다고 간주된다. 이에 따라 이러한 관행은 제14조에 근거하여 금지되어야 한다는 논리가 제시된다. 그러나 임상의의 관점에서 볼 때, 이러한 해석은 쉽게 납득되기 어렵다. 특정 적응증에 대해 공식적으로 승인된 약물이 환자의 안전을 고려하여 신중하게 투여되는 경우조차, 어떻게 그것이 환자의 신체적·정신적 온전성에 대한 위협으로 해석될 수 있는가 하는 의문이 제기된다. 그럼에도 불구하고, 이러한 관점은 유엔 위원회 내에서 지배적인 해석으로 받아들여지고 있는 것으로 보인다. 임상 현실과 정책적 해석 사이에 존재하는 이러한 괴리는 단순한 혼란을 넘어, 환자 진료의 최전선에 있는 의료진에게 심각한 우려를 불러일으키는 지점이다.</w:t>
      </w:r>
    </w:p>
    <w:p w14:paraId="4401F75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Numerous research papers advocating for the abolition of chemical restraints and other forms of coercive treatment consistently report their lack of efficacy in promoting ultimate patient recovery.</w:t>
      </w:r>
      <w:r w:rsidRPr="00F41A41">
        <w:rPr>
          <w:rFonts w:ascii="Malgun Gothic" w:eastAsia="Malgun Gothic" w:hAnsi="Malgun Gothic" w:cs="Times New Roman"/>
          <w:sz w:val="20"/>
          <w:szCs w:val="20"/>
        </w:rPr>
        <w:fldChar w:fldCharType="begin">
          <w:fldData xml:space="preserve">PEVuZE5vdGU+PENpdGU+PEF1dGhvcj5DaGllemU8L0F1dGhvcj48WWVhcj4yMDE5PC9ZZWFyPjxS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33,34</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These studies also argue that such interventions increase mental stress among healthcare providers, damage the doctor-patient relationship, and undermine patients' motivation for recovery and long-term outcomes.</w:t>
      </w:r>
      <w:r w:rsidRPr="00F41A41">
        <w:rPr>
          <w:rFonts w:ascii="Malgun Gothic" w:eastAsia="Malgun Gothic" w:hAnsi="Malgun Gothic" w:cs="Times New Roman"/>
          <w:sz w:val="20"/>
          <w:szCs w:val="20"/>
        </w:rPr>
        <w:fldChar w:fldCharType="begin">
          <w:fldData xml:space="preserve">PEVuZE5vdGU+PENpdGU+PEF1dGhvcj5UaW5nbGVmZjwvQXV0aG9yPjxZZWFyPjIwMTc8L1llYXI+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35,36</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Furthermore, from an absolutist standpoint, those little benefits or drawbacks of chemical restraints are largely irrelevant. Even if healthcare providers' sensitivity for human rights improves and ongoing developments make chemical restraints increasingly non-invasive, effectie and safe, absolutists would still view these practices as illegal and a violation of human rights. </w:t>
      </w:r>
    </w:p>
    <w:p w14:paraId="1A7A693F"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화학적 구속을 포함한 강제적 치료의 폐지를 옹호하는 다수의 연구들은, 이러한 개입이 궁극적인 환자 회복을 촉진하는 데 있어 효과가 제한적이거나 부족하다는 점을 일관되게 보고하고 있다.³³,³⁴ 이러한 연구들은 또한 강제적 개입이 의료진의 정신적 부담을 증가시키고, 의사–환자 관계를 손상시키며, 환자의 회복 동기와 장기적 치료 성과를 저해할 수 있다고 주장한다.³</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,³</w:t>
      </w:r>
      <w:r w:rsidRPr="00F41A41">
        <w:rPr>
          <w:rFonts w:ascii="Cambria Math" w:eastAsia="Malgun Gothic" w:hAnsi="Cambria Math" w:cs="Cambria Math"/>
          <w:sz w:val="20"/>
          <w:szCs w:val="20"/>
        </w:rPr>
        <w:t xml:space="preserve">⁶ </w:t>
      </w:r>
      <w:r w:rsidRPr="00F41A41">
        <w:rPr>
          <w:rFonts w:ascii="Malgun Gothic" w:eastAsia="Malgun Gothic" w:hAnsi="Malgun Gothic" w:cs="Times New Roman"/>
          <w:sz w:val="20"/>
          <w:szCs w:val="20"/>
        </w:rPr>
        <w:t>더 나아가, 절대주의적 관점에서는 화학적 구속이 갖는 제한적인 이익이나 잠재적 해악 자체가 윤리적 판단에서 본질적인 의미를 갖지 않는다. 설령 의료진의 인권 감수성이 향상되고, 지속적인 기술적 발전을 통해 화학적 구속이 점점 더 비침습적이고 효과적이며 안전한 형태로 변화한다 하더라도, 절대주의자들은 이러한 관행을 여전히 불법적이며 인권을 침해하는 행위로 간주할 것이다.</w:t>
      </w:r>
    </w:p>
    <w:p w14:paraId="652468E8"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In everyday ER and psychiatric ward, medical staffs strive to resolve emergency situations through non-pharmacological interventions whenever possible. When coercive medication becomes inevitable, it implies that other non-pharmacological means have been deemed ineffective. Concurrently, researchers and pharmaceutical companies constantly try to develop less invasive methods that minimize patient resistance.</w:t>
      </w:r>
      <w:r w:rsidRPr="00F41A41">
        <w:rPr>
          <w:rFonts w:ascii="Malgun Gothic" w:eastAsia="Malgun Gothic" w:hAnsi="Malgun Gothic" w:cs="Times New Roman"/>
          <w:sz w:val="20"/>
          <w:szCs w:val="20"/>
        </w:rPr>
        <w:fldChar w:fldCharType="begin">
          <w:fldData xml:space="preserve">PEVuZE5vdGU+PENpdGU+PEF1dGhvcj5DaXRyb21lPC9BdXRob3I+PFllYXI+MjAyMTwvWWVhcj48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37,38</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These efforts align with the principle of proportionality, aiming to ensure that therapeutic benefits outweigh any potential infringement on patient autonomy inherent in coercive treatments. However, from the absolute interpretative stance implicit in A/HRC/35/21, these endeavors would be just futile. This interpretation, held by many human rights activists, presents a significant challenge to current clinical approaches.</w:t>
      </w:r>
      <w:r w:rsidRPr="00F41A41">
        <w:rPr>
          <w:rFonts w:ascii="Malgun Gothic" w:eastAsia="Malgun Gothic" w:hAnsi="Malgun Gothic" w:cs="Times New Roman"/>
          <w:sz w:val="20"/>
          <w:szCs w:val="20"/>
        </w:rPr>
        <w:fldChar w:fldCharType="begin">
          <w:fldData xml:space="preserve">PEVuZE5vdGU+PENpdGU+PEF1dGhvcj5EYXZpZHNvbjwvQXV0aG9yPjxZZWFyPjIwMjE8L1llYXI+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39</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w:t>
      </w:r>
    </w:p>
    <w:p w14:paraId="40D97003"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일상적인 응급실과 정신과 병동의 진료 현장에서 의료진은 가능한 한 비약물적 개입을 통해 응급 상황을 해결하고자 노력한다. 강제적 약물 투여가 불가피해지는 경우는, 다른 비약물적 수단들이 효과적이지 않다고 판단되었음을 의미한다. 동시에 연구자들과 제약 산업은 환자의 저항을 최소화할 수 있는 보다 덜 침습적인 개입 방법을 지속적으로 개발하고 있다.³</w:t>
      </w:r>
      <w:r w:rsidRPr="00F41A41">
        <w:rPr>
          <w:rFonts w:ascii="Malgun Gothic Semilight" w:eastAsia="Malgun Gothic Semilight" w:hAnsi="Malgun Gothic Semilight" w:cs="Malgun Gothic Semilight" w:hint="eastAsia"/>
          <w:sz w:val="20"/>
          <w:szCs w:val="20"/>
        </w:rPr>
        <w:t>⁷</w:t>
      </w:r>
      <w:r w:rsidRPr="00F41A41">
        <w:rPr>
          <w:rFonts w:ascii="Malgun Gothic" w:eastAsia="Malgun Gothic" w:hAnsi="Malgun Gothic" w:cs="Times New Roman"/>
          <w:sz w:val="20"/>
          <w:szCs w:val="20"/>
        </w:rPr>
        <w:t>,³</w:t>
      </w:r>
      <w:r w:rsidRPr="00F41A41">
        <w:rPr>
          <w:rFonts w:ascii="Malgun Gothic Semilight" w:eastAsia="Malgun Gothic Semilight" w:hAnsi="Malgun Gothic Semilight" w:cs="Malgun Gothic Semilight" w:hint="eastAsia"/>
          <w:sz w:val="20"/>
          <w:szCs w:val="20"/>
        </w:rPr>
        <w:t>⁸</w:t>
      </w:r>
      <w:r w:rsidRPr="00F41A41">
        <w:rPr>
          <w:rFonts w:ascii="Malgun Gothic" w:eastAsia="Malgun Gothic" w:hAnsi="Malgun Gothic" w:cs="Times New Roman"/>
          <w:sz w:val="20"/>
          <w:szCs w:val="20"/>
        </w:rPr>
        <w:t xml:space="preserve"> 이러한 노력들은 강제적 치료에 내재된 환자 자율성의 제한이 치료적 이익에 의해 정당화될 수 있도록, 비례성 원칙에 부합하는 방향으로 이루어지고 있다. 그러나 A/HRC/35/21에 내포된 절대적 해석의 관점에서 보면, 이러한 시도들은 본질적으로 무의미한 것으로 간주될 수 있다. 이러한 해석은 다수의 인권 옹호자들에 의해 공유되고 있으며, 이는 현재의 임상적 접근 방식에 중대한 도전 과제로 작용하고 있다.</w:t>
      </w:r>
    </w:p>
    <w:p w14:paraId="70AAF3DC" w14:textId="77777777" w:rsidR="00F41A41" w:rsidRPr="00F41A41" w:rsidRDefault="00F41A41" w:rsidP="00F41A41">
      <w:pPr>
        <w:rPr>
          <w:rFonts w:ascii="Aptos" w:eastAsia="Malgun Gothic" w:hAnsi="Aptos" w:cs="Times New Roman"/>
          <w:b/>
          <w:bCs/>
        </w:rPr>
      </w:pPr>
      <w:r w:rsidRPr="00F41A41">
        <w:rPr>
          <w:rFonts w:ascii="Aptos" w:eastAsia="Malgun Gothic" w:hAnsi="Aptos" w:cs="Times New Roman"/>
          <w:b/>
          <w:bCs/>
        </w:rPr>
        <w:br w:type="page"/>
      </w:r>
    </w:p>
    <w:p w14:paraId="695A37C7" w14:textId="77777777" w:rsidR="00F41A41" w:rsidRPr="00F41A41" w:rsidRDefault="00F41A41" w:rsidP="0022682F">
      <w:pPr>
        <w:jc w:val="both"/>
        <w:rPr>
          <w:rFonts w:asciiTheme="minorEastAsia" w:hAnsiTheme="minorEastAsia"/>
          <w:b/>
          <w:bCs/>
          <w:sz w:val="20"/>
          <w:szCs w:val="20"/>
        </w:rPr>
      </w:pPr>
    </w:p>
    <w:p w14:paraId="451ACD0C" w14:textId="77777777" w:rsidR="0022682F" w:rsidRPr="005F7FD0" w:rsidRDefault="00F41A41" w:rsidP="0022682F">
      <w:pPr>
        <w:jc w:val="both"/>
        <w:rPr>
          <w:rFonts w:asciiTheme="minorEastAsia" w:hAnsiTheme="minorEastAsia"/>
          <w:b/>
          <w:bCs/>
          <w:sz w:val="20"/>
          <w:szCs w:val="20"/>
        </w:rPr>
      </w:pPr>
      <w:r>
        <w:rPr>
          <w:rFonts w:asciiTheme="minorEastAsia" w:hAnsiTheme="minorEastAsia"/>
          <w:b/>
          <w:bCs/>
          <w:sz w:val="20"/>
          <w:szCs w:val="20"/>
        </w:rPr>
        <w:t>B</w:t>
      </w:r>
      <w:r w:rsidR="00C46F14">
        <w:rPr>
          <w:rFonts w:asciiTheme="minorEastAsia" w:hAnsiTheme="minorEastAsia"/>
          <w:b/>
          <w:bCs/>
          <w:sz w:val="20"/>
          <w:szCs w:val="20"/>
        </w:rPr>
        <w:t xml:space="preserve">. </w:t>
      </w:r>
      <w:r w:rsidR="0022682F" w:rsidRPr="005F7FD0">
        <w:rPr>
          <w:rFonts w:asciiTheme="minorEastAsia" w:hAnsiTheme="minorEastAsia"/>
          <w:b/>
          <w:bCs/>
          <w:sz w:val="20"/>
          <w:szCs w:val="20"/>
        </w:rPr>
        <w:t>Underlying Rationales for the Critiques of Chemical Restraint</w:t>
      </w:r>
    </w:p>
    <w:p w14:paraId="30391396" w14:textId="77777777" w:rsidR="0022682F"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color w:val="000000" w:themeColor="text1"/>
          <w:kern w:val="0"/>
          <w:sz w:val="20"/>
          <w:szCs w:val="20"/>
          <w14:ligatures w14:val="none"/>
        </w:rPr>
        <w:t xml:space="preserve">1. </w:t>
      </w:r>
      <w:r w:rsidRPr="00F41A41">
        <w:rPr>
          <w:rFonts w:asciiTheme="minorEastAsia" w:hAnsiTheme="minorEastAsia" w:cs="Batang" w:hint="eastAsia"/>
          <w:color w:val="000000" w:themeColor="text1"/>
          <w:kern w:val="0"/>
          <w:sz w:val="20"/>
          <w:szCs w:val="20"/>
          <w14:ligatures w14:val="none"/>
        </w:rPr>
        <w:t xml:space="preserve">(불가침적) 치료 거부권 </w:t>
      </w:r>
      <w:r w:rsidRPr="00F41A41">
        <w:rPr>
          <w:rFonts w:asciiTheme="minorEastAsia" w:hAnsiTheme="minorEastAsia" w:cs="Batang"/>
          <w:color w:val="000000" w:themeColor="text1"/>
          <w:kern w:val="0"/>
          <w:sz w:val="20"/>
          <w:szCs w:val="20"/>
          <w14:ligatures w14:val="none"/>
        </w:rPr>
        <w:t>(Inviolable) Rights to Refuse Treatment</w:t>
      </w:r>
    </w:p>
    <w:p w14:paraId="18B12D3F"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color w:val="000000" w:themeColor="text1"/>
          <w:kern w:val="0"/>
          <w:sz w:val="20"/>
          <w:szCs w:val="20"/>
          <w14:ligatures w14:val="none"/>
        </w:rPr>
        <w:t>Human rights can be broadly categorized into two types: the right to demand and the right to refuse. The former raises questions about who is responsible for fulfilling these demands, while the latter concerns whose authority one can resist—highlighting issues of power dynamics.</w:t>
      </w:r>
    </w:p>
    <w:p w14:paraId="602195DD"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인권은 크게 요구할 권리와 거부할 권리의 두 가지 유형으로 구분될 수 있다. 전자는 그 요구를 누가 이행할 책임을 지는가라는 문제를 제기하는 반면, 후자는 누구의 권위에 저항할 수 있는가라는 질문과 연결되며, 권력 관계의 문제를 부각시킨다.</w:t>
      </w:r>
    </w:p>
    <w:p w14:paraId="037F202C"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color w:val="000000" w:themeColor="text1"/>
          <w:kern w:val="0"/>
          <w:sz w:val="20"/>
          <w:szCs w:val="20"/>
          <w14:ligatures w14:val="none"/>
        </w:rPr>
        <w:t>This debate subtly suggests that certain authorities are exerting undue pressure on vulnerable individuals for the greater social good. While these authorities claim to act in the individual's best interest, they are often accused of protecting the existing social order and maintaining their dominance.40 Governments, capitalists, and social elites are frequently criticized for such hegemony. Moreover, expert groups—particularly medical doctors who monopolize specialized knowledge—have become vulnerable targets of these critiques.</w:t>
      </w:r>
    </w:p>
    <w:p w14:paraId="3F01E624"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이러한 논쟁은 특정 권위 주체들이 더 큰 사회적 이익을 명분으로 취약한 개인들에게 부당한 압력을 가하고 있다는 인식을 암묵적으로 전제하고 있다. 이들 권위는 개인의 최선의 이익을 위해 행동하고 있다고 주장하지만, 실제로는 기존의 사회 질서를 보호하고 자신들의 지배적 위치를 유지하려는 것으로 비판 받는 경우가 많다. 이러한 맥락에서 정부, 자본가, 사회적 엘리트 집단은 종종 이러한 헤게모니의 주체로 지목된다. 더 나아가, 전문 지식을 독점하고 있는 집단—특히 의학적 전문성을 보유한 의료진—역시 이러한 비판 담론의 취약한 표적이 되어 왔다.</w:t>
      </w:r>
    </w:p>
    <w:p w14:paraId="46E6C8B9"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color w:val="000000" w:themeColor="text1"/>
          <w:kern w:val="0"/>
          <w:sz w:val="20"/>
          <w:szCs w:val="20"/>
          <w14:ligatures w14:val="none"/>
        </w:rPr>
        <w:t xml:space="preserve">Human rights advocates argue that these expert groups unjustly decree that people with mental illness are incapable of determining their own good, fueling epistemic injustice that pervades mental health law and policy. According to their logic, this abuse of power silences people with disabilities, rather than listening to their genuine experiences or remedying underlying structural inequality.41 </w:t>
      </w:r>
    </w:p>
    <w:p w14:paraId="1EAF2C4A" w14:textId="77777777" w:rsidR="00F41A41" w:rsidRPr="00F41A41" w:rsidRDefault="00F41A41" w:rsidP="00F41A41">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인권 옹호자들은 이러한 전문가 집단이 정신질환을 가진 사람들이 스스로 무엇이 자신에게 이로운지 판단할 능력이 없다고 부당하게 단정함으로써, 정신보건 법과 정책 전반에 만연한 **인식적 불의(epistemic injustice)**를 강화하고 있다고 주장한다. 이들의 논리에 따르면, 이러한 권력의 남용은 장애를 가진 당사자들의 목소리를 억압할 뿐만 아니라, 그들의 실제 경험에 귀 기울이거나 근본적인 구조적 불평등을 시정하기보다는 오히려 침묵시키는 결과를 낳는다.</w:t>
      </w:r>
    </w:p>
    <w:p w14:paraId="4142C682" w14:textId="77777777" w:rsidR="0022682F"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2</w:t>
      </w:r>
      <w:r w:rsidRPr="00F41A41">
        <w:rPr>
          <w:rFonts w:asciiTheme="minorEastAsia" w:hAnsiTheme="minorEastAsia" w:cs="Batang"/>
          <w:color w:val="000000" w:themeColor="text1"/>
          <w:kern w:val="0"/>
          <w:sz w:val="20"/>
          <w:szCs w:val="20"/>
          <w14:ligatures w14:val="none"/>
        </w:rPr>
        <w:t xml:space="preserve">. </w:t>
      </w:r>
      <w:r w:rsidRPr="00F41A41">
        <w:rPr>
          <w:rFonts w:asciiTheme="minorEastAsia" w:hAnsiTheme="minorEastAsia" w:cs="Batang" w:hint="eastAsia"/>
          <w:color w:val="000000" w:themeColor="text1"/>
          <w:kern w:val="0"/>
          <w:sz w:val="20"/>
          <w:szCs w:val="20"/>
          <w14:ligatures w14:val="none"/>
        </w:rPr>
        <w:t>장애와 질병(장애[장애성 질환] 또는 질환)</w:t>
      </w:r>
      <w:r w:rsidRPr="00F41A41">
        <w:rPr>
          <w:rFonts w:asciiTheme="minorEastAsia" w:hAnsiTheme="minorEastAsia" w:cs="Batang"/>
          <w:color w:val="000000" w:themeColor="text1"/>
          <w:kern w:val="0"/>
          <w:sz w:val="20"/>
          <w:szCs w:val="20"/>
          <w14:ligatures w14:val="none"/>
        </w:rPr>
        <w:t xml:space="preserve"> Disability and Disease (Disorder or Illness)</w:t>
      </w:r>
    </w:p>
    <w:p w14:paraId="39C648D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As the name CRPD (United Nations Convention on the Rights of Persons with Disabilities) suggests, it is believed that social justice is realized when people with disabilities can fully enjoy their rightful place in society. This stance posits that disability stems from societal structure rather than individual shortcomings. Therefore, it is society that must change, not people with disabilities. This perspective is evident in the distinction between disability and disease (disorder or illness). Disability is not something a person possesses but rather something one encounters when dealing with social environment. Disease, on the other hand, is understood as located in the brain and body and can potentially improve with medical treatment.</w:t>
      </w:r>
      <w:r w:rsidRPr="00F41A41">
        <w:rPr>
          <w:rFonts w:ascii="Malgun Gothic" w:eastAsia="Malgun Gothic" w:hAnsi="Malgun Gothic" w:cs="Times New Roman"/>
          <w:sz w:val="20"/>
          <w:szCs w:val="20"/>
        </w:rPr>
        <w:fldChar w:fldCharType="begin">
          <w:fldData xml:space="preserve">PEVuZE5vdGU+PENpdGU+PEF1dGhvcj5IZXJuZGw8L0F1dGhvcj48WWVhcj4yMDIwPC9ZZWFyPjxS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42</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w:t>
      </w:r>
    </w:p>
    <w:p w14:paraId="06E50AE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장애인권리협약(United Nations Convention on the Rights of Persons with Disabilities, CRPD)이라는 명칭이 시사하듯이, 이 협약은 장애를 가진 사람들이 사회에서 정당한 구성원으로서의 지위를 온전히 향유할 수 있을 때 사회적 정의가 실현된다고 본다. 이러한 입장은 장애의 원인을 개인의 결함이 아니라 사회 구조에 두며, 따라서 변화되어야 할 대상은 장애를 가진 개인이 아니라 사회 그 자체라는 관점을 전제한다. 이러한 시각은 **장애(disability)**와 **질병(disease, disorder 또는 illness)**을 구분하는 개념적 틀에서 분명히 드러난다. 장애는 개인이 ‘소유하는’ 특성이 아니라 사회적 환경과의 상호작용 속에서 ‘경험되는’ 것으로 이해된다. 반면, 질병은 뇌와 신체에 위치한 상태로 간주되며, 의학적 치료를 통해 개선될 가능성이 있는 것으로 해석된다. </w:t>
      </w:r>
      <w:r w:rsidRPr="00F41A41">
        <w:rPr>
          <w:rFonts w:ascii="Malgun Gothic" w:eastAsia="Malgun Gothic" w:hAnsi="Malgun Gothic" w:cs="Times New Roman"/>
          <w:sz w:val="20"/>
          <w:szCs w:val="20"/>
        </w:rPr>
        <w:fldChar w:fldCharType="begin">
          <w:fldData xml:space="preserve">PEVuZE5vdGU+PENpdGU+PEF1dGhvcj5IZXJuZGw8L0F1dGhvcj48WWVhcj4yMDIwPC9ZZWFyPjxS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42</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w:t>
      </w:r>
    </w:p>
    <w:p w14:paraId="1BDF9BCE"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While society must make accommodations to ensure the rights of those with disabilities, individuals with diseases have to seek and receive treatment to maintain and improve their own health.</w:t>
      </w:r>
      <w:r w:rsidRPr="00F41A41">
        <w:rPr>
          <w:rFonts w:ascii="Malgun Gothic" w:eastAsia="Malgun Gothic" w:hAnsi="Malgun Gothic" w:cs="Times New Roman"/>
          <w:sz w:val="20"/>
          <w:szCs w:val="20"/>
        </w:rPr>
        <w:fldChar w:fldCharType="begin">
          <w:fldData xml:space="preserve">PEVuZE5vdGU+PENpdGUgRXhjbHVkZUF1dGg9IjEiPjxZZWFyPjIwMDc8L1llYXI+PFJlY051bT41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43</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Human rights advocates often criticise the concept of mental illness as a narrow, biologically biased view held by myopic experts. Yet, one could also argue that dismissing all scientific truths as mere tools for wielding power is itself an even more biased stance. It's crucial to recognize that not all individuals with mental illnesses are necessarily disabled.</w:t>
      </w:r>
      <w:r w:rsidRPr="00F41A41">
        <w:rPr>
          <w:rFonts w:ascii="Malgun Gothic" w:eastAsia="Malgun Gothic" w:hAnsi="Malgun Gothic" w:cs="Times New Roman"/>
          <w:sz w:val="20"/>
          <w:szCs w:val="20"/>
        </w:rPr>
        <w:fldChar w:fldCharType="begin">
          <w:fldData xml:space="preserve">PEVuZE5vdGU+PENpdGU+PEF1dGhvcj5SYXZlZXNoPC9BdXRob3I+PFllYXI+MjAxOTwvWWVhcj48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44</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While it may be appropriate to consider chronic, treatment-resistant patients as disabled, those who can recover through optimal treatment might be seen as neglecting their duty if they refuse treatment. For instance, parents of critically ill children who fail to provide prescribed medical care or seek timely treatment are guilty of medical neglect or child abuse.</w:t>
      </w:r>
      <w:r w:rsidRPr="00F41A41">
        <w:rPr>
          <w:rFonts w:ascii="Malgun Gothic" w:eastAsia="Malgun Gothic" w:hAnsi="Malgun Gothic" w:cs="Times New Roman"/>
          <w:sz w:val="20"/>
          <w:szCs w:val="20"/>
        </w:rPr>
        <w:fldChar w:fldCharType="begin">
          <w:fldData xml:space="preserve">PEVuZE5vdGU+PENpdGU+PEF1dGhvcj5GcmFzaWVyPC9BdXRob3I+PFllYXI+MjAxOTwvWWVhcj48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45</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Applying this principle to patients themselves, neglecting one's mental health without sound reason could be regarded as self-directed medical neglect.</w:t>
      </w:r>
    </w:p>
    <w:p w14:paraId="6C68F28B"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사회는 장애를 가진 사람들의 권리를 보장하기 위해 합리적인 조정을 제공해야 할 책임이 있지만, 질병을 가진 개인은 자신의 건강을 유지하고 개선하기 위해 치료를 추구하고 이를 받는 책임을 지닌다.⁴³ 인권 옹호자들은 종종 정신질환 개념을 생물학적 편향에 갇힌 근시안적 전문가들의 협소한 관점으로 비판한다. 그러나 모든 과학적 진실을 단지 권력을 행사하기 위한 도구로 치부하는 것 또한 그 자체로 또 다른 편향된 입장일 수 있다. 중요한 점은 정신질환을 가진 모든 개인이 반드시 장애를 가진 것으로 간주될 필요는 없다는 사실이다.⁴⁴ 만성적이고 치료 저항적인 </w:t>
      </w:r>
      <w:r w:rsidRPr="00F41A41">
        <w:rPr>
          <w:rFonts w:ascii="Malgun Gothic" w:eastAsia="Malgun Gothic" w:hAnsi="Malgun Gothic" w:cs="Times New Roman"/>
          <w:sz w:val="20"/>
          <w:szCs w:val="20"/>
        </w:rPr>
        <w:lastRenderedPageBreak/>
        <w:t>환자의 경우 장애로 이해하는 것이 타당할 수 있으나, 최적의 치료를 통해 회복 가능성이 있는 경우에는 치료를 거부하는 행위가 일정한 책임의 방기로 해석될 여지도 있다. 예컨대 중증 질환을 가진 아동의 부모가 처방된 의학적 치료를 제공하지 않거나 적절한 시기에 치료를 받도록 하지 않는 경우, 이는 의료적 방임 또는 아동 학대로 간주된다.⁴</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 xml:space="preserve"> 이 원칙을 환자 자신에게 적용할 경우, 합당한 이유 없이 자신의 정신건강 관리를 소홀히 하는 행위는 자기 지향적 의료 방임으로 해석될 가능성도 제기될 수 있다.</w:t>
      </w:r>
    </w:p>
    <w:p w14:paraId="112DADFE"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The distinction between disease and disability also brings about complicated issue in terms of the duty to protect the health of others. According to the Tuberculosis Prevention Act currently in effect in Korea, when there is a concern that a patient may transmit the bacteria to other people, the head of the local government have to order the patient to be admitted to a medical institution. If the patient refuses, the police must force the patient to receive isolation treatment. Patients, medical staffs, and the policemen who do not comply with this order are subject to fines according to the law.</w:t>
      </w:r>
      <w:r w:rsidRPr="00F41A41">
        <w:rPr>
          <w:rFonts w:ascii="Malgun Gothic" w:eastAsia="Malgun Gothic" w:hAnsi="Malgun Gothic" w:cs="Times New Roman"/>
          <w:sz w:val="20"/>
          <w:szCs w:val="20"/>
        </w:rPr>
        <w:fldChar w:fldCharType="begin">
          <w:fldData xml:space="preserve">PEVuZE5vdGU+PENpdGU+PEF1dGhvcj5XZWxmYXJlKTwvQXV0aG9yPjxZZWFyPjIwMjM8L1llYXI+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46</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This situation bears a striking resemblance to involuntary admission or coercive treatment for individuals with mental illnesses. However, the Tuberculosis Prevention Act have remained largely unchallenged. This is particularly perplexing, given that tuberculosis patients have also historically endured unfair prejudice and social ostracism.</w:t>
      </w:r>
    </w:p>
    <w:p w14:paraId="2078A78B"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질병과 장애의 구분은 타인의 건강을 보호해야 할 의무와 관련하여 또 다른 복합적인 쟁점을 야기한다. 현재 대한민국에서 시행 중인 「결핵예방법」에 따르면, 환자가 결핵균을 타인에게 전파할 우려가 있는 경우 지방자치단체의 장은 해당 환자에게 의료기관 입원을 명령해야 하며, 환자가 이를 거부할 경우 경찰은 강제적으로 격리 치료를 집행하도록 규정되어 있다. 이 명령을 이행하지 않는 환자, 의료진, 또는 경찰관은 법에 따라 벌금형의 대상이 된다.⁴</w:t>
      </w:r>
      <w:r w:rsidRPr="00F41A41">
        <w:rPr>
          <w:rFonts w:ascii="Cambria Math" w:eastAsia="Malgun Gothic" w:hAnsi="Cambria Math" w:cs="Cambria Math"/>
          <w:sz w:val="20"/>
          <w:szCs w:val="20"/>
        </w:rPr>
        <w:t>⁶</w:t>
      </w:r>
    </w:p>
    <w:p w14:paraId="4FC030CC"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이와 같은 상황은 정신질환 환자에 대한 비자의 입원이나 강제적 치료와 놀라울 정도로 유사한 구조를 지니고 있다. 그럼에도 불구하고 결핵예방법은 지금까지 거의 문제 제기 없이 받아들여져 왔다. 이는 결핵 환자들 역시 역사적으로 부당한 낙인과 사회적 배제를 경험해 왔다는 점을 고려할 때, 더욱 이해하기 어려운 대목이라 할 수 있다.</w:t>
      </w:r>
    </w:p>
    <w:p w14:paraId="1B1CEFE2"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Perhaps this double standard stems from the fact that tuberculosis is an undeniable disease caused by a clear culprit - the tuberculosis bacterium - whereas mental illness is an invisible and ambiguously defined condition. However, even if there is room for debate, it's hard to deny that major mental illnesses are clearly physical disorders that may improve with treatment.</w:t>
      </w:r>
    </w:p>
    <w:p w14:paraId="402B688C"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이와 같은 이중적 기준은 결핵이 결핵균이라는 명확한 원인에 의해 발생하는 부인할 수 없는 질병인 반면, 정신질환은 눈에 보이지 않으며 그 정의가 상대적으로 모호한 상태로 인식되어 왔다는 점에서 비롯되었을 가능성이 있다. 그러나 논의의 여지가 존재한다 하더라도, 주요 </w:t>
      </w:r>
      <w:r w:rsidRPr="00F41A41">
        <w:rPr>
          <w:rFonts w:ascii="Malgun Gothic" w:eastAsia="Malgun Gothic" w:hAnsi="Malgun Gothic" w:cs="Times New Roman"/>
          <w:sz w:val="20"/>
          <w:szCs w:val="20"/>
        </w:rPr>
        <w:lastRenderedPageBreak/>
        <w:t>정신질환이 분명한 생물학적 기반을 지닌 신체적 질환이며, 적절한 치료를 통해 호전될 수 있다는 점 자체를 부정하기는 어렵다.</w:t>
      </w:r>
    </w:p>
    <w:p w14:paraId="5C56AC95" w14:textId="77777777" w:rsidR="0022682F" w:rsidRPr="00F41A41"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3</w:t>
      </w:r>
      <w:r w:rsidRPr="00F41A41">
        <w:rPr>
          <w:rFonts w:asciiTheme="minorEastAsia" w:hAnsiTheme="minorEastAsia" w:cs="Batang"/>
          <w:color w:val="000000" w:themeColor="text1"/>
          <w:kern w:val="0"/>
          <w:sz w:val="20"/>
          <w:szCs w:val="20"/>
          <w14:ligatures w14:val="none"/>
        </w:rPr>
        <w:t xml:space="preserve">. </w:t>
      </w:r>
      <w:r w:rsidRPr="00F41A41">
        <w:rPr>
          <w:rFonts w:asciiTheme="minorEastAsia" w:hAnsiTheme="minorEastAsia" w:cs="Batang" w:hint="eastAsia"/>
          <w:color w:val="000000" w:themeColor="text1"/>
          <w:kern w:val="0"/>
          <w:sz w:val="20"/>
          <w:szCs w:val="20"/>
          <w14:ligatures w14:val="none"/>
        </w:rPr>
        <w:t xml:space="preserve">인문학적·사회적 비판 </w:t>
      </w:r>
      <w:r w:rsidRPr="00F41A41">
        <w:rPr>
          <w:rFonts w:asciiTheme="minorEastAsia" w:hAnsiTheme="minorEastAsia" w:cs="Batang"/>
          <w:color w:val="000000" w:themeColor="text1"/>
          <w:kern w:val="0"/>
          <w:sz w:val="20"/>
          <w:szCs w:val="20"/>
          <w14:ligatures w14:val="none"/>
        </w:rPr>
        <w:t>Humanistic and Social Critiques</w:t>
      </w:r>
    </w:p>
    <w:p w14:paraId="0427B549" w14:textId="77777777" w:rsidR="0022682F"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3</w:t>
      </w:r>
      <w:r w:rsidRPr="00F41A41">
        <w:rPr>
          <w:rFonts w:asciiTheme="minorEastAsia" w:hAnsiTheme="minorEastAsia" w:cs="Batang"/>
          <w:color w:val="000000" w:themeColor="text1"/>
          <w:kern w:val="0"/>
          <w:sz w:val="20"/>
          <w:szCs w:val="20"/>
          <w14:ligatures w14:val="none"/>
        </w:rPr>
        <w:t xml:space="preserve">-1. </w:t>
      </w:r>
      <w:r w:rsidRPr="00F41A41">
        <w:rPr>
          <w:rFonts w:asciiTheme="minorEastAsia" w:hAnsiTheme="minorEastAsia" w:cs="Batang" w:hint="eastAsia"/>
          <w:color w:val="000000" w:themeColor="text1"/>
          <w:kern w:val="0"/>
          <w:sz w:val="20"/>
          <w:szCs w:val="20"/>
          <w14:ligatures w14:val="none"/>
        </w:rPr>
        <w:t xml:space="preserve">권력의 수단으로서의 독점된 지식 </w:t>
      </w:r>
      <w:r w:rsidRPr="00F41A41">
        <w:rPr>
          <w:rFonts w:asciiTheme="minorEastAsia" w:hAnsiTheme="minorEastAsia" w:cs="Batang"/>
          <w:color w:val="000000" w:themeColor="text1"/>
          <w:kern w:val="0"/>
          <w:sz w:val="20"/>
          <w:szCs w:val="20"/>
          <w14:ligatures w14:val="none"/>
        </w:rPr>
        <w:t>Monopolized Knowledge as a Means of Power</w:t>
      </w:r>
    </w:p>
    <w:p w14:paraId="02626D3E"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It is undeniable that the history of psychiatry has been marred by ignorance and prejudice, and has been misused as a means of social control. In the 19th century, before the term "psychiatrist" was beginning to be used, mental health professionals were called "alienists." This comes from the idea that patients with mental illness were "alien" and needed to be excluded from society.</w:t>
      </w:r>
      <w:r w:rsidRPr="00F41A41">
        <w:rPr>
          <w:rFonts w:ascii="Malgun Gothic" w:eastAsia="Malgun Gothic" w:hAnsi="Malgun Gothic" w:cs="Times New Roman"/>
          <w:sz w:val="20"/>
          <w:szCs w:val="20"/>
        </w:rPr>
        <w:fldChar w:fldCharType="begin">
          <w:fldData xml:space="preserve">PEVuZE5vdGU+PENpdGU+PEF1dGhvcj5CaHVncmE8L0F1dGhvcj48WWVhcj4yMDE0PC9ZZWFyPjxS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47</w:t>
      </w:r>
      <w:r w:rsidRPr="00F41A41">
        <w:rPr>
          <w:rFonts w:ascii="Malgun Gothic" w:eastAsia="Malgun Gothic" w:hAnsi="Malgun Gothic" w:cs="Times New Roman"/>
          <w:sz w:val="20"/>
          <w:szCs w:val="20"/>
        </w:rPr>
        <w:fldChar w:fldCharType="end"/>
      </w:r>
    </w:p>
    <w:p w14:paraId="15058E1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정신의학의 역사에는 무지와 편견이 깊이 각인되어 있으며, 사회적 통제의 수단으로 오용되었던 측면이 있었음을 부인하기 어렵다. 19세기에는 ‘정신과 의사(psychiatrist)’라는 용어가 사용되기 이전에, 정신건강 전문인들을 **‘에일리어니스트(alienist)’**라고 불렀다. 이는 정신질환을 가진 환자들을 사회로부터 배제되어야 할 ‘이질적인 존재(alien)’로 인식하던 관점에서 비롯된 명칭이었다.⁴</w:t>
      </w:r>
      <w:r w:rsidRPr="00F41A41">
        <w:rPr>
          <w:rFonts w:ascii="Malgun Gothic Semilight" w:eastAsia="Malgun Gothic Semilight" w:hAnsi="Malgun Gothic Semilight" w:cs="Malgun Gothic Semilight" w:hint="eastAsia"/>
          <w:sz w:val="20"/>
          <w:szCs w:val="20"/>
        </w:rPr>
        <w:t>⁷</w:t>
      </w:r>
    </w:p>
    <w:p w14:paraId="11289C11"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As this ignorance began to dissipate through medical advancements, psychiatry hoped to be recognized as a legitimate branch of medicine. However, in the 1960s, when left-wing psychiatrists initiated the anti-psychiatry movement, psychiatry faced particularly fierce criticism. These critics attacked modern science and medicine, especially psychiatry, as a camouflaged version of the oppression once carried out by institutional religions</w:t>
      </w:r>
      <w:r w:rsidRPr="00F41A41">
        <w:rPr>
          <w:rFonts w:ascii="Malgun Gothic" w:eastAsia="Malgun Gothic" w:hAnsi="Malgun Gothic" w:cs="Times New Roman"/>
          <w:sz w:val="20"/>
          <w:szCs w:val="20"/>
        </w:rPr>
        <w:fldChar w:fldCharType="begin">
          <w:fldData xml:space="preserve">PEVuZE5vdGU+PENpdGU+PEF1dGhvcj5HcmF5PC9BdXRob3I+PFllYXI+MjAwOTwvWWVhcj48UmVj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48-50</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They argued that European church had oppressed the masses to justify the monarchs through the dogma of faith. Now, they believed, the dogma of faith had been replaced by science, and psychiatry in particular was seen as supervising people's thinking, feeling, and behavior, imposing the shackles of what is deemed "normal" and “abnormal”.</w:t>
      </w:r>
      <w:r w:rsidRPr="00F41A41">
        <w:rPr>
          <w:rFonts w:ascii="Malgun Gothic" w:eastAsia="Malgun Gothic" w:hAnsi="Malgun Gothic" w:cs="Times New Roman"/>
          <w:sz w:val="20"/>
          <w:szCs w:val="20"/>
        </w:rPr>
        <w:fldChar w:fldCharType="begin">
          <w:fldData xml:space="preserve">PEVuZE5vdGU+PENpdGU+PEF1dGhvcj5TY3VsbDwvQXV0aG9yPjxZZWFyPjE5OTE8L1llYXI+PFJl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51</w:t>
      </w:r>
      <w:r w:rsidRPr="00F41A41">
        <w:rPr>
          <w:rFonts w:ascii="Malgun Gothic" w:eastAsia="Malgun Gothic" w:hAnsi="Malgun Gothic" w:cs="Times New Roman"/>
          <w:sz w:val="20"/>
          <w:szCs w:val="20"/>
        </w:rPr>
        <w:fldChar w:fldCharType="end"/>
      </w:r>
    </w:p>
    <w:p w14:paraId="5DF7F9E3"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이러한 무지가 의학적 발전을 통해 점차 해소되기 시작하면서, 정신의학은 의학의 정당한 한 분야로 인정받기를 기대하게 되었다. 그러나 1960년대에 이르러 좌파 성향의 정신과 의사들을 중심으로 반정신의학(anti-psychiatry) 운동이 전개되면서, 정신의학은 특히 격렬한 비판에 직면하게 되었다. 이들 비판자들은 현대 과학과 의학, 특히 정신의학을 과거 제도화된 종교가 수행하던 억압을 위장된 형태로 재현한 것에 불과하다고 공격하였다.⁴</w:t>
      </w:r>
      <w:r w:rsidRPr="00F41A41">
        <w:rPr>
          <w:rFonts w:ascii="Malgun Gothic Semilight" w:eastAsia="Malgun Gothic Semilight" w:hAnsi="Malgun Gothic Semilight" w:cs="Malgun Gothic Semilight" w:hint="eastAsia"/>
          <w:sz w:val="20"/>
          <w:szCs w:val="20"/>
        </w:rPr>
        <w:t>⁸</w:t>
      </w:r>
      <w:r w:rsidRPr="00F41A41">
        <w:rPr>
          <w:rFonts w:ascii="Malgun Gothic" w:eastAsia="Malgun Gothic" w:hAnsi="Malgun Gothic" w:cs="Times New Roman"/>
          <w:sz w:val="20"/>
          <w:szCs w:val="20"/>
        </w:rPr>
        <w:t>–</w:t>
      </w:r>
      <w:r w:rsidRPr="00F41A41">
        <w:rPr>
          <w:rFonts w:ascii="Malgun Gothic Semilight" w:eastAsia="Malgun Gothic Semilight" w:hAnsi="Malgun Gothic Semilight" w:cs="Malgun Gothic Semilight" w:hint="eastAsia"/>
          <w:sz w:val="20"/>
          <w:szCs w:val="20"/>
        </w:rPr>
        <w:t>⁵</w:t>
      </w:r>
      <w:r w:rsidRPr="00F41A41">
        <w:rPr>
          <w:rFonts w:ascii="Cambria Math" w:eastAsia="Malgun Gothic" w:hAnsi="Cambria Math" w:cs="Cambria Math"/>
          <w:sz w:val="20"/>
          <w:szCs w:val="20"/>
        </w:rPr>
        <w:t xml:space="preserve">⁰ </w:t>
      </w:r>
      <w:r w:rsidRPr="00F41A41">
        <w:rPr>
          <w:rFonts w:ascii="Malgun Gothic" w:eastAsia="Malgun Gothic" w:hAnsi="Malgun Gothic" w:cs="Times New Roman"/>
          <w:sz w:val="20"/>
          <w:szCs w:val="20"/>
        </w:rPr>
        <w:t>그들은 유럽의 교회가 신앙이라는 교리를 통해 군주제를 정당화하며 대중을 억압해 왔다고 주장하였고, 이제 그 신앙의 교리는 과학으로 대체되었으며, 그중에서도 정신의학은 개인의 사고, 감정, 행동을 감독함으로써 ‘정상’과 ‘비정상’이라는 기준을 강요하는 새로운 족쇄를 부과하고 있다고 보았다.</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¹</w:t>
      </w:r>
    </w:p>
    <w:p w14:paraId="0D3A5EC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These radical idea, grouped under the term "biopolitics," have gained increasing traction in academic and social discourse. The critique of power structures in healthcare and scientific knowledge has become widespread over time.</w:t>
      </w:r>
      <w:r w:rsidRPr="00F41A41">
        <w:rPr>
          <w:rFonts w:ascii="Malgun Gothic" w:eastAsia="Malgun Gothic" w:hAnsi="Malgun Gothic" w:cs="Times New Roman"/>
          <w:sz w:val="20"/>
          <w:szCs w:val="20"/>
        </w:rPr>
        <w:fldChar w:fldCharType="begin">
          <w:fldData xml:space="preserve">PEVuZE5vdGU+PENpdGU+PEF1dGhvcj5Qcm96b3JvdjwvQXV0aG9yPjxZZWFyPjIwMjA8L1llYXI+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49</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At their core lies a philosophy that views knowledge not as objective truth, but as a tool for wielding power and injustice.</w:t>
      </w:r>
      <w:r w:rsidRPr="00F41A41">
        <w:rPr>
          <w:rFonts w:ascii="Malgun Gothic" w:eastAsia="Malgun Gothic" w:hAnsi="Malgun Gothic" w:cs="Times New Roman"/>
          <w:sz w:val="20"/>
          <w:szCs w:val="20"/>
        </w:rPr>
        <w:fldChar w:fldCharType="begin">
          <w:fldData xml:space="preserve">PEVuZE5vdGU+PENpdGU+PEF1dGhvcj5Gcmlja2VyPC9BdXRob3I+PFllYXI+MjAwNzwvWWVhcj48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52</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Israeli historian Yuval Harari argues that populists rejects the notion of objective truth, asserting instead that everyone possesses "their own truth" to be used as a weapon against rivals. From this perspective, any information or knowledge presented as truth or justice is merely a ploy for power, fabricated by capitalists and colonial elites.</w:t>
      </w:r>
      <w:r w:rsidRPr="00F41A41">
        <w:rPr>
          <w:rFonts w:ascii="Malgun Gothic" w:eastAsia="Malgun Gothic" w:hAnsi="Malgun Gothic" w:cs="Times New Roman"/>
          <w:sz w:val="20"/>
          <w:szCs w:val="20"/>
        </w:rPr>
        <w:fldChar w:fldCharType="begin">
          <w:fldData xml:space="preserve">PEVuZE5vdGU+PENpdGU+PEF1dGhvcj5IYXJhcmk8L0F1dGhvcj48WWVhcj4yMDI0PC9ZZWFyPjxS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53</w:t>
      </w:r>
      <w:r w:rsidRPr="00F41A41">
        <w:rPr>
          <w:rFonts w:ascii="Malgun Gothic" w:eastAsia="Malgun Gothic" w:hAnsi="Malgun Gothic" w:cs="Times New Roman"/>
          <w:sz w:val="20"/>
          <w:szCs w:val="20"/>
        </w:rPr>
        <w:fldChar w:fldCharType="end"/>
      </w:r>
    </w:p>
    <w:p w14:paraId="13527539"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이러한 급진적 사상들은 ‘생명정치(biopolitics)’라는 용어로 묶여 학문적·사회적 담론에서 점차 영향력을 확대해 왔다. 의료와 과학적 지식에 내재한 권력 구조에 대한 비판은 시간이 흐르면서 광범위하게 확산되었으며, 그 핵심에는 지식을 객관적 진실로 보기보다는 권력 행사와 불의를 정당화하는 도구로 이해하는 철학적 관점이 자리하고 있다.⁴</w:t>
      </w:r>
      <w:r w:rsidRPr="00F41A41">
        <w:rPr>
          <w:rFonts w:ascii="Cambria Math" w:eastAsia="Malgun Gothic" w:hAnsi="Cambria Math" w:cs="Cambria Math"/>
          <w:sz w:val="20"/>
          <w:szCs w:val="20"/>
        </w:rPr>
        <w:t>⁹</w:t>
      </w:r>
      <w:r w:rsidRPr="00F41A41">
        <w:rPr>
          <w:rFonts w:ascii="Malgun Gothic" w:eastAsia="Malgun Gothic" w:hAnsi="Malgun Gothic" w:cs="Times New Roman"/>
          <w:sz w:val="20"/>
          <w:szCs w:val="20"/>
        </w:rPr>
        <w:t>,</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² 이스라엘의 역사학자 유발 하라리(Yuval Harari)는 포퓰리스트들이 객관적 진리의 개념을 거부하고, 대신 각자가 ‘자신만의 진실’을 보유하며 이를 경쟁자를 공격하는 무기로 활용한다고 지적한 바 있다. 이러한 시각에서 보면, 진리나 정의로 제시되는 모든 정보와 지식은 자본가와 식민 엘리트에 의해 조작된 권력의 책략에 불과한 것으로 해석된다.</w:t>
      </w:r>
      <w:r w:rsidRPr="00F41A41">
        <w:rPr>
          <w:rFonts w:ascii="Malgun Gothic Semilight" w:eastAsia="Malgun Gothic Semilight" w:hAnsi="Malgun Gothic Semilight" w:cs="Malgun Gothic Semilight" w:hint="eastAsia"/>
          <w:sz w:val="20"/>
          <w:szCs w:val="20"/>
        </w:rPr>
        <w:t>⁵</w:t>
      </w:r>
      <w:r w:rsidRPr="00F41A41">
        <w:rPr>
          <w:rFonts w:ascii="Malgun Gothic" w:eastAsia="Malgun Gothic" w:hAnsi="Malgun Gothic" w:cs="Times New Roman"/>
          <w:sz w:val="20"/>
          <w:szCs w:val="20"/>
        </w:rPr>
        <w:t>³</w:t>
      </w:r>
    </w:p>
    <w:p w14:paraId="5D67D463" w14:textId="77777777" w:rsidR="0022682F"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3</w:t>
      </w:r>
      <w:r w:rsidRPr="00F41A41">
        <w:rPr>
          <w:rFonts w:asciiTheme="minorEastAsia" w:hAnsiTheme="minorEastAsia" w:cs="Batang"/>
          <w:color w:val="000000" w:themeColor="text1"/>
          <w:kern w:val="0"/>
          <w:sz w:val="20"/>
          <w:szCs w:val="20"/>
          <w14:ligatures w14:val="none"/>
        </w:rPr>
        <w:t xml:space="preserve">-2. </w:t>
      </w:r>
      <w:r w:rsidRPr="00F41A41">
        <w:rPr>
          <w:rFonts w:asciiTheme="minorEastAsia" w:hAnsiTheme="minorEastAsia" w:cs="Batang" w:hint="eastAsia"/>
          <w:color w:val="000000" w:themeColor="text1"/>
          <w:kern w:val="0"/>
          <w:sz w:val="20"/>
          <w:szCs w:val="20"/>
          <w14:ligatures w14:val="none"/>
        </w:rPr>
        <w:t xml:space="preserve">탈식민화와 문화적 민감성 </w:t>
      </w:r>
      <w:r w:rsidRPr="00F41A41">
        <w:rPr>
          <w:rFonts w:asciiTheme="minorEastAsia" w:hAnsiTheme="minorEastAsia" w:cs="Batang"/>
          <w:color w:val="000000" w:themeColor="text1"/>
          <w:kern w:val="0"/>
          <w:sz w:val="20"/>
          <w:szCs w:val="20"/>
          <w14:ligatures w14:val="none"/>
        </w:rPr>
        <w:t>Decolonization and cultural sensitivity</w:t>
      </w:r>
    </w:p>
    <w:p w14:paraId="734BBB25"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The original meaning of "decolonization" refers to the process by which formerly colonized countries strive to eliminate the social and cultural remnants of the colonial era, revitalize indigenous cultures, and cultivate national pride.</w:t>
      </w:r>
      <w:r w:rsidRPr="00F41A41">
        <w:rPr>
          <w:rFonts w:ascii="Malgun Gothic" w:eastAsia="Malgun Gothic" w:hAnsi="Malgun Gothic" w:cs="Times New Roman"/>
          <w:sz w:val="20"/>
          <w:szCs w:val="20"/>
        </w:rPr>
        <w:fldChar w:fldCharType="begin">
          <w:fldData xml:space="preserve">PEVuZE5vdGU+PENpdGU+PEF1dGhvcj5IdW50PC9BdXRob3I+PFllYXI+MjAyMDwvWWVhcj48UmVj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54</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However, the concept has expanded to include a political and academic movements, which challenge the system of male dominance and European white supremacy. Decolonization aims to acknowledge and validate the experiences of marginalized and indigenous people while integrating diverse human perspectives. The neurodiversity movement, for instance, is closely tied to decolonization.</w:t>
      </w:r>
      <w:r w:rsidRPr="00F41A41">
        <w:rPr>
          <w:rFonts w:ascii="Malgun Gothic" w:eastAsia="Malgun Gothic" w:hAnsi="Malgun Gothic" w:cs="Times New Roman"/>
          <w:sz w:val="20"/>
          <w:szCs w:val="20"/>
        </w:rPr>
        <w:fldChar w:fldCharType="begin">
          <w:fldData xml:space="preserve">PEVuZE5vdGU+PENpdGU+PEF1dGhvcj5QZWxsaWNhbm88L0F1dGhvcj48WWVhcj4yMDIxPC9ZZWFy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55</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It challenges the notion of a single standard of "normality" and opposes "ableism"—the belief that only individuals who can function optimally in society are valuable.</w:t>
      </w:r>
      <w:r w:rsidRPr="00F41A41">
        <w:rPr>
          <w:rFonts w:ascii="Malgun Gothic" w:eastAsia="Malgun Gothic" w:hAnsi="Malgun Gothic" w:cs="Times New Roman"/>
          <w:sz w:val="20"/>
          <w:szCs w:val="20"/>
        </w:rPr>
        <w:fldChar w:fldCharType="begin">
          <w:fldData xml:space="preserve">PEVuZE5vdGU+PENpdGU+PEF1dGhvcj5MdW5kYmVyZzwvQXV0aG9yPjxZZWFyPjIwMjQ8L1llYXI+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56</w:t>
      </w:r>
      <w:r w:rsidRPr="00F41A41">
        <w:rPr>
          <w:rFonts w:ascii="Malgun Gothic" w:eastAsia="Malgun Gothic" w:hAnsi="Malgun Gothic" w:cs="Times New Roman"/>
          <w:sz w:val="20"/>
          <w:szCs w:val="20"/>
        </w:rPr>
        <w:fldChar w:fldCharType="end"/>
      </w:r>
    </w:p>
    <w:p w14:paraId="3B576AD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‘탈식민화(decolonization)’의 본래 의미는 과거 식민 지배를 받았던 국가들이 식민 시대의 사회적·문화적 잔재를 제거하고, 토착 문화를 재활성화하며, 국가적 정체성과 자긍심을 회복하려는 과정을 가리킨다.</w:t>
      </w:r>
      <w:r w:rsidRPr="00F41A41">
        <w:rPr>
          <w:rFonts w:ascii="Malgun Gothic" w:eastAsia="Malgun Gothic" w:hAnsi="Malgun Gothic" w:cs="Times New Roman"/>
          <w:sz w:val="20"/>
          <w:szCs w:val="20"/>
          <w:vertAlign w:val="superscript"/>
        </w:rPr>
        <w:t>54</w:t>
      </w:r>
      <w:r w:rsidRPr="00F41A41">
        <w:rPr>
          <w:rFonts w:ascii="Malgun Gothic" w:eastAsia="Malgun Gothic" w:hAnsi="Malgun Gothic" w:cs="Times New Roman"/>
          <w:sz w:val="20"/>
          <w:szCs w:val="20"/>
        </w:rPr>
        <w:t xml:space="preserve"> 그러나 이 개념은 점차 정치적·학문적 운동의 영역으로 확장되어, 남성 중심주의와 유럽 백인 우월주의에 기반한 기존의 권력 구조를 비판하는 흐름을 포함하게 되었다. 탈식민화 담론은 주변화되거나 억압되어 온 집단과 토착민의 경험을 인정하고 정당화하며, 다양한 인간 경험과 관점을 사회 전반에 통합하는 것을 목표로 한다.</w:t>
      </w:r>
    </w:p>
    <w:p w14:paraId="23AA58E7"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이러한 맥락에서 신경다양성(neurodiversity) 운동은 탈식민화 담론과 밀접하게 연결되어 있다.</w:t>
      </w:r>
      <w:r w:rsidRPr="00F41A41">
        <w:rPr>
          <w:rFonts w:ascii="Malgun Gothic" w:eastAsia="Malgun Gothic" w:hAnsi="Malgun Gothic" w:cs="Times New Roman"/>
          <w:sz w:val="20"/>
          <w:szCs w:val="20"/>
          <w:vertAlign w:val="superscript"/>
        </w:rPr>
        <w:t>55</w:t>
      </w:r>
      <w:r w:rsidRPr="00F41A41">
        <w:rPr>
          <w:rFonts w:ascii="Malgun Gothic" w:eastAsia="Malgun Gothic" w:hAnsi="Malgun Gothic" w:cs="Times New Roman"/>
          <w:sz w:val="20"/>
          <w:szCs w:val="20"/>
        </w:rPr>
        <w:t xml:space="preserve"> 이 운동은 단일한 ‘정상성(normality)’의 기준을 전제하는 사고방식에 문제를 제기하며, 사회에 최적으로 기능할 수 있는 개인만을 가치 있는 존재로 간주하는 ‘능력주의(ableism)’에 반대한다.</w:t>
      </w:r>
      <w:r w:rsidRPr="00F41A41">
        <w:rPr>
          <w:rFonts w:ascii="Malgun Gothic" w:eastAsia="Malgun Gothic" w:hAnsi="Malgun Gothic" w:cs="Times New Roman"/>
          <w:sz w:val="20"/>
          <w:szCs w:val="20"/>
          <w:vertAlign w:val="superscript"/>
        </w:rPr>
        <w:t>56</w:t>
      </w:r>
    </w:p>
    <w:p w14:paraId="5921627E"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From the decolonizing perspective, the standard of normality they are trying to dismantle has been defined from a European white and male-centric perspective. </w:t>
      </w:r>
      <w:r w:rsidRPr="00F41A41">
        <w:rPr>
          <w:rFonts w:ascii="Malgun Gothic" w:eastAsia="Malgun Gothic" w:hAnsi="Malgun Gothic" w:cs="Times New Roman"/>
          <w:sz w:val="20"/>
          <w:szCs w:val="20"/>
        </w:rPr>
        <w:fldChar w:fldCharType="begin">
          <w:fldData xml:space="preserve">PEVuZE5vdGU+PENpdGU+PEF1dGhvcj5Ccm9hZGJlbnQ8L0F1dGhvcj48WWVhcj4yMDE5PC9ZZWFy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57,58</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Theorists coined a term “epistemic disobedience” to promote engagement in this violent movement.</w:t>
      </w:r>
      <w:r w:rsidRPr="00F41A41">
        <w:rPr>
          <w:rFonts w:ascii="Malgun Gothic" w:eastAsia="Malgun Gothic" w:hAnsi="Malgun Gothic" w:cs="Times New Roman"/>
          <w:sz w:val="20"/>
          <w:szCs w:val="20"/>
        </w:rPr>
        <w:fldChar w:fldCharType="begin">
          <w:fldData xml:space="preserve">PEVuZE5vdGU+PENpdGU+PEF1dGhvcj5NaWdub2xvPC9BdXRob3I+PFllYXI+MjAxMDwvWWVhcj48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59,60</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And, in this regard, biological psychiatry, which is faithful to the tradition of Western medicine, is nothing more than an outdated practice that needs to be completely overhauled.</w:t>
      </w:r>
      <w:r w:rsidRPr="00F41A41">
        <w:rPr>
          <w:rFonts w:ascii="Malgun Gothic" w:eastAsia="Malgun Gothic" w:hAnsi="Malgun Gothic" w:cs="Times New Roman"/>
          <w:sz w:val="20"/>
          <w:szCs w:val="20"/>
        </w:rPr>
        <w:fldChar w:fldCharType="begin">
          <w:fldData xml:space="preserve">PEVuZE5vdGU+PENpdGU+PEF1dGhvcj5BbnRpxIc8L0F1dGhvcj48WWVhcj4yMDIxPC9ZZWFyPjxS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61</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Their claim is that if every individual's way of living should be respected, then it should also be accepted as is when people with mental illnesses live peculiar lives, cling to irrational thoughts, and are unable to function in society.</w:t>
      </w:r>
    </w:p>
    <w:p w14:paraId="70CC6E09"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탈식민화 관점에서 볼 때, 해체되어야 할 ‘정상성(normality)’의 기준은 유럽 중심적이고 백인 남성 중심적인 시각에서 정의되어 왔다고 여겨진다.</w:t>
      </w:r>
      <w:r w:rsidRPr="00F41A41">
        <w:rPr>
          <w:rFonts w:ascii="Malgun Gothic" w:eastAsia="Malgun Gothic" w:hAnsi="Malgun Gothic" w:cs="Times New Roman"/>
          <w:sz w:val="20"/>
          <w:szCs w:val="20"/>
          <w:vertAlign w:val="superscript"/>
        </w:rPr>
        <w:t>57,58</w:t>
      </w:r>
      <w:r w:rsidRPr="00F41A41">
        <w:rPr>
          <w:rFonts w:ascii="Malgun Gothic" w:eastAsia="Malgun Gothic" w:hAnsi="Malgun Gothic" w:cs="Times New Roman"/>
          <w:sz w:val="20"/>
          <w:szCs w:val="20"/>
        </w:rPr>
        <w:t xml:space="preserve"> 이러한 문제의식 속에서 일부 이론가들은 기존 지식 체계에 대한 적극적인 저항과 이탈을 촉구하기 위해 ‘인식적 불복종(epistemic disobedience)’이라는 개념을 제시하였다.</w:t>
      </w:r>
      <w:r w:rsidRPr="00F41A41">
        <w:rPr>
          <w:rFonts w:ascii="Malgun Gothic" w:eastAsia="Malgun Gothic" w:hAnsi="Malgun Gothic" w:cs="Times New Roman"/>
          <w:sz w:val="20"/>
          <w:szCs w:val="20"/>
          <w:vertAlign w:val="superscript"/>
        </w:rPr>
        <w:t>59,60</w:t>
      </w:r>
      <w:r w:rsidRPr="00F41A41">
        <w:rPr>
          <w:rFonts w:ascii="Malgun Gothic" w:eastAsia="Malgun Gothic" w:hAnsi="Malgun Gothic" w:cs="Times New Roman"/>
          <w:sz w:val="20"/>
          <w:szCs w:val="20"/>
        </w:rPr>
        <w:t xml:space="preserve"> 이 맥락에서 서구 의학의 전통에 충실한 생물학적 정신의학은 근본적인 재검토와 전면적 개편이 필요한 낡은 실천으로 간주되기도 한다.</w:t>
      </w:r>
      <w:r w:rsidRPr="00F41A41">
        <w:rPr>
          <w:rFonts w:ascii="Malgun Gothic" w:eastAsia="Malgun Gothic" w:hAnsi="Malgun Gothic" w:cs="Times New Roman"/>
          <w:sz w:val="20"/>
          <w:szCs w:val="20"/>
          <w:vertAlign w:val="superscript"/>
        </w:rPr>
        <w:t>61</w:t>
      </w:r>
      <w:r w:rsidRPr="00F41A41">
        <w:rPr>
          <w:rFonts w:ascii="Malgun Gothic" w:eastAsia="Malgun Gothic" w:hAnsi="Malgun Gothic" w:cs="Times New Roman"/>
          <w:sz w:val="20"/>
          <w:szCs w:val="20"/>
        </w:rPr>
        <w:t xml:space="preserve"> 이들의 주장은, 개인의 삶의 방식이 모두 존중되어야 한다면, 정신질환을 가진 사람들이 비전형적인 삶을 살거나 비합리적인 사고에 집착하며 사회적 기능을 수행하지 못하는 상태 역시 그대로 수용되어야 한다는 논리로 이어진다.</w:t>
      </w:r>
    </w:p>
    <w:p w14:paraId="6DA64F8B"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This influential political and academic movement posits that the diverse choices asserted by individuals, regardless of disability or health status, should be accepted without constraint. Consequently, it advocates for the illegalization of coercive treatment and promotes individual autonomy in choosing ways to solve their own problems.</w:t>
      </w:r>
      <w:r w:rsidRPr="00F41A41">
        <w:rPr>
          <w:rFonts w:ascii="Malgun Gothic" w:eastAsia="Malgun Gothic" w:hAnsi="Malgun Gothic" w:cs="Times New Roman"/>
          <w:sz w:val="20"/>
          <w:szCs w:val="20"/>
        </w:rPr>
        <w:fldChar w:fldCharType="begin">
          <w:fldData xml:space="preserve">PEVuZE5vdGU+PENpdGU+PEF1dGhvcj5NaWdub2xvPC9BdXRob3I+PFllYXI+MjAxMDwvWWVhcj48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59</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This perspective challenges traditional notions of medical intervention and raises doubts about the legitimacy of modern psychiatric practice.</w:t>
      </w:r>
    </w:p>
    <w:p w14:paraId="20468680"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이와 같은 영향력 있는 정치적·학문적 운동은 장애나 건강 상태와 무관하게 개인이 주장하는 다양한 선택이 어떠한 제약 없이 수용되어야 한다고 전제한다. 그 결과, 강제적 치료의 비합법화를 주장하고, 각 개인이 자신의 문제를 해결하는 방식에 대해 자율적으로 선택할 권리를 강조한다.</w:t>
      </w:r>
      <w:r w:rsidRPr="00F41A41">
        <w:rPr>
          <w:rFonts w:ascii="Malgun Gothic" w:eastAsia="Malgun Gothic" w:hAnsi="Malgun Gothic" w:cs="Times New Roman"/>
          <w:sz w:val="20"/>
          <w:szCs w:val="20"/>
          <w:vertAlign w:val="superscript"/>
        </w:rPr>
        <w:t xml:space="preserve">59 </w:t>
      </w:r>
      <w:r w:rsidRPr="00F41A41">
        <w:rPr>
          <w:rFonts w:ascii="Malgun Gothic" w:eastAsia="Malgun Gothic" w:hAnsi="Malgun Gothic" w:cs="Times New Roman"/>
          <w:sz w:val="20"/>
          <w:szCs w:val="20"/>
        </w:rPr>
        <w:t>이러한 관점은 전통적인 의학적 개입의 개념에 도전하며, 현대 정신의학 실천의 정당성 자체에 의문을 제기한다.</w:t>
      </w:r>
    </w:p>
    <w:p w14:paraId="4CA2B1D8" w14:textId="77777777" w:rsidR="0022682F"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hint="eastAsia"/>
          <w:color w:val="000000" w:themeColor="text1"/>
          <w:kern w:val="0"/>
          <w:sz w:val="20"/>
          <w:szCs w:val="20"/>
          <w14:ligatures w14:val="none"/>
        </w:rPr>
        <w:t>3</w:t>
      </w:r>
      <w:r w:rsidRPr="00F41A41">
        <w:rPr>
          <w:rFonts w:asciiTheme="minorEastAsia" w:hAnsiTheme="minorEastAsia" w:cs="Batang"/>
          <w:color w:val="000000" w:themeColor="text1"/>
          <w:kern w:val="0"/>
          <w:sz w:val="20"/>
          <w:szCs w:val="20"/>
          <w14:ligatures w14:val="none"/>
        </w:rPr>
        <w:t xml:space="preserve">-2-1. </w:t>
      </w:r>
      <w:r w:rsidRPr="00F41A41">
        <w:rPr>
          <w:rFonts w:asciiTheme="minorEastAsia" w:hAnsiTheme="minorEastAsia" w:cs="Batang" w:hint="eastAsia"/>
          <w:color w:val="000000" w:themeColor="text1"/>
          <w:kern w:val="0"/>
          <w:sz w:val="20"/>
          <w:szCs w:val="20"/>
          <w14:ligatures w14:val="none"/>
        </w:rPr>
        <w:t xml:space="preserve">의료화에 대한 비판 </w:t>
      </w:r>
      <w:r w:rsidRPr="00F41A41">
        <w:rPr>
          <w:rFonts w:asciiTheme="minorEastAsia" w:hAnsiTheme="minorEastAsia" w:cs="Batang"/>
          <w:color w:val="000000" w:themeColor="text1"/>
          <w:kern w:val="0"/>
          <w:sz w:val="20"/>
          <w:szCs w:val="20"/>
          <w14:ligatures w14:val="none"/>
        </w:rPr>
        <w:t xml:space="preserve">Against Medicalization </w:t>
      </w:r>
    </w:p>
    <w:p w14:paraId="188D810A" w14:textId="77777777" w:rsidR="00F41A41" w:rsidRPr="00666F00" w:rsidRDefault="00F41A41" w:rsidP="00F41A41">
      <w:pPr>
        <w:jc w:val="both"/>
        <w:rPr>
          <w:rFonts w:asciiTheme="minorEastAsia" w:hAnsiTheme="minorEastAsia"/>
          <w:sz w:val="20"/>
          <w:szCs w:val="20"/>
        </w:rPr>
      </w:pPr>
      <w:r w:rsidRPr="00666F00">
        <w:rPr>
          <w:rFonts w:asciiTheme="minorEastAsia" w:hAnsiTheme="minorEastAsia"/>
          <w:sz w:val="20"/>
          <w:szCs w:val="20"/>
        </w:rPr>
        <w:t>Medicalization is the process by which non-medical problems become defined and treated as medical problems.</w:t>
      </w:r>
      <w:r w:rsidRPr="00666F00">
        <w:rPr>
          <w:rFonts w:asciiTheme="minorEastAsia" w:hAnsiTheme="minorEastAsia"/>
          <w:sz w:val="20"/>
          <w:szCs w:val="20"/>
        </w:rPr>
        <w:fldChar w:fldCharType="begin">
          <w:fldData xml:space="preserve">PEVuZE5vdGU+PENpdGU+PEF1dGhvcj5DaG9kb2ZmPC9BdXRob3I+PFllYXI+MjAwMjwvWWVhcj48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62,63</w:t>
      </w:r>
      <w:r w:rsidRPr="00666F00">
        <w:rPr>
          <w:rFonts w:asciiTheme="minorEastAsia" w:hAnsiTheme="minorEastAsia"/>
          <w:sz w:val="20"/>
          <w:szCs w:val="20"/>
        </w:rPr>
        <w:fldChar w:fldCharType="end"/>
      </w:r>
      <w:r w:rsidRPr="00666F00">
        <w:rPr>
          <w:rFonts w:asciiTheme="minorEastAsia" w:hAnsiTheme="minorEastAsia"/>
          <w:sz w:val="20"/>
          <w:szCs w:val="20"/>
        </w:rPr>
        <w:t xml:space="preserve"> This term is typically used in a negative context. Sociologists argue that policy </w:t>
      </w:r>
      <w:r w:rsidRPr="00666F00">
        <w:rPr>
          <w:rFonts w:asciiTheme="minorEastAsia" w:hAnsiTheme="minorEastAsia"/>
          <w:sz w:val="20"/>
          <w:szCs w:val="20"/>
        </w:rPr>
        <w:lastRenderedPageBreak/>
        <w:t>makers evade their responsibilities by reducing what are actually societal and political issues to pathological, individual problems. Paula Lantz, a key theorist in this field, defines medicalization as "the expansion of medicine as an institution and the application of a medical perspective to human processes and behaviors".</w:t>
      </w:r>
      <w:r w:rsidRPr="00666F00">
        <w:rPr>
          <w:rFonts w:asciiTheme="minorEastAsia" w:hAnsiTheme="minorEastAsia"/>
          <w:sz w:val="20"/>
          <w:szCs w:val="20"/>
        </w:rPr>
        <w:fldChar w:fldCharType="begin">
          <w:fldData xml:space="preserve">PEVuZE5vdGU+PENpdGU+PEF1dGhvcj5MYW50ejwvQXV0aG9yPjxZZWFyPjIwMDc8L1llYXI+PFJl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64</w:t>
      </w:r>
      <w:r w:rsidRPr="00666F00">
        <w:rPr>
          <w:rFonts w:asciiTheme="minorEastAsia" w:hAnsiTheme="minorEastAsia"/>
          <w:sz w:val="20"/>
          <w:szCs w:val="20"/>
        </w:rPr>
        <w:fldChar w:fldCharType="end"/>
      </w:r>
    </w:p>
    <w:p w14:paraId="079C20BF" w14:textId="77777777" w:rsidR="00F41A41" w:rsidRDefault="00F41A41" w:rsidP="00F41A41">
      <w:pPr>
        <w:jc w:val="both"/>
        <w:rPr>
          <w:rFonts w:asciiTheme="minorEastAsia" w:hAnsiTheme="minorEastAsia"/>
          <w:sz w:val="20"/>
          <w:szCs w:val="20"/>
        </w:rPr>
      </w:pPr>
      <w:r w:rsidRPr="00CA6151">
        <w:rPr>
          <w:rFonts w:asciiTheme="minorEastAsia" w:hAnsiTheme="minorEastAsia"/>
          <w:sz w:val="20"/>
          <w:szCs w:val="20"/>
        </w:rPr>
        <w:t>의료화(medicalization)란 본래 의학적 문제가 아니었던 현상들이 의학적 문제로 정의되고, 그에 따라 의학적 개입의 대상으로 다루어지는 과정을 의미한다.</w:t>
      </w:r>
      <w:r w:rsidRPr="00CA6151">
        <w:rPr>
          <w:rFonts w:asciiTheme="minorEastAsia" w:hAnsiTheme="minorEastAsia"/>
          <w:sz w:val="20"/>
          <w:szCs w:val="20"/>
          <w:vertAlign w:val="superscript"/>
        </w:rPr>
        <w:t>62,63</w:t>
      </w:r>
      <w:r w:rsidRPr="00CA6151">
        <w:rPr>
          <w:rFonts w:asciiTheme="minorEastAsia" w:hAnsiTheme="minorEastAsia"/>
          <w:sz w:val="20"/>
          <w:szCs w:val="20"/>
        </w:rPr>
        <w:t xml:space="preserve"> 이 용어는 대체로 비판적인 맥락에서 사용된다. 사회학자들은 실제로는 사회적·정치적 차원에서 다루어져야 할 문제들이 병리화되어 개인의 문제로 환원됨으로써, 정책 결정자들이 자신의 책임을 회피하게 된다고 주장한다. 이 분야의 주요 이론가인 Paula Lantz는 의료화를 “의학이라는 제도가 확장되고, 인간의 과정과 행동에 의학적 관점이 적용되는 것”으로 정의하였다.</w:t>
      </w:r>
      <w:r w:rsidRPr="00CA6151">
        <w:rPr>
          <w:rFonts w:asciiTheme="minorEastAsia" w:hAnsiTheme="minorEastAsia"/>
          <w:sz w:val="20"/>
          <w:szCs w:val="20"/>
          <w:vertAlign w:val="superscript"/>
        </w:rPr>
        <w:t>64</w:t>
      </w:r>
    </w:p>
    <w:p w14:paraId="0BA0F723" w14:textId="77777777" w:rsidR="00F41A41" w:rsidRPr="00666F00" w:rsidRDefault="00F41A41" w:rsidP="00F41A41">
      <w:pPr>
        <w:jc w:val="both"/>
        <w:rPr>
          <w:rFonts w:asciiTheme="minorEastAsia" w:hAnsiTheme="minorEastAsia"/>
          <w:sz w:val="20"/>
          <w:szCs w:val="20"/>
        </w:rPr>
      </w:pPr>
      <w:r w:rsidRPr="00666F00">
        <w:rPr>
          <w:rFonts w:asciiTheme="minorEastAsia" w:hAnsiTheme="minorEastAsia"/>
          <w:sz w:val="20"/>
          <w:szCs w:val="20"/>
        </w:rPr>
        <w:t>In reality, it's ambiguous where we should draw the line for what are medical problems or not. For an intoxicated patient brought to the ER for disruptive behavior, it's difficult to decide whether to restraint him/her under the diagnosis of acute alcohol intoxication or send to jail for minor offenses. Patients who have attempted suicide would also pose a dilemma. ER doctor might chemically or even physically restrain them to preserve their life. This decision follows from the reasoning that humans instinctively try to preserve their own lives, and deliberately harming themselves can only be understood as a sign of illness. However, if a patient is truly in a desperate situation and is rationally trying to end his/her life, it's questionable whether the restraint could be justified under the pretext of medical necessity.</w:t>
      </w:r>
      <w:r w:rsidRPr="00666F00">
        <w:rPr>
          <w:rFonts w:asciiTheme="minorEastAsia" w:hAnsiTheme="minorEastAsia"/>
          <w:sz w:val="20"/>
          <w:szCs w:val="20"/>
        </w:rPr>
        <w:fldChar w:fldCharType="begin">
          <w:fldData xml:space="preserve">PEVuZE5vdGU+PENpdGU+PEF1dGhvcj5QcmlkbW9yZTwvQXV0aG9yPjxZZWFyPjIwMTE8L1llYXI+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65</w:t>
      </w:r>
      <w:r w:rsidRPr="00666F00">
        <w:rPr>
          <w:rFonts w:asciiTheme="minorEastAsia" w:hAnsiTheme="minorEastAsia"/>
          <w:sz w:val="20"/>
          <w:szCs w:val="20"/>
        </w:rPr>
        <w:fldChar w:fldCharType="end"/>
      </w:r>
    </w:p>
    <w:p w14:paraId="3935B296" w14:textId="77777777" w:rsidR="00F41A41" w:rsidRDefault="00F41A41" w:rsidP="00F41A41">
      <w:pPr>
        <w:jc w:val="both"/>
        <w:rPr>
          <w:rFonts w:asciiTheme="minorEastAsia" w:hAnsiTheme="minorEastAsia"/>
          <w:sz w:val="20"/>
          <w:szCs w:val="20"/>
        </w:rPr>
      </w:pPr>
      <w:r w:rsidRPr="00CA6151">
        <w:rPr>
          <w:rFonts w:asciiTheme="minorEastAsia" w:hAnsiTheme="minorEastAsia"/>
          <w:sz w:val="20"/>
          <w:szCs w:val="20"/>
        </w:rPr>
        <w:t>현실적으로 무엇을 의학적 문제로 간주할 것인지에 대한 경계는 명확하지 않다. 예를 들어, 소란스러운 행동으로 응급실에 이송된 급성 알코올 중독 환자의 경우, 이를 급성 알코올 중독이라는 진단하에 구속하거나 진정해야 할지, 아니면 경미한 범법 행위로 간주하여 사법적 절차에 맡겨야 할지 판단하기가 쉽지 않다. 자살 시도를 한 환자 역시 유사한 딜레마를 제기한다. 응급의학과 의사는 생명을 보존하기 위해 화학적 또는 신체적 구속을 선택할 수 있는데, 이러한 결정은 인간은 본능적으로 자신의 생존을 추구하며, 스스로에게 해를 가하는 행위는 질병의 신호로 이해될 수 있다는 전제에 근거한다. 그러나 환자가 극도로 절박한 상황에 놓여 있으며, 자신의 생을 종결하려는 판단이 이성적 숙고의 결과라고 가정할 경우, 이러한 개입을 의학적 필요성이라는 명분으로 정당화할 수 있는지에 대해서는 여전히 논란의 여지가 있다.</w:t>
      </w:r>
    </w:p>
    <w:p w14:paraId="5C10F929" w14:textId="77777777" w:rsidR="00F41A41" w:rsidRDefault="00F41A41" w:rsidP="00F41A41">
      <w:pPr>
        <w:jc w:val="both"/>
        <w:rPr>
          <w:rFonts w:asciiTheme="minorEastAsia" w:hAnsiTheme="minorEastAsia"/>
          <w:sz w:val="20"/>
          <w:szCs w:val="20"/>
        </w:rPr>
      </w:pPr>
      <w:r w:rsidRPr="00666F00">
        <w:rPr>
          <w:rFonts w:asciiTheme="minorEastAsia" w:hAnsiTheme="minorEastAsia"/>
          <w:sz w:val="20"/>
          <w:szCs w:val="20"/>
        </w:rPr>
        <w:t>Setting aside these ambiguities, sociologists seem to criticize medicalization excessively, often aligning with those who view medicine as a tool for monopolizing knowledge. They argue that public health issues like obesity and diabetes, which disproportionately affect low-income groups, are more reflective of complications of capitalism than purely medical conditions.</w:t>
      </w:r>
      <w:r w:rsidRPr="00666F00">
        <w:rPr>
          <w:rFonts w:asciiTheme="minorEastAsia" w:hAnsiTheme="minorEastAsia"/>
          <w:sz w:val="20"/>
          <w:szCs w:val="20"/>
        </w:rPr>
        <w:fldChar w:fldCharType="begin">
          <w:fldData xml:space="preserve">PEVuZE5vdGU+PENpdGU+PEF1dGhvcj5MYW50ejwvQXV0aG9yPjxZZWFyPjIwMjM8L1llYXI+PFJl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66</w:t>
      </w:r>
      <w:r w:rsidRPr="00666F00">
        <w:rPr>
          <w:rFonts w:asciiTheme="minorEastAsia" w:hAnsiTheme="minorEastAsia"/>
          <w:sz w:val="20"/>
          <w:szCs w:val="20"/>
        </w:rPr>
        <w:fldChar w:fldCharType="end"/>
      </w:r>
      <w:r w:rsidRPr="00666F00">
        <w:rPr>
          <w:rFonts w:asciiTheme="minorEastAsia" w:hAnsiTheme="minorEastAsia"/>
          <w:sz w:val="20"/>
          <w:szCs w:val="20"/>
        </w:rPr>
        <w:t xml:space="preserve"> This perspective extends to mental health, where they contend that rising rates of depression, anxiety, and addiction </w:t>
      </w:r>
      <w:r w:rsidRPr="00666F00">
        <w:rPr>
          <w:rFonts w:asciiTheme="minorEastAsia" w:hAnsiTheme="minorEastAsia"/>
          <w:sz w:val="20"/>
          <w:szCs w:val="20"/>
        </w:rPr>
        <w:lastRenderedPageBreak/>
        <w:t>should be addressed as social issues rather than individual problems treatable through psychiatric intervention.</w:t>
      </w:r>
      <w:r w:rsidRPr="00666F00">
        <w:rPr>
          <w:rFonts w:asciiTheme="minorEastAsia" w:hAnsiTheme="minorEastAsia"/>
          <w:sz w:val="20"/>
          <w:szCs w:val="20"/>
        </w:rPr>
        <w:fldChar w:fldCharType="begin">
          <w:fldData xml:space="preserve">PEVuZE5vdGU+PENpdGU+PEF1dGhvcj5DbGFyazwvQXV0aG9yPjxZZWFyPjIwMTQ8L1llYXI+PFJl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67,68</w:t>
      </w:r>
      <w:r w:rsidRPr="00666F00">
        <w:rPr>
          <w:rFonts w:asciiTheme="minorEastAsia" w:hAnsiTheme="minorEastAsia"/>
          <w:sz w:val="20"/>
          <w:szCs w:val="20"/>
        </w:rPr>
        <w:fldChar w:fldCharType="end"/>
      </w:r>
    </w:p>
    <w:p w14:paraId="12337D7A" w14:textId="77777777" w:rsidR="00F41A41" w:rsidRPr="00F41A41" w:rsidRDefault="00F41A41" w:rsidP="00F41A41">
      <w:pPr>
        <w:jc w:val="both"/>
        <w:rPr>
          <w:rFonts w:asciiTheme="minorEastAsia" w:hAnsiTheme="minorEastAsia"/>
          <w:sz w:val="20"/>
          <w:szCs w:val="20"/>
        </w:rPr>
      </w:pPr>
      <w:r w:rsidRPr="00CA6151">
        <w:rPr>
          <w:rFonts w:asciiTheme="minorEastAsia" w:hAnsiTheme="minorEastAsia"/>
          <w:sz w:val="20"/>
          <w:szCs w:val="20"/>
        </w:rPr>
        <w:t xml:space="preserve">이러한 모호성을 일단 제쳐두더라도, 사회학자들은 의료화를 과도하게 비판하는 경향을 보이며, 종종 의학을 지식 독점의 도구로 간주하는 시각과 궤를 같이한다. 이들은 저소득층에서 불균형적으로 많이 발생하는 비만이나 당뇨병과 같은 공중보건 문제를 순수한 의학적 질환이라기보다는 자본주의 체제가 초래한 구조적 문제의 결과로 해석한다. </w:t>
      </w:r>
      <w:r w:rsidRPr="00666F00">
        <w:rPr>
          <w:rFonts w:asciiTheme="minorEastAsia" w:hAnsiTheme="minorEastAsia"/>
          <w:sz w:val="20"/>
          <w:szCs w:val="20"/>
        </w:rPr>
        <w:fldChar w:fldCharType="begin">
          <w:fldData xml:space="preserve">PEVuZE5vdGU+PENpdGU+PEF1dGhvcj5MYW50ejwvQXV0aG9yPjxZZWFyPjIwMjM8L1llYXI+PFJl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66</w:t>
      </w:r>
      <w:r w:rsidRPr="00666F00">
        <w:rPr>
          <w:rFonts w:asciiTheme="minorEastAsia" w:hAnsiTheme="minorEastAsia"/>
          <w:sz w:val="20"/>
          <w:szCs w:val="20"/>
        </w:rPr>
        <w:fldChar w:fldCharType="end"/>
      </w:r>
      <w:r w:rsidRPr="00CA6151">
        <w:rPr>
          <w:rFonts w:asciiTheme="minorEastAsia" w:hAnsiTheme="minorEastAsia"/>
          <w:sz w:val="20"/>
          <w:szCs w:val="20"/>
        </w:rPr>
        <w:t xml:space="preserve"> 이러한 관점은 정신건강 영역으로도 확장되어, 우울증, 불안, 중독의 증가 역시 정신과적 개입으로 치료해야 할 개인의 문제라기보다 사회적 차원에서 다루어져야 할 문제라고 주장한다.</w:t>
      </w:r>
      <w:r w:rsidRPr="00CA6151">
        <w:rPr>
          <w:rFonts w:asciiTheme="minorEastAsia" w:hAnsiTheme="minorEastAsia" w:cs="Courier New"/>
          <w:noProof/>
          <w:sz w:val="20"/>
          <w:szCs w:val="20"/>
          <w:vertAlign w:val="superscript"/>
        </w:rPr>
        <w:t xml:space="preserve"> </w:t>
      </w:r>
      <w:r>
        <w:rPr>
          <w:rFonts w:asciiTheme="minorEastAsia" w:hAnsiTheme="minorEastAsia" w:cs="Courier New"/>
          <w:noProof/>
          <w:sz w:val="20"/>
          <w:szCs w:val="20"/>
          <w:vertAlign w:val="superscript"/>
        </w:rPr>
        <w:t xml:space="preserve">67, </w:t>
      </w:r>
      <w:r w:rsidRPr="00666F00">
        <w:rPr>
          <w:rFonts w:asciiTheme="minorEastAsia" w:hAnsiTheme="minorEastAsia" w:cs="Courier New"/>
          <w:noProof/>
          <w:sz w:val="20"/>
          <w:szCs w:val="20"/>
          <w:vertAlign w:val="superscript"/>
        </w:rPr>
        <w:t>68</w:t>
      </w:r>
    </w:p>
    <w:p w14:paraId="5C617428" w14:textId="77777777" w:rsidR="0022682F" w:rsidRPr="00F41A41" w:rsidRDefault="0022682F" w:rsidP="00C87CE5">
      <w:pPr>
        <w:spacing w:before="100" w:beforeAutospacing="1" w:after="100" w:afterAutospacing="1" w:line="240" w:lineRule="auto"/>
        <w:jc w:val="both"/>
        <w:rPr>
          <w:rFonts w:asciiTheme="minorEastAsia" w:hAnsiTheme="minorEastAsia" w:cs="Batang"/>
          <w:color w:val="000000" w:themeColor="text1"/>
          <w:kern w:val="0"/>
          <w:sz w:val="20"/>
          <w:szCs w:val="20"/>
          <w14:ligatures w14:val="none"/>
        </w:rPr>
      </w:pPr>
      <w:r w:rsidRPr="00F41A41">
        <w:rPr>
          <w:rFonts w:asciiTheme="minorEastAsia" w:hAnsiTheme="minorEastAsia" w:cs="Batang"/>
          <w:color w:val="000000" w:themeColor="text1"/>
          <w:kern w:val="0"/>
          <w:sz w:val="20"/>
          <w:szCs w:val="20"/>
          <w14:ligatures w14:val="none"/>
        </w:rPr>
        <w:t xml:space="preserve">3-2-2. </w:t>
      </w:r>
      <w:r w:rsidRPr="00F41A41">
        <w:rPr>
          <w:rFonts w:asciiTheme="minorEastAsia" w:hAnsiTheme="minorEastAsia" w:cs="Batang" w:hint="eastAsia"/>
          <w:color w:val="000000" w:themeColor="text1"/>
          <w:kern w:val="0"/>
          <w:sz w:val="20"/>
          <w:szCs w:val="20"/>
          <w14:ligatures w14:val="none"/>
        </w:rPr>
        <w:t>정신과 윤리에서의 절대주의</w:t>
      </w:r>
      <w:r w:rsidRPr="00F41A41">
        <w:rPr>
          <w:rFonts w:asciiTheme="minorEastAsia" w:hAnsiTheme="minorEastAsia" w:cs="Batang"/>
          <w:color w:val="000000" w:themeColor="text1"/>
          <w:kern w:val="0"/>
          <w:sz w:val="20"/>
          <w:szCs w:val="20"/>
          <w14:ligatures w14:val="none"/>
        </w:rPr>
        <w:t xml:space="preserve"> Absolutism in psychiatry ethics</w:t>
      </w:r>
    </w:p>
    <w:p w14:paraId="21B1FD46"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Moral absolutism holds that most, if not all, actions are inherently right or wrong, regardless of context or consequence. It also asserts that moral principles are universally applicable and inviolable. This concept gained influence through Kant's categorical imperative and has helped uphold universal moral values despite cultural difference. However, principles often clash with the nuances of specific situations, and there's no clear guideline on how flexibly these principles can be applied.</w:t>
      </w:r>
      <w:r w:rsidRPr="00F41A41">
        <w:rPr>
          <w:rFonts w:ascii="Malgun Gothic" w:eastAsia="Malgun Gothic" w:hAnsi="Malgun Gothic" w:cs="Times New Roman"/>
          <w:sz w:val="20"/>
          <w:szCs w:val="20"/>
        </w:rPr>
        <w:fldChar w:fldCharType="begin">
          <w:fldData xml:space="preserve">PEVuZE5vdGU+PENpdGU+PEF1dGhvcj5DYXJzb248L0F1dGhvcj48WWVhcj4yMDA5PC9ZZWFyPjxS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69,70</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An absolutist approach, exemplified by the CRPD in A/HRC/35/21, considers any decision violating these principles as unethical, allowing no exceptions. In contrast, a relativist or pragmatist approach focuses on applying principles to real-world scenarios, rather than insisting on their literal application in every instance.</w:t>
      </w:r>
    </w:p>
    <w:p w14:paraId="444E18A2"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 xml:space="preserve">도덕적 절대주의(moral absolutism)는 대부분의 행위가 맥락이나 결과와 무관하게 본질적으로 옳거나 그르다고 규정될 수 있다고 본다. 또한 도덕 원칙은 보편적으로 적용 가능하며 침해될 수 없는 것이라고 주장한다. 이러한 개념은 칸트의 정언명령을 통해 영향력을 얻게 되었으며, 문화적 차이에도 불구하고 보편적 도덕 가치를 유지하는 데 기여해 왔다. 그러나 이러한 원칙들은 개별 상황이 지니는 미묘한 맥락과 충돌하는 경우가 적지 않으며, 실제 상황에서 원칙을 어느 정도까지 유연하게 적용할 수 있는지에 대해서는 명확한 기준이 존재하지 않는다. </w:t>
      </w:r>
      <w:r w:rsidRPr="00F41A41">
        <w:rPr>
          <w:rFonts w:ascii="Malgun Gothic" w:eastAsia="Malgun Gothic" w:hAnsi="Malgun Gothic" w:cs="Times New Roman"/>
          <w:sz w:val="20"/>
          <w:szCs w:val="20"/>
        </w:rPr>
        <w:fldChar w:fldCharType="begin">
          <w:fldData xml:space="preserve">PEVuZE5vdGU+PENpdGU+PEF1dGhvcj5DYXJzb248L0F1dGhvcj48WWVhcj4yMDA5PC9ZZWFyPjxS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</w:fldData>
        </w:fldChar>
      </w:r>
      <w:r w:rsidRPr="00F41A41">
        <w:rPr>
          <w:rFonts w:ascii="Malgun Gothic" w:eastAsia="Malgun Gothic" w:hAnsi="Malgun Gothic" w:cs="Times New Roman"/>
          <w:sz w:val="20"/>
          <w:szCs w:val="20"/>
        </w:rPr>
        <w:instrText xml:space="preserve"> ADDIN EN.JS.CITE </w:instrText>
      </w:r>
      <w:r w:rsidRPr="00F41A41">
        <w:rPr>
          <w:rFonts w:ascii="Malgun Gothic" w:eastAsia="Malgun Gothic" w:hAnsi="Malgun Gothic" w:cs="Times New Roman"/>
          <w:sz w:val="20"/>
          <w:szCs w:val="20"/>
        </w:rPr>
      </w:r>
      <w:r w:rsidRPr="00F41A41">
        <w:rPr>
          <w:rFonts w:ascii="Malgun Gothic" w:eastAsia="Malgun Gothic" w:hAnsi="Malgun Gothic" w:cs="Times New Roman"/>
          <w:sz w:val="20"/>
          <w:szCs w:val="20"/>
        </w:rPr>
        <w:fldChar w:fldCharType="separate"/>
      </w:r>
      <w:r w:rsidRPr="00F41A41">
        <w:rPr>
          <w:rFonts w:ascii="Malgun Gothic" w:eastAsia="Malgun Gothic" w:hAnsi="Malgun Gothic" w:cs="Courier New"/>
          <w:noProof/>
          <w:sz w:val="20"/>
          <w:szCs w:val="20"/>
          <w:vertAlign w:val="superscript"/>
        </w:rPr>
        <w:t>69,70</w:t>
      </w:r>
      <w:r w:rsidRPr="00F41A41">
        <w:rPr>
          <w:rFonts w:ascii="Malgun Gothic" w:eastAsia="Malgun Gothic" w:hAnsi="Malgun Gothic" w:cs="Times New Roman"/>
          <w:sz w:val="20"/>
          <w:szCs w:val="20"/>
        </w:rPr>
        <w:fldChar w:fldCharType="end"/>
      </w:r>
      <w:r w:rsidRPr="00F41A41">
        <w:rPr>
          <w:rFonts w:ascii="Malgun Gothic" w:eastAsia="Malgun Gothic" w:hAnsi="Malgun Gothic" w:cs="Times New Roman"/>
          <w:sz w:val="20"/>
          <w:szCs w:val="20"/>
        </w:rPr>
        <w:t xml:space="preserve"> A/HRC/35/21에 반영된 CRPD의 입장과 같이 절대주의적 접근은 이러한 원칙을 위반하는 모든 결정을 예외 없이 비윤리적인 것으로 간주한다. 이에 비해 상대주의적 또는 실용주의적 접근은 원칙을 모든 상황에 문자 그대로 적용하는 데 집착하기보다는, 현실 세계의 구체적 맥락 속에서 원칙을 어떻게 적용할 것인가에 초점을 둔다.</w:t>
      </w:r>
    </w:p>
    <w:p w14:paraId="0313CD28"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t>Healthcare providers working in the field often regard ethical principles as ideal goals to strive for. They acknowledging that, in practice, various aspects must be weighed and balanced to maximize overall benefit. In contrast, moral absolutists argue that principles should be adhered to under all circumstances. Therefore, the rationale behind these firm stances warrants careful examination.</w:t>
      </w:r>
    </w:p>
    <w:p w14:paraId="29B223E4" w14:textId="77777777" w:rsidR="00F41A41" w:rsidRPr="00F41A41" w:rsidRDefault="00F41A41" w:rsidP="00F41A41">
      <w:pPr>
        <w:jc w:val="both"/>
        <w:rPr>
          <w:rFonts w:ascii="Malgun Gothic" w:eastAsia="Malgun Gothic" w:hAnsi="Malgun Gothic" w:cs="Times New Roman"/>
          <w:sz w:val="20"/>
          <w:szCs w:val="20"/>
        </w:rPr>
      </w:pPr>
      <w:r w:rsidRPr="00F41A41">
        <w:rPr>
          <w:rFonts w:ascii="Malgun Gothic" w:eastAsia="Malgun Gothic" w:hAnsi="Malgun Gothic" w:cs="Times New Roman"/>
          <w:sz w:val="20"/>
          <w:szCs w:val="20"/>
        </w:rPr>
        <w:lastRenderedPageBreak/>
        <w:t>임상 현장에서 일하는 의료진은 윤리적 원칙을 지향해야 할 이상적인 목표로 인식하는 경우가 많다. 이들은 실제 진료 상황에서는 전체적인 이익을 극대화하기 위해 다양한 요소들을 종합적으로 고려하고 균형을 맞출 필요가 있음을 인정한다. 반면, 도덕적 절대주의자들은 어떠한 상황에서도 원칙은 예외 없이 준수되어야 한다고 주장한다. 따라서 이러한 확고한 입장의 배경과 논리는 신중한 검토의 대상이 된다.</w:t>
      </w:r>
    </w:p>
    <w:p w14:paraId="3217A9B0" w14:textId="77777777" w:rsidR="00422E3C" w:rsidRPr="00422E3C" w:rsidRDefault="009A22C2" w:rsidP="00F41A41">
      <w:pPr>
        <w:jc w:val="both"/>
        <w:rPr>
          <w:rFonts w:asciiTheme="minorEastAsia" w:hAnsiTheme="minorEastAsia" w:cs="Batang"/>
          <w:b/>
          <w:bCs/>
          <w:color w:val="000000" w:themeColor="text1"/>
          <w:kern w:val="0"/>
          <w:sz w:val="20"/>
          <w:szCs w:val="20"/>
          <w14:ligatures w14:val="none"/>
        </w:rPr>
      </w:pPr>
      <w:r w:rsidRPr="00422E3C">
        <w:rPr>
          <w:rFonts w:asciiTheme="minorEastAsia" w:hAnsiTheme="minorEastAsia" w:cs="Batang" w:hint="eastAsia"/>
          <w:b/>
          <w:bCs/>
          <w:color w:val="000000" w:themeColor="text1"/>
          <w:kern w:val="0"/>
          <w:sz w:val="20"/>
          <w:szCs w:val="20"/>
          <w14:ligatures w14:val="none"/>
        </w:rPr>
        <w:t>보편적 이상(Universal Ideals):</w:t>
      </w:r>
      <w:r w:rsidR="00F41A41" w:rsidRPr="00422E3C">
        <w:rPr>
          <w:rFonts w:asciiTheme="minorEastAsia" w:hAnsiTheme="minorEastAsia" w:cs="Batang"/>
          <w:b/>
          <w:bCs/>
          <w:color w:val="000000" w:themeColor="text1"/>
          <w:kern w:val="0"/>
          <w:sz w:val="20"/>
          <w:szCs w:val="20"/>
          <w14:ligatures w14:val="none"/>
        </w:rPr>
        <w:t xml:space="preserve"> </w:t>
      </w:r>
    </w:p>
    <w:p w14:paraId="50D596D5" w14:textId="77777777" w:rsidR="00F41A41" w:rsidRDefault="00F41A41" w:rsidP="00F41A41">
      <w:pPr>
        <w:jc w:val="both"/>
        <w:rPr>
          <w:rFonts w:asciiTheme="minorEastAsia" w:hAnsiTheme="minorEastAsia"/>
          <w:sz w:val="20"/>
          <w:szCs w:val="20"/>
        </w:rPr>
      </w:pPr>
      <w:r w:rsidRPr="00666F00">
        <w:rPr>
          <w:rFonts w:asciiTheme="minorEastAsia" w:hAnsiTheme="minorEastAsia"/>
          <w:sz w:val="20"/>
          <w:szCs w:val="20"/>
        </w:rPr>
        <w:t>Absolutists want to create consistent standards that transcend specific contexts and temporal changes. This approach aims to foster a shared understanding of morality that can be universally applied across diverse situations</w:t>
      </w:r>
      <w:bookmarkStart w:id="0" w:name="OLE_LINK15"/>
      <w:r w:rsidRPr="00666F00">
        <w:rPr>
          <w:rFonts w:asciiTheme="minorEastAsia" w:hAnsiTheme="minorEastAsia"/>
          <w:sz w:val="20"/>
          <w:szCs w:val="20"/>
        </w:rPr>
        <w:t>.</w:t>
      </w:r>
      <w:bookmarkEnd w:id="0"/>
      <w:r w:rsidRPr="00666F00">
        <w:rPr>
          <w:rFonts w:asciiTheme="minorEastAsia" w:hAnsiTheme="minorEastAsia"/>
          <w:sz w:val="20"/>
          <w:szCs w:val="20"/>
        </w:rPr>
        <w:fldChar w:fldCharType="begin">
          <w:fldData xml:space="preserve">PEVuZE5vdGU+PENpdGU+PEF1dGhvcj5CZWF1Y2hhbXA8L0F1dGhvcj48WWVhcj4xOTc5PC9ZZWFy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71</w:t>
      </w:r>
      <w:r w:rsidRPr="00666F00">
        <w:rPr>
          <w:rFonts w:asciiTheme="minorEastAsia" w:hAnsiTheme="minorEastAsia"/>
          <w:sz w:val="20"/>
          <w:szCs w:val="20"/>
        </w:rPr>
        <w:fldChar w:fldCharType="end"/>
      </w:r>
    </w:p>
    <w:p w14:paraId="2D0857AD" w14:textId="77777777" w:rsidR="0022682F" w:rsidRPr="00422E3C" w:rsidRDefault="00422E3C" w:rsidP="00422E3C">
      <w:pPr>
        <w:jc w:val="both"/>
        <w:rPr>
          <w:rFonts w:asciiTheme="minorEastAsia" w:hAnsiTheme="minorEastAsia"/>
          <w:sz w:val="20"/>
          <w:szCs w:val="20"/>
        </w:rPr>
      </w:pPr>
      <w:r w:rsidRPr="0062390C">
        <w:rPr>
          <w:rFonts w:asciiTheme="minorEastAsia" w:hAnsiTheme="minorEastAsia" w:hint="eastAsia"/>
          <w:sz w:val="20"/>
          <w:szCs w:val="20"/>
        </w:rPr>
        <w:t>절대주의자들은 특정한 맥락이나 시간적 변화에 좌우되지 않는 일관된 기준을 확립하고자 한다. 이러한 접근은 다양한 상황 전반에 걸쳐 보편적으로 적용될 수 있는 도덕에 대한 공유된 이해를 형성하는 것을 목표로 한다</w:t>
      </w:r>
      <w:r w:rsidRPr="0062390C">
        <w:rPr>
          <w:rFonts w:asciiTheme="minorEastAsia" w:hAnsiTheme="minorEastAsia" w:hint="eastAsia"/>
          <w:sz w:val="20"/>
          <w:szCs w:val="20"/>
          <w:vertAlign w:val="superscript"/>
        </w:rPr>
        <w:t>.</w:t>
      </w:r>
      <w:r w:rsidRPr="0062390C">
        <w:rPr>
          <w:rFonts w:asciiTheme="minorEastAsia" w:hAnsiTheme="minorEastAsia"/>
          <w:sz w:val="20"/>
          <w:szCs w:val="20"/>
          <w:vertAlign w:val="superscript"/>
        </w:rPr>
        <w:t>71</w:t>
      </w:r>
    </w:p>
    <w:p w14:paraId="341849B6" w14:textId="77777777" w:rsidR="00422E3C" w:rsidRPr="00422E3C" w:rsidRDefault="00422E3C" w:rsidP="00422E3C">
      <w:pPr>
        <w:jc w:val="both"/>
        <w:rPr>
          <w:rFonts w:ascii="Malgun Gothic" w:eastAsia="Malgun Gothic" w:hAnsi="Malgun Gothic" w:cs="Times New Roman"/>
          <w:b/>
          <w:bCs/>
          <w:sz w:val="20"/>
          <w:szCs w:val="20"/>
        </w:rPr>
      </w:pPr>
      <w:r w:rsidRPr="00422E3C">
        <w:rPr>
          <w:rFonts w:ascii="Malgun Gothic" w:eastAsia="Malgun Gothic" w:hAnsi="Malgun Gothic" w:cs="Times New Roman" w:hint="eastAsia"/>
          <w:b/>
          <w:bCs/>
          <w:sz w:val="20"/>
          <w:szCs w:val="20"/>
        </w:rPr>
        <w:t>규범적 기준(Normative standards):</w:t>
      </w:r>
    </w:p>
    <w:p w14:paraId="22D097FF" w14:textId="77777777" w:rsidR="00422E3C" w:rsidRPr="00422E3C" w:rsidRDefault="00422E3C" w:rsidP="00422E3C">
      <w:pPr>
        <w:jc w:val="both"/>
        <w:rPr>
          <w:rFonts w:asciiTheme="minorEastAsia" w:hAnsiTheme="minorEastAsia"/>
          <w:sz w:val="20"/>
          <w:szCs w:val="20"/>
        </w:rPr>
      </w:pPr>
      <w:r w:rsidRPr="00666F00">
        <w:rPr>
          <w:rFonts w:asciiTheme="minorEastAsia" w:hAnsiTheme="minorEastAsia"/>
          <w:sz w:val="20"/>
          <w:szCs w:val="20"/>
        </w:rPr>
        <w:t>Ethical principles set standards that can serve as benchmarks for evaluating ethical decisions and guide future practices. Abandoning these principles as mere ideal could lead to a “slippery slope”, where practical necessities justify morally questionable actions.</w:t>
      </w:r>
      <w:r w:rsidRPr="00666F00">
        <w:rPr>
          <w:rFonts w:asciiTheme="minorEastAsia" w:hAnsiTheme="minorEastAsia"/>
          <w:sz w:val="20"/>
          <w:szCs w:val="20"/>
        </w:rPr>
        <w:fldChar w:fldCharType="begin">
          <w:fldData xml:space="preserve">PEVuZE5vdGU+PENpdGU+PEF1dGhvcj5GaW5lZ2FuPC9BdXRob3I+PFllYXI+MjAyNDwvWWVhcj48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</w:fldData>
        </w:fldChar>
      </w:r>
      <w:r w:rsidRPr="00666F00">
        <w:rPr>
          <w:rFonts w:asciiTheme="minorEastAsia" w:hAnsiTheme="minorEastAsia"/>
          <w:sz w:val="20"/>
          <w:szCs w:val="20"/>
        </w:rPr>
        <w:instrText xml:space="preserve"> ADDIN EN.JS.CITE </w:instrText>
      </w:r>
      <w:r w:rsidRPr="00666F00">
        <w:rPr>
          <w:rFonts w:asciiTheme="minorEastAsia" w:hAnsiTheme="minorEastAsia"/>
          <w:sz w:val="20"/>
          <w:szCs w:val="20"/>
        </w:rPr>
      </w:r>
      <w:r w:rsidRPr="00666F00">
        <w:rPr>
          <w:rFonts w:asciiTheme="minorEastAsia" w:hAnsiTheme="minorEastAsia"/>
          <w:sz w:val="20"/>
          <w:szCs w:val="20"/>
        </w:rPr>
        <w:fldChar w:fldCharType="separate"/>
      </w:r>
      <w:r w:rsidRPr="00666F00">
        <w:rPr>
          <w:rFonts w:asciiTheme="minorEastAsia" w:hAnsiTheme="minorEastAsia" w:cs="Courier New"/>
          <w:noProof/>
          <w:sz w:val="20"/>
          <w:szCs w:val="20"/>
          <w:vertAlign w:val="superscript"/>
        </w:rPr>
        <w:t>72</w:t>
      </w:r>
      <w:r w:rsidRPr="00666F00">
        <w:rPr>
          <w:rFonts w:asciiTheme="minorEastAsia" w:hAnsiTheme="minorEastAsia"/>
          <w:sz w:val="20"/>
          <w:szCs w:val="20"/>
        </w:rPr>
        <w:fldChar w:fldCharType="end"/>
      </w:r>
    </w:p>
    <w:p w14:paraId="3763D30D"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hint="eastAsia"/>
          <w:sz w:val="20"/>
          <w:szCs w:val="20"/>
        </w:rPr>
        <w:t>윤리적 원칙은 윤리적 의사결정을 평가하기 위한 준거점(benchmark)으로 기능하며, 향후 실천을 안내하는 기준을 제공한다. 이러한 원칙을 단순한 이상(ideal)에 불과한 것으로 폐기할 경우, 현실적 필요성이 도덕적으로 문제의 소지가 있는 행위를 정당화하는 이른바 ‘미끄러운 경사(slippery slope)’로 이어질 위험이 있다.</w:t>
      </w:r>
      <w:r w:rsidRPr="00422E3C">
        <w:rPr>
          <w:rFonts w:ascii="Malgun Gothic" w:eastAsia="Malgun Gothic" w:hAnsi="Malgun Gothic" w:cs="Times New Roman"/>
          <w:sz w:val="20"/>
          <w:szCs w:val="20"/>
        </w:rPr>
        <w:t xml:space="preserve"> </w:t>
      </w:r>
      <w:r w:rsidRPr="00422E3C">
        <w:rPr>
          <w:rFonts w:ascii="Malgun Gothic" w:eastAsia="Malgun Gothic" w:hAnsi="Malgun Gothic" w:cs="Times New Roman"/>
          <w:sz w:val="20"/>
          <w:szCs w:val="20"/>
        </w:rPr>
        <w:fldChar w:fldCharType="begin">
          <w:fldData xml:space="preserve">PEVuZE5vdGU+PENpdGU+PEF1dGhvcj5GaW5lZ2FuPC9BdXRob3I+PFllYXI+MjAyNDwvWWVhcj48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</w:fldData>
        </w:fldChar>
      </w:r>
      <w:r w:rsidRPr="00422E3C">
        <w:rPr>
          <w:rFonts w:ascii="Malgun Gothic" w:eastAsia="Malgun Gothic" w:hAnsi="Malgun Gothic" w:cs="Times New Roman"/>
          <w:sz w:val="20"/>
          <w:szCs w:val="20"/>
        </w:rPr>
        <w:instrText xml:space="preserve"> ADDIN EN.JS.CITE </w:instrText>
      </w:r>
      <w:r w:rsidRPr="00422E3C">
        <w:rPr>
          <w:rFonts w:ascii="Malgun Gothic" w:eastAsia="Malgun Gothic" w:hAnsi="Malgun Gothic" w:cs="Times New Roman"/>
          <w:sz w:val="20"/>
          <w:szCs w:val="20"/>
        </w:rPr>
      </w:r>
      <w:r w:rsidRPr="00422E3C">
        <w:rPr>
          <w:rFonts w:ascii="Malgun Gothic" w:eastAsia="Malgun Gothic" w:hAnsi="Malgun Gothic" w:cs="Times New Roman"/>
          <w:sz w:val="20"/>
          <w:szCs w:val="20"/>
        </w:rPr>
        <w:fldChar w:fldCharType="separate"/>
      </w:r>
      <w:r w:rsidRPr="00422E3C">
        <w:rPr>
          <w:rFonts w:ascii="Malgun Gothic" w:eastAsia="Malgun Gothic" w:hAnsi="Malgun Gothic" w:cs="Courier New"/>
          <w:noProof/>
          <w:sz w:val="20"/>
          <w:szCs w:val="20"/>
          <w:vertAlign w:val="superscript"/>
        </w:rPr>
        <w:t>72</w:t>
      </w:r>
      <w:r w:rsidRPr="00422E3C">
        <w:rPr>
          <w:rFonts w:ascii="Malgun Gothic" w:eastAsia="Malgun Gothic" w:hAnsi="Malgun Gothic" w:cs="Times New Roman"/>
          <w:sz w:val="20"/>
          <w:szCs w:val="20"/>
        </w:rPr>
        <w:fldChar w:fldCharType="end"/>
      </w:r>
    </w:p>
    <w:p w14:paraId="0BA46328" w14:textId="77777777" w:rsidR="00422E3C" w:rsidRDefault="00422E3C" w:rsidP="00422E3C">
      <w:pPr>
        <w:jc w:val="both"/>
        <w:rPr>
          <w:rFonts w:asciiTheme="minorEastAsia" w:hAnsiTheme="minorEastAsia"/>
          <w:b/>
          <w:bCs/>
          <w:sz w:val="20"/>
          <w:szCs w:val="20"/>
        </w:rPr>
      </w:pPr>
      <w:r w:rsidRPr="0062390C">
        <w:rPr>
          <w:rFonts w:asciiTheme="minorEastAsia" w:hAnsiTheme="minorEastAsia" w:hint="eastAsia"/>
          <w:b/>
          <w:bCs/>
          <w:sz w:val="20"/>
          <w:szCs w:val="20"/>
        </w:rPr>
        <w:t>불가침적 인권(Inviolable human rights):</w:t>
      </w:r>
      <w:r>
        <w:rPr>
          <w:rFonts w:asciiTheme="minorEastAsia" w:hAnsiTheme="minorEastAsia"/>
          <w:b/>
          <w:bCs/>
          <w:sz w:val="20"/>
          <w:szCs w:val="20"/>
        </w:rPr>
        <w:t xml:space="preserve"> </w:t>
      </w:r>
    </w:p>
    <w:p w14:paraId="3C7CA94F"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sz w:val="20"/>
          <w:szCs w:val="20"/>
        </w:rPr>
        <w:t>Absolutists worry that if these principles are compromised in “exceptional” cases, it could engender a culture where patient rights are disregarded more broadly. Upholding ideal ethical standards can function as a protective measure against inviolable human rights.</w:t>
      </w:r>
    </w:p>
    <w:p w14:paraId="157802E2"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hint="eastAsia"/>
          <w:sz w:val="20"/>
          <w:szCs w:val="20"/>
        </w:rPr>
        <w:t>절대주의자들은 이러한 원칙이 ‘예외적’ 상황에서라도 훼손될 경우, 환자의 권리가 보다 광범위하게 경시되는 문화가 형성될 수 있음을 우려한다. 따라서 이상적 윤리 기준을 유지하는 것은 불가침적인 인권을 보호하기 위한 안전장치로 기능할 수 있다.</w:t>
      </w:r>
    </w:p>
    <w:p w14:paraId="38136102" w14:textId="77777777" w:rsid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b/>
          <w:bCs/>
          <w:sz w:val="20"/>
          <w:szCs w:val="20"/>
        </w:rPr>
        <w:t>교육적·사회적 기능(Educational and Social Functions)</w:t>
      </w:r>
      <w:r w:rsidRPr="00422E3C">
        <w:rPr>
          <w:rFonts w:ascii="Malgun Gothic" w:eastAsia="Malgun Gothic" w:hAnsi="Malgun Gothic" w:cs="Times New Roman"/>
          <w:sz w:val="20"/>
          <w:szCs w:val="20"/>
        </w:rPr>
        <w:t xml:space="preserve">: </w:t>
      </w:r>
    </w:p>
    <w:p w14:paraId="5A7D5973"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sz w:val="20"/>
          <w:szCs w:val="20"/>
        </w:rPr>
        <w:t xml:space="preserve">Even though ethical principles may seem detached from real-world complexities, they play an essential role in shaping social attitudes and policies. Adhering to principles and repeatedly </w:t>
      </w:r>
      <w:r w:rsidRPr="00422E3C">
        <w:rPr>
          <w:rFonts w:ascii="Malgun Gothic" w:eastAsia="Malgun Gothic" w:hAnsi="Malgun Gothic" w:cs="Times New Roman"/>
          <w:sz w:val="20"/>
          <w:szCs w:val="20"/>
        </w:rPr>
        <w:lastRenderedPageBreak/>
        <w:t xml:space="preserve">educating about them is crucial for instilling values in future professionals and policymakers, who may then be better prepared to grapple with moral dilemmas. </w:t>
      </w:r>
    </w:p>
    <w:p w14:paraId="15DD74CF"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sz w:val="20"/>
          <w:szCs w:val="20"/>
        </w:rPr>
        <w:t>윤리적 원칙은 현실 세계의 복잡성과 다소 동떨어져 보일 수 있으나, 사회적 태도와 정책을 형성하는 데 필수적인 역할을 한다. 이러한 원칙을 준수하고 반복적으로 교육하는 과정은, 향후 전문가와 정책결정자들이 가치관을 내면화하고 도덕적 딜레마에 보다 잘 대응할 수 있도록 준비시키는 데 중요하다.</w:t>
      </w:r>
    </w:p>
    <w:p w14:paraId="6BD6EF7B"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sz w:val="20"/>
          <w:szCs w:val="20"/>
        </w:rPr>
        <w:t>Moral absolutism, which insists on unwavering adherence to ethical principles, often faces criticism for its impracticality. This resistance is particularly evident in Anglo-American traditions, which tend to favor consequentialism and utilitarianism. Contemporary bioethics has largely embraced principlism—a theory that bases moral evaluations on prima facie (non-absolute) principles.</w:t>
      </w:r>
      <w:r w:rsidRPr="00422E3C">
        <w:rPr>
          <w:rFonts w:ascii="Malgun Gothic" w:eastAsia="Malgun Gothic" w:hAnsi="Malgun Gothic" w:cs="Times New Roman"/>
          <w:sz w:val="20"/>
          <w:szCs w:val="20"/>
        </w:rPr>
        <w:fldChar w:fldCharType="begin">
          <w:fldData xml:space="preserve">PEVuZE5vdGU+PENpdGU+PEF1dGhvcj5CZWF1Y2hhbXA8L0F1dGhvcj48WWVhcj4xOTc5PC9ZZWFy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</w:fldData>
        </w:fldChar>
      </w:r>
      <w:r w:rsidRPr="00422E3C">
        <w:rPr>
          <w:rFonts w:ascii="Malgun Gothic" w:eastAsia="Malgun Gothic" w:hAnsi="Malgun Gothic" w:cs="Times New Roman"/>
          <w:sz w:val="20"/>
          <w:szCs w:val="20"/>
        </w:rPr>
        <w:instrText xml:space="preserve"> ADDIN EN.JS.CITE </w:instrText>
      </w:r>
      <w:r w:rsidRPr="00422E3C">
        <w:rPr>
          <w:rFonts w:ascii="Malgun Gothic" w:eastAsia="Malgun Gothic" w:hAnsi="Malgun Gothic" w:cs="Times New Roman"/>
          <w:sz w:val="20"/>
          <w:szCs w:val="20"/>
        </w:rPr>
      </w:r>
      <w:r w:rsidRPr="00422E3C">
        <w:rPr>
          <w:rFonts w:ascii="Malgun Gothic" w:eastAsia="Malgun Gothic" w:hAnsi="Malgun Gothic" w:cs="Times New Roman"/>
          <w:sz w:val="20"/>
          <w:szCs w:val="20"/>
        </w:rPr>
        <w:fldChar w:fldCharType="separate"/>
      </w:r>
      <w:r w:rsidRPr="00422E3C">
        <w:rPr>
          <w:rFonts w:ascii="Malgun Gothic" w:eastAsia="Malgun Gothic" w:hAnsi="Malgun Gothic" w:cs="Courier New"/>
          <w:noProof/>
          <w:sz w:val="20"/>
          <w:szCs w:val="20"/>
          <w:vertAlign w:val="superscript"/>
        </w:rPr>
        <w:t>71</w:t>
      </w:r>
      <w:r w:rsidRPr="00422E3C">
        <w:rPr>
          <w:rFonts w:ascii="Malgun Gothic" w:eastAsia="Malgun Gothic" w:hAnsi="Malgun Gothic" w:cs="Times New Roman"/>
          <w:sz w:val="20"/>
          <w:szCs w:val="20"/>
        </w:rPr>
        <w:fldChar w:fldCharType="end"/>
      </w:r>
      <w:r w:rsidRPr="00422E3C">
        <w:rPr>
          <w:rFonts w:ascii="Malgun Gothic" w:eastAsia="Malgun Gothic" w:hAnsi="Malgun Gothic" w:cs="Times New Roman"/>
          <w:sz w:val="20"/>
          <w:szCs w:val="20"/>
        </w:rPr>
        <w:t xml:space="preserve"> This approach represents one step back from absolutism, acknowledging that while these principles are universal, they are not absolute. In real-world scenarios, certain principles may be overridden by more pressing ethical considerations. As a result, even if chemical restraint is administered without a patient's consent, it might not be considered unethical if the principles of beneficence and non-maleficence take precedence over autonomy and justice.</w:t>
      </w:r>
      <w:r w:rsidRPr="00422E3C">
        <w:rPr>
          <w:rFonts w:ascii="Malgun Gothic" w:eastAsia="Malgun Gothic" w:hAnsi="Malgun Gothic" w:cs="Times New Roman"/>
          <w:sz w:val="20"/>
          <w:szCs w:val="20"/>
        </w:rPr>
        <w:fldChar w:fldCharType="begin">
          <w:fldData xml:space="preserve">PEVuZE5vdGU+PENpdGU+PEF1dGhvcj5DaGllemU8L0F1dGhvcj48WWVhcj4yMDIxPC9ZZWFyPjxS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</w:fldData>
        </w:fldChar>
      </w:r>
      <w:r w:rsidRPr="00422E3C">
        <w:rPr>
          <w:rFonts w:ascii="Malgun Gothic" w:eastAsia="Malgun Gothic" w:hAnsi="Malgun Gothic" w:cs="Times New Roman"/>
          <w:sz w:val="20"/>
          <w:szCs w:val="20"/>
        </w:rPr>
        <w:instrText xml:space="preserve"> ADDIN EN.JS.CITE </w:instrText>
      </w:r>
      <w:r w:rsidRPr="00422E3C">
        <w:rPr>
          <w:rFonts w:ascii="Malgun Gothic" w:eastAsia="Malgun Gothic" w:hAnsi="Malgun Gothic" w:cs="Times New Roman"/>
          <w:sz w:val="20"/>
          <w:szCs w:val="20"/>
        </w:rPr>
      </w:r>
      <w:r w:rsidRPr="00422E3C">
        <w:rPr>
          <w:rFonts w:ascii="Malgun Gothic" w:eastAsia="Malgun Gothic" w:hAnsi="Malgun Gothic" w:cs="Times New Roman"/>
          <w:sz w:val="20"/>
          <w:szCs w:val="20"/>
        </w:rPr>
        <w:fldChar w:fldCharType="separate"/>
      </w:r>
      <w:r w:rsidRPr="00422E3C">
        <w:rPr>
          <w:rFonts w:ascii="Malgun Gothic" w:eastAsia="Malgun Gothic" w:hAnsi="Malgun Gothic" w:cs="Courier New"/>
          <w:noProof/>
          <w:sz w:val="20"/>
          <w:szCs w:val="20"/>
          <w:vertAlign w:val="superscript"/>
        </w:rPr>
        <w:t>17</w:t>
      </w:r>
      <w:r w:rsidRPr="00422E3C">
        <w:rPr>
          <w:rFonts w:ascii="Malgun Gothic" w:eastAsia="Malgun Gothic" w:hAnsi="Malgun Gothic" w:cs="Times New Roman"/>
          <w:sz w:val="20"/>
          <w:szCs w:val="20"/>
        </w:rPr>
        <w:fldChar w:fldCharType="end"/>
      </w:r>
      <w:r w:rsidRPr="00422E3C">
        <w:rPr>
          <w:rFonts w:ascii="Malgun Gothic" w:eastAsia="Malgun Gothic" w:hAnsi="Malgun Gothic" w:cs="Times New Roman"/>
          <w:sz w:val="20"/>
          <w:szCs w:val="20"/>
        </w:rPr>
        <w:t xml:space="preserve"> Nonetheless, human rights advocates keep enforcing moral absolutism through legal and institutional mechanisms. </w:t>
      </w:r>
    </w:p>
    <w:p w14:paraId="2FAE2A0F" w14:textId="77777777" w:rsidR="00422E3C" w:rsidRP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hint="eastAsia"/>
          <w:sz w:val="20"/>
          <w:szCs w:val="20"/>
        </w:rPr>
        <w:t xml:space="preserve">윤리 원칙에 대한 절대적 준수를 요구하는 도덕적 절대주의(moral absolutism)는 그 비현실성 때문에 종종 비판의 대상이 되어 왔다. 이러한 반발은 특히 결과주의와 공리주의를 선호하는 영미권 전통에서 두드러진다. 현대 생명윤리는 대체로 **원칙주의(principlism)**를 채택해 왔는데, 이는 도덕적 판단을 일견적(prima facie), 즉 절대적이지 않은 원칙들에 근거하는 이론이다. </w:t>
      </w:r>
      <w:r w:rsidRPr="00422E3C">
        <w:rPr>
          <w:rFonts w:ascii="Malgun Gothic" w:eastAsia="Malgun Gothic" w:hAnsi="Malgun Gothic" w:cs="Times New Roman"/>
          <w:sz w:val="20"/>
          <w:szCs w:val="20"/>
        </w:rPr>
        <w:fldChar w:fldCharType="begin">
          <w:fldData xml:space="preserve">PEVuZE5vdGU+PENpdGU+PEF1dGhvcj5CZWF1Y2hhbXA8L0F1dGhvcj48WWVhcj4xOTc5PC9ZZWFy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</w:fldData>
        </w:fldChar>
      </w:r>
      <w:r w:rsidRPr="00422E3C">
        <w:rPr>
          <w:rFonts w:ascii="Malgun Gothic" w:eastAsia="Malgun Gothic" w:hAnsi="Malgun Gothic" w:cs="Times New Roman"/>
          <w:sz w:val="20"/>
          <w:szCs w:val="20"/>
        </w:rPr>
        <w:instrText xml:space="preserve"> ADDIN EN.JS.CITE </w:instrText>
      </w:r>
      <w:r w:rsidRPr="00422E3C">
        <w:rPr>
          <w:rFonts w:ascii="Malgun Gothic" w:eastAsia="Malgun Gothic" w:hAnsi="Malgun Gothic" w:cs="Times New Roman"/>
          <w:sz w:val="20"/>
          <w:szCs w:val="20"/>
        </w:rPr>
      </w:r>
      <w:r w:rsidRPr="00422E3C">
        <w:rPr>
          <w:rFonts w:ascii="Malgun Gothic" w:eastAsia="Malgun Gothic" w:hAnsi="Malgun Gothic" w:cs="Times New Roman"/>
          <w:sz w:val="20"/>
          <w:szCs w:val="20"/>
        </w:rPr>
        <w:fldChar w:fldCharType="separate"/>
      </w:r>
      <w:r w:rsidRPr="00422E3C">
        <w:rPr>
          <w:rFonts w:ascii="Malgun Gothic" w:eastAsia="Malgun Gothic" w:hAnsi="Malgun Gothic" w:cs="Courier New"/>
          <w:noProof/>
          <w:sz w:val="20"/>
          <w:szCs w:val="20"/>
          <w:vertAlign w:val="superscript"/>
        </w:rPr>
        <w:t>71</w:t>
      </w:r>
      <w:r w:rsidRPr="00422E3C">
        <w:rPr>
          <w:rFonts w:ascii="Malgun Gothic" w:eastAsia="Malgun Gothic" w:hAnsi="Malgun Gothic" w:cs="Times New Roman"/>
          <w:sz w:val="20"/>
          <w:szCs w:val="20"/>
        </w:rPr>
        <w:fldChar w:fldCharType="end"/>
      </w:r>
      <w:r w:rsidRPr="00422E3C">
        <w:rPr>
          <w:rFonts w:ascii="Malgun Gothic" w:eastAsia="Malgun Gothic" w:hAnsi="Malgun Gothic" w:cs="Times New Roman"/>
          <w:sz w:val="20"/>
          <w:szCs w:val="20"/>
        </w:rPr>
        <w:t xml:space="preserve">  </w:t>
      </w:r>
      <w:r w:rsidRPr="00422E3C">
        <w:rPr>
          <w:rFonts w:ascii="Malgun Gothic" w:eastAsia="Malgun Gothic" w:hAnsi="Malgun Gothic" w:cs="Times New Roman" w:hint="eastAsia"/>
          <w:sz w:val="20"/>
          <w:szCs w:val="20"/>
        </w:rPr>
        <w:t>이러한 접근은 원칙들이 보편적일 수는 있으나 절대적인 것은 아니라는 점을 인정한다는 점에서, 절대주의로부터 한 걸음 물러선 입장을 반영한다.</w:t>
      </w:r>
    </w:p>
    <w:p w14:paraId="47905C56" w14:textId="77777777" w:rsidR="00422E3C" w:rsidRDefault="00422E3C" w:rsidP="00422E3C">
      <w:pPr>
        <w:jc w:val="both"/>
        <w:rPr>
          <w:rFonts w:ascii="Malgun Gothic" w:eastAsia="Malgun Gothic" w:hAnsi="Malgun Gothic" w:cs="Times New Roman"/>
          <w:sz w:val="20"/>
          <w:szCs w:val="20"/>
        </w:rPr>
      </w:pPr>
      <w:r w:rsidRPr="00422E3C">
        <w:rPr>
          <w:rFonts w:ascii="Malgun Gothic" w:eastAsia="Malgun Gothic" w:hAnsi="Malgun Gothic" w:cs="Times New Roman" w:hint="eastAsia"/>
          <w:sz w:val="20"/>
          <w:szCs w:val="20"/>
        </w:rPr>
        <w:t>현실의 임상 상황에서는 특정 원칙이 더 시급한 윤리적 고려에 의해 우선순위에서 밀릴 수 있다. 그 결과, 환자의 동의 없이 화학적 억제(chemical restraint)가 시행되더라도, **자율성(autonomy)**과 **정의(justice)**보다 **선행(beneficence)**과 **무해성(non-maleficence)**의 원칙이 우선한다고 판단되는 경우에는 반드시 비윤리적인 행위로 간주되지는 않을 수 있다.</w:t>
      </w:r>
      <w:r w:rsidRPr="00422E3C">
        <w:rPr>
          <w:rFonts w:ascii="Malgun Gothic" w:eastAsia="Malgun Gothic" w:hAnsi="Malgun Gothic" w:cs="Times New Roman"/>
          <w:sz w:val="20"/>
          <w:szCs w:val="20"/>
        </w:rPr>
        <w:t xml:space="preserve"> </w:t>
      </w:r>
      <w:r w:rsidRPr="00422E3C">
        <w:rPr>
          <w:rFonts w:ascii="Malgun Gothic" w:eastAsia="Malgun Gothic" w:hAnsi="Malgun Gothic" w:cs="Times New Roman"/>
          <w:sz w:val="20"/>
          <w:szCs w:val="20"/>
        </w:rPr>
        <w:fldChar w:fldCharType="begin">
          <w:fldData xml:space="preserve">PEVuZE5vdGU+PENpdGU+PEF1dGhvcj5DaGllemU8L0F1dGhvcj48WWVhcj4yMDIxPC9ZZWFyPjxS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</w:fldData>
        </w:fldChar>
      </w:r>
      <w:r w:rsidRPr="00422E3C">
        <w:rPr>
          <w:rFonts w:ascii="Malgun Gothic" w:eastAsia="Malgun Gothic" w:hAnsi="Malgun Gothic" w:cs="Times New Roman"/>
          <w:sz w:val="20"/>
          <w:szCs w:val="20"/>
        </w:rPr>
        <w:instrText xml:space="preserve"> ADDIN EN.JS.CITE </w:instrText>
      </w:r>
      <w:r w:rsidRPr="00422E3C">
        <w:rPr>
          <w:rFonts w:ascii="Malgun Gothic" w:eastAsia="Malgun Gothic" w:hAnsi="Malgun Gothic" w:cs="Times New Roman"/>
          <w:sz w:val="20"/>
          <w:szCs w:val="20"/>
        </w:rPr>
      </w:r>
      <w:r w:rsidRPr="00422E3C">
        <w:rPr>
          <w:rFonts w:ascii="Malgun Gothic" w:eastAsia="Malgun Gothic" w:hAnsi="Malgun Gothic" w:cs="Times New Roman"/>
          <w:sz w:val="20"/>
          <w:szCs w:val="20"/>
        </w:rPr>
        <w:fldChar w:fldCharType="separate"/>
      </w:r>
      <w:r w:rsidRPr="00422E3C">
        <w:rPr>
          <w:rFonts w:ascii="Malgun Gothic" w:eastAsia="Malgun Gothic" w:hAnsi="Malgun Gothic" w:cs="Courier New"/>
          <w:noProof/>
          <w:sz w:val="20"/>
          <w:szCs w:val="20"/>
          <w:vertAlign w:val="superscript"/>
        </w:rPr>
        <w:t>17</w:t>
      </w:r>
      <w:r w:rsidRPr="00422E3C">
        <w:rPr>
          <w:rFonts w:ascii="Malgun Gothic" w:eastAsia="Malgun Gothic" w:hAnsi="Malgun Gothic" w:cs="Times New Roman"/>
          <w:sz w:val="20"/>
          <w:szCs w:val="20"/>
        </w:rPr>
        <w:fldChar w:fldCharType="end"/>
      </w:r>
      <w:r w:rsidRPr="00422E3C">
        <w:rPr>
          <w:rFonts w:ascii="Malgun Gothic" w:eastAsia="Malgun Gothic" w:hAnsi="Malgun Gothic" w:cs="Times New Roman" w:hint="eastAsia"/>
          <w:sz w:val="20"/>
          <w:szCs w:val="20"/>
        </w:rPr>
        <w:t xml:space="preserve"> 그럼에도 불구하고, 인권 옹호자들은 법적·제도적 장치를 통해 도덕적 절대주의를 지속적으로 강제하고 있다.</w:t>
      </w:r>
    </w:p>
    <w:p w14:paraId="083335BF" w14:textId="77777777" w:rsidR="00422E3C" w:rsidRPr="00422E3C" w:rsidRDefault="00422E3C" w:rsidP="00422E3C">
      <w:pPr>
        <w:jc w:val="both"/>
        <w:rPr>
          <w:rFonts w:ascii="Malgun Gothic" w:eastAsia="Malgun Gothic" w:hAnsi="Malgun Gothic" w:cs="Times New Roman"/>
          <w:sz w:val="20"/>
          <w:szCs w:val="20"/>
        </w:rPr>
      </w:pPr>
    </w:p>
    <w:p w14:paraId="2FA1A672" w14:textId="77777777" w:rsidR="005F52CE" w:rsidRPr="005F52CE" w:rsidRDefault="00F41A41" w:rsidP="005F52CE">
      <w:pPr>
        <w:jc w:val="both"/>
        <w:rPr>
          <w:rFonts w:asciiTheme="minorEastAsia" w:hAnsiTheme="minorEastAsia"/>
          <w:b/>
          <w:bCs/>
          <w:color w:val="0432FF"/>
          <w:sz w:val="20"/>
          <w:szCs w:val="20"/>
        </w:rPr>
      </w:pPr>
      <w:r>
        <w:rPr>
          <w:rFonts w:asciiTheme="minorEastAsia" w:hAnsiTheme="minorEastAsia"/>
          <w:b/>
          <w:bCs/>
          <w:color w:val="0432FF"/>
          <w:sz w:val="20"/>
          <w:szCs w:val="20"/>
        </w:rPr>
        <w:t>C</w:t>
      </w:r>
      <w:r w:rsidR="005F52CE" w:rsidRPr="005F52CE">
        <w:rPr>
          <w:rFonts w:asciiTheme="minorEastAsia" w:hAnsiTheme="minorEastAsia"/>
          <w:b/>
          <w:bCs/>
          <w:color w:val="0432FF"/>
          <w:sz w:val="20"/>
          <w:szCs w:val="20"/>
        </w:rPr>
        <w:t xml:space="preserve">. </w:t>
      </w:r>
      <w:r w:rsidR="005F52CE" w:rsidRPr="005F52CE">
        <w:rPr>
          <w:rFonts w:asciiTheme="minorEastAsia" w:hAnsiTheme="minorEastAsia" w:hint="eastAsia"/>
          <w:b/>
          <w:bCs/>
          <w:color w:val="0432FF"/>
          <w:sz w:val="20"/>
          <w:szCs w:val="20"/>
        </w:rPr>
        <w:t>상충하는 이론적 및 실천적 근거 (Countervailing Theoretical and Practical Rationales)</w:t>
      </w:r>
    </w:p>
    <w:p w14:paraId="677B36E2" w14:textId="77777777" w:rsidR="005F52CE" w:rsidRPr="00244392" w:rsidRDefault="005F52CE"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hint="eastAsia"/>
          <w:color w:val="0432FF"/>
          <w:kern w:val="0"/>
          <w:sz w:val="20"/>
          <w:szCs w:val="20"/>
          <w14:ligatures w14:val="none"/>
        </w:rPr>
        <w:lastRenderedPageBreak/>
        <w:t>화학적 억제에 대한 비판은 자율성, 존엄성, 치료 거부권을 강조하는 윤리적 원칙에 기반하는 경우가 많지만, 이러한 비판 역시 임상적 현실과 제도적 제약이라는 맥락 속에서 이해될 필요가 있다.</w:t>
      </w:r>
    </w:p>
    <w:p w14:paraId="7CF56346" w14:textId="77777777" w:rsidR="005F52CE" w:rsidRPr="005F52CE" w:rsidRDefault="005F52CE" w:rsidP="00244392">
      <w:pPr>
        <w:spacing w:before="100" w:beforeAutospacing="1" w:after="100" w:afterAutospacing="1" w:line="240" w:lineRule="auto"/>
        <w:jc w:val="both"/>
        <w:rPr>
          <w:rFonts w:asciiTheme="minorEastAsia" w:hAnsiTheme="minorEastAsia" w:cs="Batang"/>
          <w:b/>
          <w:bCs/>
          <w:color w:val="0432FF"/>
          <w:kern w:val="0"/>
          <w:sz w:val="20"/>
          <w:szCs w:val="20"/>
          <w14:ligatures w14:val="none"/>
        </w:rPr>
      </w:pPr>
      <w:r w:rsidRPr="005F52CE">
        <w:rPr>
          <w:rFonts w:asciiTheme="minorEastAsia" w:hAnsiTheme="minorEastAsia" w:cs="Batang" w:hint="eastAsia"/>
          <w:b/>
          <w:bCs/>
          <w:color w:val="0432FF"/>
          <w:kern w:val="0"/>
          <w:sz w:val="20"/>
          <w:szCs w:val="20"/>
          <w14:ligatures w14:val="none"/>
        </w:rPr>
        <w:t>1. 주체–대리인 관계 (Principal–Agent Relationship)</w:t>
      </w:r>
    </w:p>
    <w:p w14:paraId="6CEE7933" w14:textId="77777777" w:rsidR="005F52CE" w:rsidRDefault="005F52CE"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hint="eastAsia"/>
          <w:color w:val="0432FF"/>
          <w:kern w:val="0"/>
          <w:sz w:val="20"/>
          <w:szCs w:val="20"/>
          <w14:ligatures w14:val="none"/>
        </w:rPr>
        <w:t>급성 정신과 환경에서 주체–대리인 관계는 환자의 선호와 임상의의 책임 사이에 존재하는 본질적인 긴장을 반영한다. 환자는 자신의 치료에 대한 1차적 의사결정 주체이지만, 중증 정신병리는 의사결정 능력을 저하시켜 충분한 정보를 바탕으로 선택할 수 있는 능력을 제한할 수 있다. 이러한 상황에서 임상의는 환자의 자율성을 존중하는 동시에 안전을 확보하고 위해를 예방해야 하는 책임을 지는 대리자로서 기능하게 된다. 이러한 이중적 의무는 구조적 갈등을 초래하며, 그 결과 환자가 표현한 선호보다 즉각적인 위험 관리가 우선시될 수 있다.</w:t>
      </w:r>
    </w:p>
    <w:p w14:paraId="13AC94A3" w14:textId="77777777" w:rsidR="005F52CE" w:rsidRDefault="005F52CE"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color w:val="0432FF"/>
          <w:kern w:val="0"/>
          <w:sz w:val="20"/>
          <w:szCs w:val="20"/>
          <w14:ligatures w14:val="none"/>
        </w:rPr>
        <w:t>In acute psychiatric settings, the principal–agent relationship reflects an inherent tension between patients’ preferences and clinicians’ responsibilities. While patients are the primary decision-makers regarding their own care, severe psychopathology may impair decision-making capacity, limiting their ability to make informed choices. In such circumstances, clinicians act as agents responsible not only for respecting patient autonomy but also for ensuring safety and preventing harm. This dual obligation creates a structural conflict, in which immediate risk mitigation may take precedence over expressed patient preferences.</w:t>
      </w:r>
    </w:p>
    <w:p w14:paraId="5ECEF579" w14:textId="77777777" w:rsidR="005F52CE" w:rsidRPr="005F52CE" w:rsidRDefault="005F52CE"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44AC0F01" w14:textId="77777777" w:rsidR="005F52CE" w:rsidRPr="005F52CE" w:rsidRDefault="005F52CE" w:rsidP="005F52CE">
      <w:pPr>
        <w:spacing w:before="100" w:beforeAutospacing="1" w:after="100" w:afterAutospacing="1" w:line="240" w:lineRule="auto"/>
        <w:jc w:val="both"/>
        <w:rPr>
          <w:rFonts w:asciiTheme="minorEastAsia" w:hAnsiTheme="minorEastAsia" w:cs="Batang"/>
          <w:b/>
          <w:bCs/>
          <w:color w:val="0432FF"/>
          <w:kern w:val="0"/>
          <w:sz w:val="20"/>
          <w:szCs w:val="20"/>
          <w14:ligatures w14:val="none"/>
        </w:rPr>
      </w:pPr>
      <w:r w:rsidRPr="005F52CE">
        <w:rPr>
          <w:rFonts w:asciiTheme="minorEastAsia" w:hAnsiTheme="minorEastAsia" w:cs="Batang" w:hint="eastAsia"/>
          <w:b/>
          <w:bCs/>
          <w:color w:val="0432FF"/>
          <w:kern w:val="0"/>
          <w:sz w:val="20"/>
          <w:szCs w:val="20"/>
          <w14:ligatures w14:val="none"/>
        </w:rPr>
        <w:t>2. 제도적 유인의 불일치 (Misalignment of Institutional Incentives)</w:t>
      </w:r>
    </w:p>
    <w:p w14:paraId="17C8705C" w14:textId="77777777" w:rsidR="005F52CE" w:rsidRPr="005F52CE" w:rsidRDefault="005F52CE" w:rsidP="005F52CE">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hint="eastAsia"/>
          <w:color w:val="0432FF"/>
          <w:kern w:val="0"/>
          <w:sz w:val="20"/>
          <w:szCs w:val="20"/>
          <w14:ligatures w14:val="none"/>
        </w:rPr>
        <w:t>임상적 의사결정은 윤리적 이상과 항상 일치하지 않을 수 있는 제도적 유인에 의해 영향을 받는다. 의료 시스템은 종종 위험 관리, 법적 책임, 그리고 운영 효율성을 우선시한다. 이에 따라 임상의는 폭력 및 법적 책임과 같은 부정적 사건의 예방을 강조하는 규제적·조직적 틀 내에서 진료를 수행하게 된다. 이러한 유인의 불일치는 화학적 억제와 같은 중재에 대한 결정이 환자 중심의 고려뿐 아니라, 시스템적 압력과 제도적 기대에 의해서도 영향을 받음을 의미한다.</w:t>
      </w:r>
    </w:p>
    <w:p w14:paraId="7F8B2879" w14:textId="77777777" w:rsidR="005F52CE" w:rsidRPr="005F52CE" w:rsidRDefault="005F52CE"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color w:val="0432FF"/>
          <w:kern w:val="0"/>
          <w:sz w:val="20"/>
          <w:szCs w:val="20"/>
          <w14:ligatures w14:val="none"/>
        </w:rPr>
        <w:t>Clinical decision-making is also shaped by institutional incentives that may not align with ethical ideals. Healthcare systems often prioritize risk containment, legal accountability, and operational efficiency. Consequently, clinicians operate within regulatory and organizational frameworks that emphasize the prevention of adverse events, including violence and liability exposure. This misalignment means that decisions regarding interventions such as chemical restraint are influenced not only by patient-centered considerations but also by systemic pressures and institutional expectations.</w:t>
      </w:r>
    </w:p>
    <w:p w14:paraId="189CACDC" w14:textId="77777777" w:rsidR="005F52CE" w:rsidRPr="005F52CE" w:rsidRDefault="005F52CE" w:rsidP="005F52CE">
      <w:pPr>
        <w:jc w:val="both"/>
        <w:rPr>
          <w:rFonts w:asciiTheme="minorEastAsia" w:hAnsiTheme="minorEastAsia"/>
          <w:b/>
          <w:bCs/>
          <w:color w:val="0432FF"/>
          <w:sz w:val="20"/>
          <w:szCs w:val="20"/>
        </w:rPr>
      </w:pPr>
      <w:r w:rsidRPr="005F52CE">
        <w:rPr>
          <w:rFonts w:asciiTheme="minorEastAsia" w:hAnsiTheme="minorEastAsia" w:hint="eastAsia"/>
          <w:b/>
          <w:bCs/>
          <w:color w:val="0432FF"/>
          <w:sz w:val="20"/>
          <w:szCs w:val="20"/>
        </w:rPr>
        <w:t>3. 위험 관리와 보호 의무 (Risk Management and Duty of Care)</w:t>
      </w:r>
    </w:p>
    <w:p w14:paraId="4DA033FC" w14:textId="77777777" w:rsidR="005F52CE" w:rsidRDefault="005F52CE" w:rsidP="005F52CE">
      <w:pPr>
        <w:jc w:val="both"/>
        <w:rPr>
          <w:rFonts w:asciiTheme="minorEastAsia" w:hAnsiTheme="minorEastAsia"/>
          <w:color w:val="0432FF"/>
          <w:sz w:val="20"/>
          <w:szCs w:val="20"/>
        </w:rPr>
      </w:pPr>
      <w:r w:rsidRPr="005F52CE">
        <w:rPr>
          <w:rFonts w:asciiTheme="minorEastAsia" w:hAnsiTheme="minorEastAsia" w:hint="eastAsia"/>
          <w:color w:val="0432FF"/>
          <w:sz w:val="20"/>
          <w:szCs w:val="20"/>
        </w:rPr>
        <w:lastRenderedPageBreak/>
        <w:t>화학적 억제의 사용은 위험 관리와 임상의의 보호 의무라는 맥락에서 이해될 필요가 있다. 환자 자신이나 타인에게 즉각적인 위해의 위험이 존재하는 상황에서는, 임상의는 신속하게 개입해야 할 윤리적·법적 의무를 가진다. 비강제적 접근이 우선적으로 고려되어야 하나, 급격히 악화되는 상황에서는 항상 충분하지 않을 수 있다. 이러한 조건에서 화학적 억제는 일차적이거나 선호되는 치료가 아니라, 환자의 상태를 안정화시키고 즉각적인 위해를 예방하기 위한 시간 제한적 중재로 고려될 수 있다.</w:t>
      </w:r>
    </w:p>
    <w:p w14:paraId="15F73001" w14:textId="77777777" w:rsidR="005F52CE" w:rsidRPr="005F52CE" w:rsidRDefault="005F52CE" w:rsidP="005F52CE">
      <w:pPr>
        <w:jc w:val="both"/>
        <w:rPr>
          <w:rFonts w:asciiTheme="minorEastAsia" w:hAnsiTheme="minorEastAsia"/>
          <w:color w:val="0432FF"/>
          <w:sz w:val="20"/>
          <w:szCs w:val="20"/>
        </w:rPr>
      </w:pPr>
      <w:r w:rsidRPr="005F52CE">
        <w:rPr>
          <w:rFonts w:asciiTheme="minorEastAsia" w:hAnsiTheme="minorEastAsia"/>
          <w:color w:val="0432FF"/>
          <w:sz w:val="20"/>
          <w:szCs w:val="20"/>
        </w:rPr>
        <w:t>The use of chemical restraint must also be understood in the context of risk management and the clinician’s duty of care. In situations involving imminent risk of harm to the patient or others, clinicians are ethically and legally obligated to intervene promptly. While non-coercive strategies are preferable, they may not always be sufficient in rapidly escalating situations. Under such conditions, chemical restraint may be considered a time-limited intervention aimed at stabilizing the patient and preventing immediate harm, rather than a primary or preferred treatment approach.</w:t>
      </w:r>
    </w:p>
    <w:p w14:paraId="46F94797" w14:textId="77777777" w:rsidR="005F52CE" w:rsidRPr="005F52CE" w:rsidRDefault="005F52CE" w:rsidP="005F52CE">
      <w:pPr>
        <w:jc w:val="both"/>
        <w:rPr>
          <w:rFonts w:asciiTheme="minorEastAsia" w:hAnsiTheme="minorEastAsia"/>
          <w:b/>
          <w:bCs/>
          <w:color w:val="0432FF"/>
          <w:sz w:val="20"/>
          <w:szCs w:val="20"/>
        </w:rPr>
      </w:pPr>
      <w:r w:rsidRPr="005F52CE">
        <w:rPr>
          <w:rFonts w:asciiTheme="minorEastAsia" w:hAnsiTheme="minorEastAsia" w:hint="eastAsia"/>
          <w:b/>
          <w:bCs/>
          <w:color w:val="0432FF"/>
          <w:sz w:val="20"/>
          <w:szCs w:val="20"/>
        </w:rPr>
        <w:t>4. 인식론적 및 상황적 불확실성 (Epistemic and Situational Uncertainty)</w:t>
      </w:r>
    </w:p>
    <w:p w14:paraId="643C52A8" w14:textId="77777777" w:rsidR="005F52CE" w:rsidRPr="005F52CE" w:rsidRDefault="005F52CE" w:rsidP="005F52CE">
      <w:pPr>
        <w:jc w:val="both"/>
        <w:rPr>
          <w:rFonts w:asciiTheme="minorEastAsia" w:hAnsiTheme="minorEastAsia"/>
          <w:color w:val="0432FF"/>
          <w:sz w:val="20"/>
          <w:szCs w:val="20"/>
        </w:rPr>
      </w:pPr>
      <w:r w:rsidRPr="005F52CE">
        <w:rPr>
          <w:rFonts w:asciiTheme="minorEastAsia" w:hAnsiTheme="minorEastAsia" w:hint="eastAsia"/>
          <w:color w:val="0432FF"/>
          <w:sz w:val="20"/>
          <w:szCs w:val="20"/>
        </w:rPr>
        <w:t>급성 환경에서의 임상적 의사결정은 종종 인식론적 및 상황적 불확실성에 의해 특징지어진다. 폭력 행동에 대한 예측은 본질적으로 정밀하지 않으며, 임상의는 불완전하거나 지속적으로 변화하는 정보를 바탕으로 신속한 결정을 내려야 하는 경우가 많다. 이러한 불확실성은 자율성 중심의 엄격한 윤리 틀의 적용 가능성을 제한하며, 상황에 맞는 유연한 판단을 요구한다. 그 결과, 개입은 위험과 결과를 모두 충분히 예측할 수 없는 조건에서 이루어지는 경우가 많다.</w:t>
      </w:r>
    </w:p>
    <w:p w14:paraId="793BD8F6" w14:textId="77777777" w:rsidR="005F52CE" w:rsidRDefault="005F52CE" w:rsidP="005F52CE">
      <w:pPr>
        <w:jc w:val="both"/>
        <w:rPr>
          <w:rFonts w:asciiTheme="minorEastAsia" w:hAnsiTheme="minorEastAsia"/>
          <w:color w:val="0432FF"/>
          <w:sz w:val="20"/>
          <w:szCs w:val="20"/>
        </w:rPr>
      </w:pPr>
      <w:r w:rsidRPr="005F52CE">
        <w:rPr>
          <w:rFonts w:asciiTheme="minorEastAsia" w:hAnsiTheme="minorEastAsia"/>
          <w:color w:val="0432FF"/>
          <w:sz w:val="20"/>
          <w:szCs w:val="20"/>
        </w:rPr>
        <w:t>Clinical decision-making in acute settings is frequently characterized by epistemic and situational uncertainty. The prediction of violent behavior remains inherently imprecise, and clinicians must often make rapid decisions based on incomplete or evolving information. This uncertainty limits the applicability of strictly autonomy-based frameworks and necessitates flexible, context-sensitive judgment. As a result, interventions are often made under conditions where both risks and outcomes cannot be fully anticipated.</w:t>
      </w:r>
    </w:p>
    <w:p w14:paraId="07FF3EB8" w14:textId="77777777" w:rsidR="005F52CE" w:rsidRPr="005F52CE" w:rsidRDefault="005F52CE" w:rsidP="005F52CE">
      <w:pPr>
        <w:spacing w:before="100" w:beforeAutospacing="1" w:after="100" w:afterAutospacing="1" w:line="240" w:lineRule="auto"/>
        <w:jc w:val="both"/>
        <w:rPr>
          <w:rFonts w:asciiTheme="minorEastAsia" w:hAnsiTheme="minorEastAsia" w:cs="Batang"/>
          <w:b/>
          <w:bCs/>
          <w:color w:val="0432FF"/>
          <w:kern w:val="0"/>
          <w:sz w:val="20"/>
          <w:szCs w:val="20"/>
          <w14:ligatures w14:val="none"/>
        </w:rPr>
      </w:pPr>
      <w:r w:rsidRPr="005F52CE">
        <w:rPr>
          <w:rFonts w:asciiTheme="minorEastAsia" w:hAnsiTheme="minorEastAsia" w:cs="Batang" w:hint="eastAsia"/>
          <w:b/>
          <w:bCs/>
          <w:color w:val="0432FF"/>
          <w:kern w:val="0"/>
          <w:sz w:val="20"/>
          <w:szCs w:val="20"/>
          <w14:ligatures w14:val="none"/>
        </w:rPr>
        <w:t>5. 자원 제약과 시스템 역량 (Resource Constraints and System Capacity)</w:t>
      </w:r>
    </w:p>
    <w:p w14:paraId="6615DB27" w14:textId="77777777" w:rsidR="005F52CE" w:rsidRPr="005F52CE" w:rsidRDefault="005F52CE" w:rsidP="005F52CE">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hint="eastAsia"/>
          <w:color w:val="0432FF"/>
          <w:kern w:val="0"/>
          <w:sz w:val="20"/>
          <w:szCs w:val="20"/>
          <w14:ligatures w14:val="none"/>
        </w:rPr>
        <w:t>자원의 제한은 이상적인 임상 실천의 구현을 더욱 제약한다. 인력, 시간, 그리고 물리적 인프라의 부족은 개별화된 모니터링과 비강제적 탈격리(de-escalation) 전략의 실행 가능성을 저하시킬 수 있다. 수요가 높은 환경에서는 임상의가 동시에 여러 고위험 환자를 관리해야 하는 경우가 많아, 지속적인 상호작용을 유지할 수 있는 여력이 제한된다. 이러한 제약은 윤리적 우려가 존재함에도 불구하고, 보다 신속하고 효과적인 개입에 대한 의존을 증가시킬 수 있다</w:t>
      </w:r>
      <w:r w:rsidRPr="005F52CE">
        <w:rPr>
          <w:rFonts w:asciiTheme="minorEastAsia" w:hAnsiTheme="minorEastAsia" w:cs="Batang"/>
          <w:color w:val="0432FF"/>
          <w:kern w:val="0"/>
          <w:sz w:val="20"/>
          <w:szCs w:val="20"/>
          <w14:ligatures w14:val="none"/>
        </w:rPr>
        <w:t>.</w:t>
      </w:r>
    </w:p>
    <w:p w14:paraId="6F855DDA" w14:textId="77777777" w:rsidR="005F52CE" w:rsidRPr="005F52CE" w:rsidRDefault="005F52CE" w:rsidP="005F52CE">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F52CE">
        <w:rPr>
          <w:rFonts w:asciiTheme="minorEastAsia" w:hAnsiTheme="minorEastAsia" w:cs="Batang"/>
          <w:color w:val="0432FF"/>
          <w:kern w:val="0"/>
          <w:sz w:val="20"/>
          <w:szCs w:val="20"/>
          <w14:ligatures w14:val="none"/>
        </w:rPr>
        <w:t xml:space="preserve">Resource limitations further constrain the implementation of ideal clinical practices. Shortages in staffing, time, and physical infrastructure can reduce the feasibility of individualized monitoring and </w:t>
      </w:r>
      <w:r w:rsidRPr="005F52CE">
        <w:rPr>
          <w:rFonts w:asciiTheme="minorEastAsia" w:hAnsiTheme="minorEastAsia" w:cs="Batang"/>
          <w:color w:val="0432FF"/>
          <w:kern w:val="0"/>
          <w:sz w:val="20"/>
          <w:szCs w:val="20"/>
          <w14:ligatures w14:val="none"/>
        </w:rPr>
        <w:lastRenderedPageBreak/>
        <w:t>non-coercive de-escalation strategies. In high-demand environments, clinicians may be required to manage multiple high-risk patients simultaneously, limiting the capacity for sustained engagement. These constraints can increase reliance on rapid and effective interventions, even when such approaches raise ethical concerns.</w:t>
      </w:r>
    </w:p>
    <w:p w14:paraId="6A6E699B" w14:textId="77777777" w:rsidR="00244392" w:rsidRDefault="00244392" w:rsidP="00244392">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8D6516D" w14:textId="77777777" w:rsidR="001B3AC9" w:rsidRPr="001B3AC9" w:rsidRDefault="001B3AC9" w:rsidP="001B3AC9">
      <w:pPr>
        <w:spacing w:before="100" w:beforeAutospacing="1" w:after="100" w:afterAutospacing="1" w:line="240" w:lineRule="auto"/>
        <w:jc w:val="both"/>
        <w:rPr>
          <w:rFonts w:asciiTheme="minorEastAsia" w:hAnsiTheme="minorEastAsia" w:cs="Batang"/>
          <w:b/>
          <w:bCs/>
          <w:color w:val="0432FF"/>
          <w:kern w:val="0"/>
          <w:sz w:val="20"/>
          <w:szCs w:val="20"/>
          <w14:ligatures w14:val="none"/>
        </w:rPr>
      </w:pPr>
      <w:r w:rsidRPr="001B3AC9">
        <w:rPr>
          <w:rFonts w:asciiTheme="minorEastAsia" w:hAnsiTheme="minorEastAsia" w:cs="Batang"/>
          <w:b/>
          <w:bCs/>
          <w:color w:val="0432FF"/>
          <w:kern w:val="0"/>
          <w:sz w:val="20"/>
          <w:szCs w:val="20"/>
          <w14:ligatures w14:val="none"/>
        </w:rPr>
        <w:t xml:space="preserve">C. </w:t>
      </w:r>
      <w:r w:rsidRPr="001B3AC9">
        <w:rPr>
          <w:rFonts w:asciiTheme="minorEastAsia" w:hAnsiTheme="minorEastAsia" w:cs="Batang" w:hint="eastAsia"/>
          <w:b/>
          <w:bCs/>
          <w:color w:val="0432FF"/>
          <w:kern w:val="0"/>
          <w:sz w:val="20"/>
          <w:szCs w:val="20"/>
          <w14:ligatures w14:val="none"/>
        </w:rPr>
        <w:t>화학적 억제의 재개념화 (Reconceptualizing Chemical Restraint)</w:t>
      </w:r>
    </w:p>
    <w:p w14:paraId="40FE8E93" w14:textId="77777777" w:rsidR="001B3AC9" w:rsidRPr="001B3AC9" w:rsidRDefault="001B3AC9" w:rsidP="001B3AC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B3AC9">
        <w:rPr>
          <w:rFonts w:asciiTheme="minorEastAsia" w:hAnsiTheme="minorEastAsia" w:cs="Batang" w:hint="eastAsia"/>
          <w:color w:val="0432FF"/>
          <w:kern w:val="0"/>
          <w:sz w:val="20"/>
          <w:szCs w:val="20"/>
          <w14:ligatures w14:val="none"/>
        </w:rPr>
        <w:t>앞서 논의한 내용을 종합하면, 화학적 억제는 단순히 강압적 수단으로만 이해되기보다는, 윤리적·임상적·제도적 제약이 복합적으로 작용하는 맥락 속에서 이루어지는 상황 의존적 임상 개입으로 이해될 필요가 있다. 전통적으로 화학적 억제는 환자의 자율성과 대립되는 개념으로 간주되어 왔으나, 이러한 이분법적 관점은 임상의가 자율성 존중과 임박한 위해의 예방이라는 두 가지 요구를 동시에 고려해야 하는 급성 정신과 진료의 현실을 충분히 반영하지 못할 수 있다.</w:t>
      </w:r>
    </w:p>
    <w:p w14:paraId="00B07E4A" w14:textId="77777777" w:rsidR="001B3AC9" w:rsidRPr="001B3AC9" w:rsidRDefault="001B3AC9" w:rsidP="001B3AC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B3AC9">
        <w:rPr>
          <w:rFonts w:asciiTheme="minorEastAsia" w:hAnsiTheme="minorEastAsia" w:cs="Batang" w:hint="eastAsia"/>
          <w:color w:val="0432FF"/>
          <w:kern w:val="0"/>
          <w:sz w:val="20"/>
          <w:szCs w:val="20"/>
          <w14:ligatures w14:val="none"/>
        </w:rPr>
        <w:t>이에 따라 화학적 억제는 의사결정 능력이 저하된 상태에서 즉각적인 위험이 존재하는 상황에서 적용되는, 시간 제한적이며 위험 통제를 목적으로 하는 중재로 재개념화될 수 있다. 그 일차적 목적은 환자의 상태를 안정화시키고 보다 덜 제한적인 치료로의 전환을 가능하게 하는 데 있다. 이러한 틀에서 화학적 억제의 윤리적 정당성은 개입 자체뿐 아니라 적용되는 조건—즉 비례성(proportionality), 필요성(necessity), 그리고 대안의 부재—에 의해 결정된다.</w:t>
      </w:r>
    </w:p>
    <w:p w14:paraId="0DE98B0B" w14:textId="77777777" w:rsidR="001B3AC9" w:rsidRPr="001B3AC9" w:rsidRDefault="001B3AC9" w:rsidP="001B3AC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B3AC9">
        <w:rPr>
          <w:rFonts w:asciiTheme="minorEastAsia" w:hAnsiTheme="minorEastAsia" w:cs="Batang" w:hint="eastAsia"/>
          <w:color w:val="0432FF"/>
          <w:kern w:val="0"/>
          <w:sz w:val="20"/>
          <w:szCs w:val="20"/>
          <w14:ligatures w14:val="none"/>
        </w:rPr>
        <w:t>이러한 재개념화는 위험의 조기 인식, 비강제적 탈격리 전략, 그리고 환자 중심 치료를 강조하는 최근 정신의학의 흐름과도 일치한다. 이 맥락에서 화학적 억제는 이러한 접근을 대체하는 것이 아니라, 강압을 최소화하고 환자 참여를 촉진하기 위한 전략들과 통합된, 치료 연속선상에서의 최후 수단으로 기능하게 된다.</w:t>
      </w:r>
    </w:p>
    <w:p w14:paraId="5387D447" w14:textId="77777777" w:rsidR="001B3AC9" w:rsidRDefault="001B3AC9" w:rsidP="001B3AC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B3AC9">
        <w:rPr>
          <w:rFonts w:asciiTheme="minorEastAsia" w:hAnsiTheme="minorEastAsia" w:cs="Batang" w:hint="eastAsia"/>
          <w:color w:val="0432FF"/>
          <w:kern w:val="0"/>
          <w:sz w:val="20"/>
          <w:szCs w:val="20"/>
          <w14:ligatures w14:val="none"/>
        </w:rPr>
        <w:t>따라서 화학적 억제를 환자의 존엄성과 자율성과 본질적으로 양립할 수 없는 것으로 간주하기보다는, 그 사용이 엄격히 제한되고, 투명하게 정당화되며, 지속적으로 재평가되는 단계적이고 윤리적으로 정립된 개입 모델 내에서 이해하는 것이 보다 생산적이다. 이러한 접근은 윤리적 원칙과 임상 현실을 동시에 반영하는 보다 정교한 이해를 가능하게 한다.</w:t>
      </w:r>
    </w:p>
    <w:p w14:paraId="1CE77E60" w14:textId="77777777" w:rsidR="00355799" w:rsidRPr="0035579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color w:val="0432FF"/>
          <w:kern w:val="0"/>
          <w:sz w:val="20"/>
          <w:szCs w:val="20"/>
          <w14:ligatures w14:val="none"/>
        </w:rPr>
        <w:t>Taken together, the preceding considerations suggest that chemical restraint should not be understood solely as a coercive measure, but rather as a context-dependent clinical intervention situated within a complex framework of ethical, clinical, and systemic constraints. While its use has traditionally been framed in opposition to patient autonomy, such a binary perspective may oversimplify the realities of acute psychiatric care, where clinicians must balance respect for autonomy with the obligation to prevent imminent harm.</w:t>
      </w:r>
    </w:p>
    <w:p w14:paraId="77E7EB2F" w14:textId="77777777" w:rsidR="00355799" w:rsidRPr="0035579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color w:val="0432FF"/>
          <w:kern w:val="0"/>
          <w:sz w:val="20"/>
          <w:szCs w:val="20"/>
          <w14:ligatures w14:val="none"/>
        </w:rPr>
        <w:t xml:space="preserve">Accordingly, chemical restraint may be more appropriately reconceptualized as a time-limited, risk-containment intervention employed under conditions of impaired decision-making capacity and immediate threat, with the primary aim of restoring clinical stability and enabling a return to less </w:t>
      </w:r>
      <w:r w:rsidRPr="00355799">
        <w:rPr>
          <w:rFonts w:asciiTheme="minorEastAsia" w:hAnsiTheme="minorEastAsia" w:cs="Batang"/>
          <w:color w:val="0432FF"/>
          <w:kern w:val="0"/>
          <w:sz w:val="20"/>
          <w:szCs w:val="20"/>
          <w14:ligatures w14:val="none"/>
        </w:rPr>
        <w:lastRenderedPageBreak/>
        <w:t>restrictive forms of care. Within this framework, its ethical acceptability depends not only on the intervention itself but also on the conditions under which it is applied—namely, proportionality, necessity, and the absence of feasible alternatives.</w:t>
      </w:r>
    </w:p>
    <w:p w14:paraId="173660C3" w14:textId="77777777" w:rsidR="00355799" w:rsidRPr="0035579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color w:val="0432FF"/>
          <w:kern w:val="0"/>
          <w:sz w:val="20"/>
          <w:szCs w:val="20"/>
          <w14:ligatures w14:val="none"/>
        </w:rPr>
        <w:t>Importantly, this reconceptualization aligns with emerging trends in psychiatric practice that emphasize early identification of risk, non-coercive de-escalation, and patient-centered care. In this context, the role of chemical restraint is not to replace these approaches, but to function as a last-resort component within a broader continuum of care, integrated with strategies aimed at minimizing coercion and promoting patient engagement.</w:t>
      </w:r>
    </w:p>
    <w:p w14:paraId="1C2AE7E4" w14:textId="77777777" w:rsidR="001B3AC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color w:val="0432FF"/>
          <w:kern w:val="0"/>
          <w:sz w:val="20"/>
          <w:szCs w:val="20"/>
          <w14:ligatures w14:val="none"/>
        </w:rPr>
        <w:t>Thus, rather than viewing chemical restraint as inherently incompatible with respect for patient dignity and autonomy, it may be more constructive to situate it within a graded, ethically informed intervention model, in which its use is tightly constrained, transparently justified, and continuously re-evaluated. Such an approach allows for a more nuanced understanding that reflects both ethical principles and the practical realities of clinical care.</w:t>
      </w:r>
    </w:p>
    <w:p w14:paraId="350EE182" w14:textId="77777777" w:rsidR="00355799" w:rsidRPr="00355799" w:rsidRDefault="00355799" w:rsidP="00355799">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D1619">
        <w:rPr>
          <w:rFonts w:asciiTheme="minorEastAsia" w:hAnsiTheme="minorEastAsia"/>
          <w:b/>
          <w:bCs/>
          <w:noProof/>
          <w:color w:val="0432FF"/>
          <w:szCs w:val="20"/>
        </w:rPr>
        <w:drawing>
          <wp:inline distT="0" distB="0" distL="0" distR="0" wp14:anchorId="39B82C22" wp14:editId="6981F262">
            <wp:extent cx="5731510" cy="5355590"/>
            <wp:effectExtent l="0" t="0" r="0" b="3810"/>
            <wp:docPr id="11844069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6919" name=""/>
                    <pic:cNvPicPr/>
                  </pic:nvPicPr>
                  <pic:blipFill>
                    <a:blip r:embed="rId9"/>
                    <a:stretch>
                      <a:fillRect/>
                    </a:stretch>
                  </pic:blipFill>
                  <pic:spPr>
                    <a:xfrm>
                      <a:off x="0" y="0"/>
                      <a:ext cx="5731510" cy="5355590"/>
                    </a:xfrm>
                    <a:prstGeom prst="rect">
                      <a:avLst/>
                    </a:prstGeom>
                  </pic:spPr>
                </pic:pic>
              </a:graphicData>
            </a:graphic>
          </wp:inline>
        </w:drawing>
      </w:r>
    </w:p>
    <w:p w14:paraId="16EDFD3D" w14:textId="77777777" w:rsidR="00C40CAC" w:rsidRPr="00D45E04" w:rsidRDefault="00355799" w:rsidP="00390D97">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noProof/>
          <w:color w:val="0432FF"/>
          <w:kern w:val="0"/>
          <w:sz w:val="20"/>
          <w:szCs w:val="20"/>
          <w14:ligatures w14:val="none"/>
        </w:rPr>
        <w:lastRenderedPageBreak/>
        <w:drawing>
          <wp:inline distT="0" distB="0" distL="0" distR="0" wp14:anchorId="014CE8EB" wp14:editId="55B119CB">
            <wp:extent cx="5731510" cy="6203950"/>
            <wp:effectExtent l="0" t="0" r="0" b="6350"/>
            <wp:docPr id="10326050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05084" name=""/>
                    <pic:cNvPicPr/>
                  </pic:nvPicPr>
                  <pic:blipFill>
                    <a:blip r:embed="rId10"/>
                    <a:stretch>
                      <a:fillRect/>
                    </a:stretch>
                  </pic:blipFill>
                  <pic:spPr>
                    <a:xfrm>
                      <a:off x="0" y="0"/>
                      <a:ext cx="5731510" cy="6203950"/>
                    </a:xfrm>
                    <a:prstGeom prst="rect">
                      <a:avLst/>
                    </a:prstGeom>
                  </pic:spPr>
                </pic:pic>
              </a:graphicData>
            </a:graphic>
          </wp:inline>
        </w:drawing>
      </w:r>
    </w:p>
    <w:p w14:paraId="4318CBCD" w14:textId="77777777" w:rsidR="00C40CAC" w:rsidRDefault="00C40CAC" w:rsidP="00390D97">
      <w:pPr>
        <w:spacing w:before="100" w:beforeAutospacing="1" w:after="100" w:afterAutospacing="1" w:line="240" w:lineRule="auto"/>
        <w:jc w:val="both"/>
        <w:rPr>
          <w:rFonts w:asciiTheme="minorEastAsia" w:hAnsiTheme="minorEastAsia" w:cs="Batang"/>
          <w:b/>
          <w:bCs/>
          <w:color w:val="0432FF"/>
          <w:kern w:val="0"/>
          <w:sz w:val="20"/>
          <w:szCs w:val="20"/>
          <w:highlight w:val="cyan"/>
          <w14:ligatures w14:val="none"/>
        </w:rPr>
      </w:pPr>
    </w:p>
    <w:p w14:paraId="294F4B9E" w14:textId="77777777" w:rsidR="00C40CAC" w:rsidRPr="00C40CAC" w:rsidRDefault="00C40CAC" w:rsidP="00C40CAC">
      <w:pPr>
        <w:spacing w:before="100" w:beforeAutospacing="1" w:after="100" w:afterAutospacing="1" w:line="240" w:lineRule="auto"/>
        <w:jc w:val="both"/>
        <w:rPr>
          <w:rFonts w:asciiTheme="minorEastAsia" w:hAnsiTheme="minorEastAsia" w:cs="Batang"/>
          <w:b/>
          <w:bCs/>
          <w:color w:val="0432FF"/>
          <w:kern w:val="0"/>
          <w:sz w:val="20"/>
          <w:szCs w:val="20"/>
          <w14:ligatures w14:val="none"/>
        </w:rPr>
      </w:pPr>
      <w:r w:rsidRPr="00C40CAC">
        <w:rPr>
          <w:rFonts w:asciiTheme="minorEastAsia" w:hAnsiTheme="minorEastAsia" w:cs="Batang" w:hint="eastAsia"/>
          <w:b/>
          <w:bCs/>
          <w:color w:val="0432FF"/>
          <w:kern w:val="0"/>
          <w:sz w:val="20"/>
          <w:szCs w:val="20"/>
          <w14:ligatures w14:val="none"/>
        </w:rPr>
        <w:t>결론 (Conclusion)</w:t>
      </w:r>
    </w:p>
    <w:p w14:paraId="6214C590"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화학적 억제(chemical restraint)라는 개념은 변화하는 약리학적 지식, 치료 철학, 의료기관의 운영 방식, 그리고 정신의학적 치료에 대한 사회적 인식 속에서 형성된 긴 역사적 과정을 거쳐 발전해 왔다. 고대에 식물 유래 진정제를 경험적으로 사용하던 시기부터 현대의 프로토콜 기반 rapid tranquillization 전략에 이르기까지, 급성 초조 상태에 대한 약물학적 관리 방식은 상당한 변화를 겪어 왔다. 이러한 발전은 행동 이상을 관리하는 방법이 단순히 약물 자체의 특성에 의해 결정되는 것이 아니라, 보다 넓은 임상적·윤리적·사회적 맥락 속에서 형성되어 왔음을 보여준다.</w:t>
      </w:r>
    </w:p>
    <w:p w14:paraId="51EC04FF"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lastRenderedPageBreak/>
        <w:t>The concept of chemical restraint has evolved through a long historical process shaped by changing pharmacological knowledge, therapeutic philosophies, institutional practices, and social attitudes toward psychiatric care. From the empirical use of plant-derived sedatives in antiquity to the development of modern protocol-based rapid tranquillization strategies, the pharmacological management of severe agitation has undergone substantial transformation. These developments illustrate that the methods used to manage behavioral disturbance have not been determined solely by the properties of drugs themselves, but have also reflected broader clinical, ethical, and social contexts.</w:t>
      </w:r>
    </w:p>
    <w:p w14:paraId="668882C0"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역사적 경험은 또한 약물학적 개입이 때로 상당한 위험을 동반해 왔음을 보여준다. 특히 공격적인 용량 전략이 사용되거나 작용 기전이 충분히 이해되지 않은 진정제가 사용되었던 시기에는 이러한 위험이 더욱 두드러졌다. 이러한 경험은 정신과 약물 치료에 대한 사회적 불신과 낙인의 형성에 일정 부분 기여하였다. 이러한 우려는 취약한 환자를 보호하려는 정당한 사회적 노력의 일환으로 이해될 수 있으나, 동시에 과거의 경험이 오늘날 정신과 임상 실천에 대한 해석에 과도하게 영향을 미칠 가능성도 존재한다.</w:t>
      </w:r>
    </w:p>
    <w:p w14:paraId="1E0CF0F8"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Historical experience also demonstrates that pharmacological interventions have sometimes been associated with significant risks, particularly when aggressive dosing strategies or insufficiently understood sedative agents were used. Such experiences contributed to the emergence of social distrust and stigma toward psychiatric pharmacotherapy. While these concerns partly reflect legitimate efforts to protect vulnerable patients, they may also result in interpretations of contemporary psychiatric practice that remain disproportionately influenced by earlier historical conditions.</w:t>
      </w:r>
    </w:p>
    <w:p w14:paraId="71851F2D"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최근 수십 년 동안 정신약리학과 약물 전달 기술의 발전은 환자를 신속하게 안정시키면서도 침습성을 최소화하고 강압성을 줄이는 방향으로 점차 초점을 이동시켜 왔다. 흡입, 비강, 설하 제형과 같은 새로운 약물 전달 방식의 개발은 환자의 자율성과 존엄을 존중하면서도 안전을 확보하려는 정신과 치료 전략의 변화를 반영한다. 이러한 변화는 급성 초조 상태에 대한 현대의 약물학적 접근이 보다 덜 강압적이고 환자 중심적인 형태로 전환되고 있음을 시사한다.</w:t>
      </w:r>
    </w:p>
    <w:p w14:paraId="1B09ED52"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In recent decades, advances in psychopharmacology and drug delivery technologies have increasingly focused on approaches that aim to stabilize patients rapidly while minimizing invasiveness and reducing coercion. The development of inhaled, intranasal, and sublingual formulations reflects a broader shift in psychiatric treatment strategies toward balancing patient safety with respect for autonomy and dignity. These innovations suggest that modern pharmacological approaches to acute agitation are moving toward less coercive and more patient-centered forms of care.</w:t>
      </w:r>
    </w:p>
    <w:p w14:paraId="66E232E3"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 xml:space="preserve">한편, 화학적 억제를 둘러싼 지속적인 윤리적 논쟁은 현재의 임상 실천을 적절한 역사적·임상적 맥락 속에서 이해할 필요성을 강조한다. 역사적 성찰은 여전히 중요하지만, 오늘날의 정신과 </w:t>
      </w:r>
      <w:r w:rsidRPr="00C40CAC">
        <w:rPr>
          <w:rFonts w:asciiTheme="minorEastAsia" w:hAnsiTheme="minorEastAsia" w:cs="Batang" w:hint="eastAsia"/>
          <w:color w:val="0432FF"/>
          <w:kern w:val="0"/>
          <w:sz w:val="20"/>
          <w:szCs w:val="20"/>
          <w14:ligatures w14:val="none"/>
        </w:rPr>
        <w:lastRenderedPageBreak/>
        <w:t>진료는 과거의 개념적 틀만으로 충분히 설명될 수 없다. 과거의 해석에 과도하게 의존할 경우, 현대 정신과 치료에서 이루어진 중요한 변화를 간과할 위험이 있다.</w:t>
      </w:r>
    </w:p>
    <w:p w14:paraId="0EC70EFA"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At the same time, the continuing ethical debate surrounding chemical restraint highlights the need to interpret current clinical practices within their appropriate historical and clinical context. Although historical reflection remains essential, contemporary psychiatric care cannot be fully understood solely through conceptual frameworks derived from earlier periods. Overreliance on past interpretations risks overlooking substantial changes that have occurred in modern psychiatric treatment.</w:t>
      </w:r>
    </w:p>
    <w:p w14:paraId="05963E80"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이러한 흐름과 더불어, 최근에는 데이터 기반의 위험 평가 및 모니터링 접근이 급성 초조와 폭력 관리 방식을 변화시키기 시작하고 있다. 그러나 이러한 접근은 여전히 표준화와 외적 타당성 측면에서 제한이 있으며, 특히 생리적 및 행동 데이터를 지속적으로 수집한다는 점에서 개인정보 보호와 윤리적 수용성 문제가 중요한 과제로 남아 있다. 또한 실시간 해석을 위한 자동화된 분석 시스템 역시 충분히 검증되었다고 보기 어려운 상황이다. 따라서 이러한 기술이 임상에서 안정적으로 활용되기 위해서는 예측 정확도뿐 아니라 실행 가능성, 윤리적 정당성, 그리고 환자 수용성에 대한 종합적인 검토가 필요하다.</w:t>
      </w:r>
    </w:p>
    <w:p w14:paraId="6FE87862"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In parallel with these developments, emerging data-driven approaches to risk assessment and monitoring have begun to reshape how acute agitation and violence are managed. However, such approaches remain limited in terms of standardization and external validity. In particular, the continuous collection of physiological and behavioral data raises important concerns regarding privacy protection and ethical acceptability, and automated systems for real-time interpretation have not yet been sufficiently validated. Therefore, for these technologies to be reliably implemented in clinical practice, comprehensive evaluation is required, encompassing not only predictive accuracy but also feasibility, ethical justification, and patient acceptability [5,8].</w:t>
      </w:r>
    </w:p>
    <w:p w14:paraId="445F372B"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미래 지향적인 윤리적·실천적 관점에서 이러한 기술은 통제의 수단이 아니라, ‘관찰의 공백을 메우는 임상적 보조 장치’로 이해될 필요가 있다. 즉, 이러한 기술의 도입은 단순한 행동 감시를 목적으로 하는 것이 아니라, 의료진의 일시적 부재 상황에서도 환자의 생리적·행동적 상태를 지속적으로 모니터링함으로써 돌봄의 사각지대를 보완하고 위험 신호에 대한 조기 대응을 가능하게 하는 기능으로 해석되어야 한다. 이는 현재의 인력 구조에서 모든 환자를 지속적으로 밀착 관찰하기 어려운 현실을 고려할 때, 기술이 감시가 아니라 임상적 관찰을 보완하는 역할을 수행한다는 점에서 중요한 의의를 가진다.</w:t>
      </w:r>
    </w:p>
    <w:p w14:paraId="13D4584C"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또한 이러한 기술은 반복적이고 표준화된 모니터링 업무의 일부를 대체함으로써, 의료진이 환자와의 직접적인 상호작용과 치료적 관계 형성에 보다 많은 시간을 할애할 수 있도록 한다. 이는 비인간화를 초래하기보다는 오히려 인간 중심적 돌봄을 강화하는 방향으로 작용할 수 있다.</w:t>
      </w:r>
    </w:p>
    <w:p w14:paraId="544C0FC2"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 xml:space="preserve">From a forward-looking ethical and practical perspective, these technologies should not be understood as instruments of control, but rather as clinical adjuncts that fill gaps in observation. </w:t>
      </w:r>
      <w:r w:rsidRPr="00C40CAC">
        <w:rPr>
          <w:rFonts w:asciiTheme="minorEastAsia" w:hAnsiTheme="minorEastAsia" w:cs="Batang"/>
          <w:color w:val="0432FF"/>
          <w:kern w:val="0"/>
          <w:sz w:val="20"/>
          <w:szCs w:val="20"/>
          <w14:ligatures w14:val="none"/>
        </w:rPr>
        <w:lastRenderedPageBreak/>
        <w:t>Their implementation is not intended to enable behavioral surveillance, but to complement limitations in continuous human monitoring by allowing early detection of physiological and behavioral changes even during temporary absences of clinical staff. In the context of existing workforce constraints, this function is particularly relevant, as it supports clinical observation rather than replacing it.</w:t>
      </w:r>
    </w:p>
    <w:p w14:paraId="05056F81"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Furthermore, by partially reducing the burden of repetitive and standardized monitoring tasks, such technologies may enable clinicians to allocate more time to direct patient interaction and the development of therapeutic relationships. In this respect, they may reinforce, rather than undermine, human-centered care.</w:t>
      </w:r>
    </w:p>
    <w:p w14:paraId="3C935C2A"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아울러 생리적 변화는 공격적 행동의 외현화 이전 단계에서 나타날 수 있으며, 이러한 신호를 조기에 인식하는 것은 급성 악화 이후의 강제적 개입을 감소시키는 데 기여할 수 있다. 전자의무기록 기반의 기계학습 모델 역시 폭력 위험 예측을 보완하는 도구로 제시되고 있다. 이러한 접근은 신체적 억제나 강압적 조치의 필요성을 줄이고, 환자의 존엄성과 자율성을 보호하는 데 중요한 임상적 의미를 가진다.</w:t>
      </w:r>
    </w:p>
    <w:p w14:paraId="7C4388DA"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이와 같은 변화는 환자뿐 아니라 의료진의 안전과 심리적 부담을 완화하는 측면에서도 중요하다. 의료진이 보다 안전한 환경에서 근무할 수 있을 때, 환자에게 제공되는 치료의 질과 지속성 또한 향상될 수 있으며, 이는 도덕적 손상(moral injury)의 감소와도 관련될 수 있다.</w:t>
      </w:r>
    </w:p>
    <w:p w14:paraId="45E60BFB"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In addition, physiological changes often precede overt aggressive behavior, and early identification of such signals may contribute to reducing the need for coercive interventions following acute escalation [1,2]. Similarly, machine learning models based on electronic health records have been proposed as complementary tools for violence risk prediction [3,4]. Collectively, these approaches have important clinical implications, as they may reduce reliance on physical restraint or coercive measures and contribute to the protection of patient dignity and autonomy [9,10].</w:t>
      </w:r>
    </w:p>
    <w:p w14:paraId="25666E88"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color w:val="0432FF"/>
          <w:kern w:val="0"/>
          <w:sz w:val="20"/>
          <w:szCs w:val="20"/>
          <w14:ligatures w14:val="none"/>
        </w:rPr>
        <w:t>These developments are also relevant from the perspective of clinician safety and well-being. Safer working environments may enhance the quality and continuity of care provided to patients and may also help reduce moral injury among healthcare professionals [11].</w:t>
      </w:r>
    </w:p>
    <w:p w14:paraId="65AB22C8" w14:textId="77777777" w:rsid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40CAC">
        <w:rPr>
          <w:rFonts w:asciiTheme="minorEastAsia" w:hAnsiTheme="minorEastAsia" w:cs="Batang" w:hint="eastAsia"/>
          <w:color w:val="0432FF"/>
          <w:kern w:val="0"/>
          <w:sz w:val="20"/>
          <w:szCs w:val="20"/>
          <w14:ligatures w14:val="none"/>
        </w:rPr>
        <w:t>종합하면, 향후 화학적 억제에 대한 논의는 역사적 인식, 윤리적 고려, 그리고 축적되는 임상적 근거를 통합적으로 반영하는 동시에, 새로운 기술이 갖는 함의를 함께 고려하는 방향으로 확장될 필요가 있다. 정신과 치료가 시간의 흐름 속에서 어떻게 변화하고 있는지를 이해하는 것은 정책적 논의와 실제 임상 사이의 간극을 줄이는 데 기여할 수 있으며, 궁극적으로 환자의 권리와 안전을 동시에 보호하는 보다 균형 잡힌 접근으로 이어질 수 있을 것이다.</w:t>
      </w:r>
    </w:p>
    <w:p w14:paraId="71624884" w14:textId="77777777" w:rsidR="00C40CAC" w:rsidRPr="00C40CAC" w:rsidRDefault="00C40CAC" w:rsidP="00C40CAC">
      <w:pPr>
        <w:spacing w:before="100" w:beforeAutospacing="1" w:after="100" w:afterAutospacing="1" w:line="240" w:lineRule="auto"/>
        <w:jc w:val="both"/>
        <w:rPr>
          <w:rFonts w:asciiTheme="minorEastAsia" w:hAnsiTheme="minorEastAsia" w:cs="Batang"/>
          <w:color w:val="0432FF"/>
          <w:kern w:val="0"/>
          <w:sz w:val="20"/>
          <w:szCs w:val="20"/>
          <w:highlight w:val="cyan"/>
          <w14:ligatures w14:val="none"/>
        </w:rPr>
      </w:pPr>
      <w:r w:rsidRPr="00C40CAC">
        <w:rPr>
          <w:rFonts w:asciiTheme="minorEastAsia" w:hAnsiTheme="minorEastAsia" w:cs="Batang"/>
          <w:color w:val="0432FF"/>
          <w:kern w:val="0"/>
          <w:sz w:val="20"/>
          <w:szCs w:val="20"/>
          <w14:ligatures w14:val="none"/>
        </w:rPr>
        <w:t xml:space="preserve">Taken together, future discussions of chemical restraint should integrate historical awareness, ethical considerations, and evolving clinical evidence, while also incorporating the implications of emerging technologies. Understanding how psychiatric treatment continues to evolve may help bridge the </w:t>
      </w:r>
      <w:r w:rsidRPr="00C40CAC">
        <w:rPr>
          <w:rFonts w:asciiTheme="minorEastAsia" w:hAnsiTheme="minorEastAsia" w:cs="Batang"/>
          <w:color w:val="0432FF"/>
          <w:kern w:val="0"/>
          <w:sz w:val="20"/>
          <w:szCs w:val="20"/>
          <w14:ligatures w14:val="none"/>
        </w:rPr>
        <w:lastRenderedPageBreak/>
        <w:t>gap between policy discourse and clinical reality, ultimately supporting more balanced approaches that protect both patient rights and patient safety.</w:t>
      </w:r>
    </w:p>
    <w:p w14:paraId="6284E570" w14:textId="77777777" w:rsidR="008B5F24" w:rsidRDefault="008B5F24" w:rsidP="008B5F24">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F62F2B3" w14:textId="77777777" w:rsidR="005E20BA" w:rsidRDefault="005E20BA" w:rsidP="008B5F24">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32057DEB" w14:textId="77777777" w:rsidR="0020004D" w:rsidRPr="008B5F24" w:rsidRDefault="0020004D" w:rsidP="00E447DC">
      <w:pPr>
        <w:jc w:val="both"/>
        <w:rPr>
          <w:rFonts w:asciiTheme="minorEastAsia" w:hAnsiTheme="minorEastAsia"/>
          <w:color w:val="7030A0"/>
          <w:sz w:val="20"/>
          <w:szCs w:val="20"/>
        </w:rPr>
      </w:pPr>
    </w:p>
    <w:p w14:paraId="17BC5F63" w14:textId="77777777" w:rsidR="0020004D" w:rsidRPr="0020004D" w:rsidRDefault="0020004D" w:rsidP="0020004D">
      <w:pPr>
        <w:spacing w:before="100" w:beforeAutospacing="1" w:after="100" w:afterAutospacing="1" w:line="240" w:lineRule="auto"/>
        <w:jc w:val="both"/>
        <w:rPr>
          <w:rFonts w:asciiTheme="minorEastAsia" w:hAnsiTheme="minorEastAsia" w:cs="Batang"/>
          <w:b/>
          <w:bCs/>
          <w:kern w:val="0"/>
          <w:sz w:val="20"/>
          <w:szCs w:val="20"/>
          <w:lang/>
          <w14:ligatures w14:val="none"/>
        </w:rPr>
      </w:pPr>
    </w:p>
    <w:sectPr w:rsidR="0020004D" w:rsidRPr="0020004D">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1BB1" w14:textId="77777777" w:rsidR="001963F5" w:rsidRDefault="001963F5" w:rsidP="004F595E">
      <w:pPr>
        <w:spacing w:after="0" w:line="240" w:lineRule="auto"/>
      </w:pPr>
      <w:r>
        <w:separator/>
      </w:r>
    </w:p>
  </w:endnote>
  <w:endnote w:type="continuationSeparator" w:id="0">
    <w:p w14:paraId="57A08C22" w14:textId="77777777" w:rsidR="001963F5" w:rsidRDefault="001963F5" w:rsidP="004F5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Semilight">
    <w:panose1 w:val="020B0502040204020203"/>
    <w:charset w:val="80"/>
    <w:family w:val="swiss"/>
    <w:pitch w:val="variable"/>
    <w:sig w:usb0="900002AF" w:usb1="09D77CFB" w:usb2="00000012" w:usb3="00000000" w:csb0="003E01BD" w:csb1="00000000"/>
  </w:font>
  <w:font w:name="Batang">
    <w:altName w:val="바탕"/>
    <w:panose1 w:val="02030600000101010101"/>
    <w:charset w:val="81"/>
    <w:family w:val="roman"/>
    <w:pitch w:val="variable"/>
    <w:sig w:usb0="B00002AF" w:usb1="69D77CFB" w:usb2="00000030" w:usb3="00000000" w:csb0="002800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9AEB" w14:textId="77777777" w:rsidR="001963F5" w:rsidRDefault="001963F5" w:rsidP="004F595E">
      <w:pPr>
        <w:spacing w:after="0" w:line="240" w:lineRule="auto"/>
      </w:pPr>
      <w:r>
        <w:separator/>
      </w:r>
    </w:p>
  </w:footnote>
  <w:footnote w:type="continuationSeparator" w:id="0">
    <w:p w14:paraId="79ED6D34" w14:textId="77777777" w:rsidR="001963F5" w:rsidRDefault="001963F5" w:rsidP="004F5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57C1"/>
    <w:multiLevelType w:val="multilevel"/>
    <w:tmpl w:val="A096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A11EEE"/>
    <w:multiLevelType w:val="multilevel"/>
    <w:tmpl w:val="863C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56720">
    <w:abstractNumId w:val="0"/>
  </w:num>
  <w:num w:numId="2" w16cid:durableId="1481001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3D"/>
    <w:rsid w:val="00010FD4"/>
    <w:rsid w:val="0001153C"/>
    <w:rsid w:val="000121D5"/>
    <w:rsid w:val="00026AD8"/>
    <w:rsid w:val="00030EBF"/>
    <w:rsid w:val="0003124E"/>
    <w:rsid w:val="00035776"/>
    <w:rsid w:val="00037607"/>
    <w:rsid w:val="00037661"/>
    <w:rsid w:val="00045BE7"/>
    <w:rsid w:val="00046422"/>
    <w:rsid w:val="00047B1A"/>
    <w:rsid w:val="000555A8"/>
    <w:rsid w:val="000647BF"/>
    <w:rsid w:val="0006523C"/>
    <w:rsid w:val="000739A7"/>
    <w:rsid w:val="00080123"/>
    <w:rsid w:val="00080BD7"/>
    <w:rsid w:val="00080D5B"/>
    <w:rsid w:val="00080E5C"/>
    <w:rsid w:val="0008503E"/>
    <w:rsid w:val="0009785E"/>
    <w:rsid w:val="000A1250"/>
    <w:rsid w:val="000B3950"/>
    <w:rsid w:val="000B491B"/>
    <w:rsid w:val="000C2DD3"/>
    <w:rsid w:val="000C3F06"/>
    <w:rsid w:val="000C76BC"/>
    <w:rsid w:val="000C7E37"/>
    <w:rsid w:val="000D7D8D"/>
    <w:rsid w:val="000E0171"/>
    <w:rsid w:val="000E1F03"/>
    <w:rsid w:val="000F2290"/>
    <w:rsid w:val="000F6A7F"/>
    <w:rsid w:val="00100C76"/>
    <w:rsid w:val="00103DD4"/>
    <w:rsid w:val="00105A7A"/>
    <w:rsid w:val="00117481"/>
    <w:rsid w:val="00125A56"/>
    <w:rsid w:val="00126A96"/>
    <w:rsid w:val="00142C87"/>
    <w:rsid w:val="001436B1"/>
    <w:rsid w:val="0014478B"/>
    <w:rsid w:val="00151C59"/>
    <w:rsid w:val="00155278"/>
    <w:rsid w:val="00155636"/>
    <w:rsid w:val="00155C32"/>
    <w:rsid w:val="00157E89"/>
    <w:rsid w:val="0016023D"/>
    <w:rsid w:val="00165988"/>
    <w:rsid w:val="00173439"/>
    <w:rsid w:val="00191969"/>
    <w:rsid w:val="00192A73"/>
    <w:rsid w:val="0019432A"/>
    <w:rsid w:val="00195619"/>
    <w:rsid w:val="001963F5"/>
    <w:rsid w:val="001A0A38"/>
    <w:rsid w:val="001B3AC9"/>
    <w:rsid w:val="001B7BFF"/>
    <w:rsid w:val="001C0BE3"/>
    <w:rsid w:val="001C4092"/>
    <w:rsid w:val="001C6002"/>
    <w:rsid w:val="001C608C"/>
    <w:rsid w:val="001D0D80"/>
    <w:rsid w:val="001E4E5F"/>
    <w:rsid w:val="001F18E2"/>
    <w:rsid w:val="001F49FF"/>
    <w:rsid w:val="0020004D"/>
    <w:rsid w:val="00220F20"/>
    <w:rsid w:val="0022682F"/>
    <w:rsid w:val="0023514E"/>
    <w:rsid w:val="00240577"/>
    <w:rsid w:val="002441B4"/>
    <w:rsid w:val="00244392"/>
    <w:rsid w:val="002469A0"/>
    <w:rsid w:val="002572CF"/>
    <w:rsid w:val="00261DBB"/>
    <w:rsid w:val="0027018A"/>
    <w:rsid w:val="00286198"/>
    <w:rsid w:val="002902A2"/>
    <w:rsid w:val="002904F6"/>
    <w:rsid w:val="00292550"/>
    <w:rsid w:val="002959EE"/>
    <w:rsid w:val="002A5A1C"/>
    <w:rsid w:val="002E0E56"/>
    <w:rsid w:val="002F41E4"/>
    <w:rsid w:val="003130D4"/>
    <w:rsid w:val="0031339A"/>
    <w:rsid w:val="0032405B"/>
    <w:rsid w:val="00324F3D"/>
    <w:rsid w:val="00330D7E"/>
    <w:rsid w:val="00333CB1"/>
    <w:rsid w:val="00340381"/>
    <w:rsid w:val="00341AAC"/>
    <w:rsid w:val="00341ADF"/>
    <w:rsid w:val="00346E78"/>
    <w:rsid w:val="00355799"/>
    <w:rsid w:val="00372F82"/>
    <w:rsid w:val="00373CFE"/>
    <w:rsid w:val="00383E27"/>
    <w:rsid w:val="00390D97"/>
    <w:rsid w:val="00393706"/>
    <w:rsid w:val="003A014F"/>
    <w:rsid w:val="003A2284"/>
    <w:rsid w:val="003C2FB1"/>
    <w:rsid w:val="003E4B98"/>
    <w:rsid w:val="003E7F99"/>
    <w:rsid w:val="003F6BD7"/>
    <w:rsid w:val="003F7BB8"/>
    <w:rsid w:val="00415C81"/>
    <w:rsid w:val="004174D3"/>
    <w:rsid w:val="00422E3C"/>
    <w:rsid w:val="0043624E"/>
    <w:rsid w:val="0044446F"/>
    <w:rsid w:val="004525F7"/>
    <w:rsid w:val="00454060"/>
    <w:rsid w:val="004624C6"/>
    <w:rsid w:val="00466D82"/>
    <w:rsid w:val="0046704D"/>
    <w:rsid w:val="004759C1"/>
    <w:rsid w:val="004819BA"/>
    <w:rsid w:val="004848D8"/>
    <w:rsid w:val="0048688C"/>
    <w:rsid w:val="004908F7"/>
    <w:rsid w:val="00491637"/>
    <w:rsid w:val="00494801"/>
    <w:rsid w:val="004A1DDD"/>
    <w:rsid w:val="004A6776"/>
    <w:rsid w:val="004B0CCE"/>
    <w:rsid w:val="004B1355"/>
    <w:rsid w:val="004B225F"/>
    <w:rsid w:val="004B46AF"/>
    <w:rsid w:val="004C053C"/>
    <w:rsid w:val="004D07F7"/>
    <w:rsid w:val="004D208E"/>
    <w:rsid w:val="004D2636"/>
    <w:rsid w:val="004D5898"/>
    <w:rsid w:val="004D7639"/>
    <w:rsid w:val="004E0244"/>
    <w:rsid w:val="004E62F7"/>
    <w:rsid w:val="004F26C1"/>
    <w:rsid w:val="004F595E"/>
    <w:rsid w:val="004F60A2"/>
    <w:rsid w:val="004F610E"/>
    <w:rsid w:val="00500155"/>
    <w:rsid w:val="00501431"/>
    <w:rsid w:val="0051222C"/>
    <w:rsid w:val="0051444B"/>
    <w:rsid w:val="0053468D"/>
    <w:rsid w:val="00540B15"/>
    <w:rsid w:val="005425BE"/>
    <w:rsid w:val="00546BD2"/>
    <w:rsid w:val="005473CE"/>
    <w:rsid w:val="00567F32"/>
    <w:rsid w:val="005822AD"/>
    <w:rsid w:val="00594734"/>
    <w:rsid w:val="005956E8"/>
    <w:rsid w:val="005A3995"/>
    <w:rsid w:val="005C2CF0"/>
    <w:rsid w:val="005C349A"/>
    <w:rsid w:val="005C3FAA"/>
    <w:rsid w:val="005E16AA"/>
    <w:rsid w:val="005E20BA"/>
    <w:rsid w:val="005E4248"/>
    <w:rsid w:val="005F52CE"/>
    <w:rsid w:val="00610711"/>
    <w:rsid w:val="00623B82"/>
    <w:rsid w:val="00624CA5"/>
    <w:rsid w:val="00626089"/>
    <w:rsid w:val="006266AD"/>
    <w:rsid w:val="00634E8A"/>
    <w:rsid w:val="00640D06"/>
    <w:rsid w:val="00643523"/>
    <w:rsid w:val="00651EC6"/>
    <w:rsid w:val="00652D53"/>
    <w:rsid w:val="00653915"/>
    <w:rsid w:val="00654BA9"/>
    <w:rsid w:val="00655780"/>
    <w:rsid w:val="006677F2"/>
    <w:rsid w:val="00677912"/>
    <w:rsid w:val="00686E3C"/>
    <w:rsid w:val="006B0DC2"/>
    <w:rsid w:val="006C371B"/>
    <w:rsid w:val="006C7567"/>
    <w:rsid w:val="006D7B25"/>
    <w:rsid w:val="006E583F"/>
    <w:rsid w:val="006F14EA"/>
    <w:rsid w:val="006F6E66"/>
    <w:rsid w:val="00702335"/>
    <w:rsid w:val="00713461"/>
    <w:rsid w:val="00726BE6"/>
    <w:rsid w:val="00727753"/>
    <w:rsid w:val="00730565"/>
    <w:rsid w:val="007369A2"/>
    <w:rsid w:val="0074032F"/>
    <w:rsid w:val="007410E7"/>
    <w:rsid w:val="00742433"/>
    <w:rsid w:val="007451AD"/>
    <w:rsid w:val="0075280E"/>
    <w:rsid w:val="00755F15"/>
    <w:rsid w:val="007566FA"/>
    <w:rsid w:val="007574F8"/>
    <w:rsid w:val="00762E5A"/>
    <w:rsid w:val="007708E3"/>
    <w:rsid w:val="00772E95"/>
    <w:rsid w:val="0077791B"/>
    <w:rsid w:val="00780B80"/>
    <w:rsid w:val="007824EA"/>
    <w:rsid w:val="007966D5"/>
    <w:rsid w:val="007A561F"/>
    <w:rsid w:val="007B0471"/>
    <w:rsid w:val="007B1A68"/>
    <w:rsid w:val="007B53EA"/>
    <w:rsid w:val="007B64F8"/>
    <w:rsid w:val="007C0AF1"/>
    <w:rsid w:val="007C3331"/>
    <w:rsid w:val="007C5710"/>
    <w:rsid w:val="007C5B1A"/>
    <w:rsid w:val="007C6611"/>
    <w:rsid w:val="007D2A54"/>
    <w:rsid w:val="007D2E6D"/>
    <w:rsid w:val="007D3E0B"/>
    <w:rsid w:val="007E2A0D"/>
    <w:rsid w:val="007F3A9B"/>
    <w:rsid w:val="007F673D"/>
    <w:rsid w:val="007F74C1"/>
    <w:rsid w:val="0080201A"/>
    <w:rsid w:val="008040FB"/>
    <w:rsid w:val="00811EE5"/>
    <w:rsid w:val="00814065"/>
    <w:rsid w:val="00822F2F"/>
    <w:rsid w:val="00836EDA"/>
    <w:rsid w:val="00841A1C"/>
    <w:rsid w:val="0085343D"/>
    <w:rsid w:val="00854D84"/>
    <w:rsid w:val="008604A5"/>
    <w:rsid w:val="008643DF"/>
    <w:rsid w:val="00876A98"/>
    <w:rsid w:val="00887AE0"/>
    <w:rsid w:val="008A0E10"/>
    <w:rsid w:val="008A259D"/>
    <w:rsid w:val="008A5F08"/>
    <w:rsid w:val="008B091A"/>
    <w:rsid w:val="008B5F24"/>
    <w:rsid w:val="008B7D7B"/>
    <w:rsid w:val="008C49DF"/>
    <w:rsid w:val="008E0434"/>
    <w:rsid w:val="008E0B04"/>
    <w:rsid w:val="008E2AB1"/>
    <w:rsid w:val="008E4321"/>
    <w:rsid w:val="00903C32"/>
    <w:rsid w:val="00907B16"/>
    <w:rsid w:val="00913C16"/>
    <w:rsid w:val="00914E84"/>
    <w:rsid w:val="00917760"/>
    <w:rsid w:val="0092441F"/>
    <w:rsid w:val="00930CB4"/>
    <w:rsid w:val="00932180"/>
    <w:rsid w:val="00936EA1"/>
    <w:rsid w:val="00947711"/>
    <w:rsid w:val="009524D8"/>
    <w:rsid w:val="00956191"/>
    <w:rsid w:val="00956842"/>
    <w:rsid w:val="00960432"/>
    <w:rsid w:val="00966BF8"/>
    <w:rsid w:val="00971FC3"/>
    <w:rsid w:val="00976392"/>
    <w:rsid w:val="00993FBA"/>
    <w:rsid w:val="009961E1"/>
    <w:rsid w:val="009A22C2"/>
    <w:rsid w:val="009B0720"/>
    <w:rsid w:val="009C2A84"/>
    <w:rsid w:val="009D0751"/>
    <w:rsid w:val="009D37DB"/>
    <w:rsid w:val="009E06FB"/>
    <w:rsid w:val="00A10527"/>
    <w:rsid w:val="00A142B0"/>
    <w:rsid w:val="00A27336"/>
    <w:rsid w:val="00A52F09"/>
    <w:rsid w:val="00A5357E"/>
    <w:rsid w:val="00A53FA5"/>
    <w:rsid w:val="00A55295"/>
    <w:rsid w:val="00A6530A"/>
    <w:rsid w:val="00A67B46"/>
    <w:rsid w:val="00A739E0"/>
    <w:rsid w:val="00A8301E"/>
    <w:rsid w:val="00A8606D"/>
    <w:rsid w:val="00A90116"/>
    <w:rsid w:val="00A945BB"/>
    <w:rsid w:val="00AA283D"/>
    <w:rsid w:val="00AC5E1B"/>
    <w:rsid w:val="00AD2736"/>
    <w:rsid w:val="00AD5595"/>
    <w:rsid w:val="00AE093A"/>
    <w:rsid w:val="00AE330A"/>
    <w:rsid w:val="00AE58AA"/>
    <w:rsid w:val="00AF1577"/>
    <w:rsid w:val="00B035A3"/>
    <w:rsid w:val="00B10AF5"/>
    <w:rsid w:val="00B16F64"/>
    <w:rsid w:val="00B361BB"/>
    <w:rsid w:val="00B42DE3"/>
    <w:rsid w:val="00B4734D"/>
    <w:rsid w:val="00B5562D"/>
    <w:rsid w:val="00B675B0"/>
    <w:rsid w:val="00B67B4A"/>
    <w:rsid w:val="00B7042D"/>
    <w:rsid w:val="00B71AB5"/>
    <w:rsid w:val="00B943BE"/>
    <w:rsid w:val="00BA124C"/>
    <w:rsid w:val="00BA1D92"/>
    <w:rsid w:val="00BB19D0"/>
    <w:rsid w:val="00BB4EE4"/>
    <w:rsid w:val="00BC3708"/>
    <w:rsid w:val="00BD28F2"/>
    <w:rsid w:val="00BD4518"/>
    <w:rsid w:val="00BD46BD"/>
    <w:rsid w:val="00BD498B"/>
    <w:rsid w:val="00BD6B4E"/>
    <w:rsid w:val="00BF11D1"/>
    <w:rsid w:val="00BF2012"/>
    <w:rsid w:val="00BF4DAE"/>
    <w:rsid w:val="00C100A0"/>
    <w:rsid w:val="00C146C8"/>
    <w:rsid w:val="00C20234"/>
    <w:rsid w:val="00C277E2"/>
    <w:rsid w:val="00C27951"/>
    <w:rsid w:val="00C36AFA"/>
    <w:rsid w:val="00C40CAC"/>
    <w:rsid w:val="00C427C4"/>
    <w:rsid w:val="00C46F14"/>
    <w:rsid w:val="00C6200C"/>
    <w:rsid w:val="00C7063D"/>
    <w:rsid w:val="00C80D0C"/>
    <w:rsid w:val="00C858F1"/>
    <w:rsid w:val="00C87CE5"/>
    <w:rsid w:val="00C9352E"/>
    <w:rsid w:val="00C972F2"/>
    <w:rsid w:val="00CA59FC"/>
    <w:rsid w:val="00CB0386"/>
    <w:rsid w:val="00CB2902"/>
    <w:rsid w:val="00CC126A"/>
    <w:rsid w:val="00CC4C61"/>
    <w:rsid w:val="00CC7289"/>
    <w:rsid w:val="00CD0A13"/>
    <w:rsid w:val="00CE13E0"/>
    <w:rsid w:val="00CE202B"/>
    <w:rsid w:val="00D13750"/>
    <w:rsid w:val="00D40063"/>
    <w:rsid w:val="00D45E04"/>
    <w:rsid w:val="00D51823"/>
    <w:rsid w:val="00D6377F"/>
    <w:rsid w:val="00D70148"/>
    <w:rsid w:val="00D758F4"/>
    <w:rsid w:val="00D76EA0"/>
    <w:rsid w:val="00D8793D"/>
    <w:rsid w:val="00D90813"/>
    <w:rsid w:val="00D92043"/>
    <w:rsid w:val="00DA5F7A"/>
    <w:rsid w:val="00DA7B17"/>
    <w:rsid w:val="00DB7C6C"/>
    <w:rsid w:val="00DC260B"/>
    <w:rsid w:val="00DC312C"/>
    <w:rsid w:val="00DD2BA6"/>
    <w:rsid w:val="00DD7A20"/>
    <w:rsid w:val="00DF07DE"/>
    <w:rsid w:val="00DF0A78"/>
    <w:rsid w:val="00DF2074"/>
    <w:rsid w:val="00DF3955"/>
    <w:rsid w:val="00DF74F5"/>
    <w:rsid w:val="00E01E28"/>
    <w:rsid w:val="00E044C4"/>
    <w:rsid w:val="00E10B7B"/>
    <w:rsid w:val="00E10F1F"/>
    <w:rsid w:val="00E22E77"/>
    <w:rsid w:val="00E3295A"/>
    <w:rsid w:val="00E36BF7"/>
    <w:rsid w:val="00E36FB3"/>
    <w:rsid w:val="00E43F19"/>
    <w:rsid w:val="00E447DC"/>
    <w:rsid w:val="00E54BAB"/>
    <w:rsid w:val="00E550E9"/>
    <w:rsid w:val="00E564B1"/>
    <w:rsid w:val="00E602BD"/>
    <w:rsid w:val="00E65FD3"/>
    <w:rsid w:val="00E70710"/>
    <w:rsid w:val="00E74A1F"/>
    <w:rsid w:val="00E8170A"/>
    <w:rsid w:val="00E84398"/>
    <w:rsid w:val="00E8719D"/>
    <w:rsid w:val="00E97442"/>
    <w:rsid w:val="00E974DE"/>
    <w:rsid w:val="00EB2C7C"/>
    <w:rsid w:val="00EB3C10"/>
    <w:rsid w:val="00ED3318"/>
    <w:rsid w:val="00EF31DF"/>
    <w:rsid w:val="00F02CD4"/>
    <w:rsid w:val="00F04443"/>
    <w:rsid w:val="00F04CE8"/>
    <w:rsid w:val="00F12B63"/>
    <w:rsid w:val="00F15A7C"/>
    <w:rsid w:val="00F220B2"/>
    <w:rsid w:val="00F2553E"/>
    <w:rsid w:val="00F2579B"/>
    <w:rsid w:val="00F300BE"/>
    <w:rsid w:val="00F3419A"/>
    <w:rsid w:val="00F3449F"/>
    <w:rsid w:val="00F35B53"/>
    <w:rsid w:val="00F40496"/>
    <w:rsid w:val="00F40BF3"/>
    <w:rsid w:val="00F41A41"/>
    <w:rsid w:val="00F517AB"/>
    <w:rsid w:val="00F53965"/>
    <w:rsid w:val="00F959E7"/>
    <w:rsid w:val="00FA7810"/>
    <w:rsid w:val="00FB13F3"/>
    <w:rsid w:val="00FB5A06"/>
    <w:rsid w:val="00FB679E"/>
    <w:rsid w:val="00FC0785"/>
    <w:rsid w:val="00FC25E3"/>
    <w:rsid w:val="00FC2D4F"/>
    <w:rsid w:val="00FC5ED7"/>
    <w:rsid w:val="00FD244A"/>
    <w:rsid w:val="00FD2598"/>
    <w:rsid w:val="00FD40E7"/>
    <w:rsid w:val="00FD453D"/>
    <w:rsid w:val="00FD5ACD"/>
    <w:rsid w:val="00FD6C96"/>
    <w:rsid w:val="00FD6E36"/>
    <w:rsid w:val="00FE338B"/>
    <w:rsid w:val="00FE6E06"/>
    <w:rsid w:val="00FF2EEB"/>
    <w:rsid w:val="00FF43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984A"/>
  <w15:chartTrackingRefBased/>
  <w15:docId w15:val="{70C76E79-A318-1149-A179-3BE86C81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BB8"/>
    <w:pPr>
      <w:spacing w:after="160" w:line="278" w:lineRule="auto"/>
      <w:jc w:val="left"/>
    </w:pPr>
    <w:rPr>
      <w:sz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95E"/>
    <w:pPr>
      <w:tabs>
        <w:tab w:val="center" w:pos="4513"/>
        <w:tab w:val="right" w:pos="9026"/>
      </w:tabs>
      <w:snapToGrid w:val="0"/>
    </w:pPr>
  </w:style>
  <w:style w:type="character" w:customStyle="1" w:styleId="HeaderChar">
    <w:name w:val="Header Char"/>
    <w:basedOn w:val="DefaultParagraphFont"/>
    <w:link w:val="Header"/>
    <w:uiPriority w:val="99"/>
    <w:rsid w:val="004F595E"/>
    <w:rPr>
      <w:sz w:val="24"/>
      <w:lang w:eastAsia="ko-KR"/>
    </w:rPr>
  </w:style>
  <w:style w:type="paragraph" w:styleId="Footer">
    <w:name w:val="footer"/>
    <w:basedOn w:val="Normal"/>
    <w:link w:val="FooterChar"/>
    <w:uiPriority w:val="99"/>
    <w:unhideWhenUsed/>
    <w:rsid w:val="004F595E"/>
    <w:pPr>
      <w:tabs>
        <w:tab w:val="center" w:pos="4513"/>
        <w:tab w:val="right" w:pos="9026"/>
      </w:tabs>
      <w:snapToGrid w:val="0"/>
    </w:pPr>
  </w:style>
  <w:style w:type="character" w:customStyle="1" w:styleId="FooterChar">
    <w:name w:val="Footer Char"/>
    <w:basedOn w:val="DefaultParagraphFont"/>
    <w:link w:val="Footer"/>
    <w:uiPriority w:val="99"/>
    <w:rsid w:val="004F595E"/>
    <w:rPr>
      <w:sz w:val="24"/>
      <w:lang w:eastAsia="ko-KR"/>
    </w:rPr>
  </w:style>
  <w:style w:type="paragraph" w:styleId="NormalWeb">
    <w:name w:val="Normal (Web)"/>
    <w:basedOn w:val="Normal"/>
    <w:uiPriority w:val="99"/>
    <w:semiHidden/>
    <w:unhideWhenUsed/>
    <w:rsid w:val="00FD5ACD"/>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Emphasis">
    <w:name w:val="Emphasis"/>
    <w:basedOn w:val="DefaultParagraphFont"/>
    <w:uiPriority w:val="20"/>
    <w:qFormat/>
    <w:rsid w:val="00FD5ACD"/>
    <w:rPr>
      <w:i/>
      <w:iCs/>
    </w:rPr>
  </w:style>
  <w:style w:type="character" w:styleId="Strong">
    <w:name w:val="Strong"/>
    <w:basedOn w:val="DefaultParagraphFont"/>
    <w:uiPriority w:val="22"/>
    <w:qFormat/>
    <w:rsid w:val="00FD5ACD"/>
    <w:rPr>
      <w:b/>
      <w:bCs/>
    </w:rPr>
  </w:style>
  <w:style w:type="character" w:styleId="Hyperlink">
    <w:name w:val="Hyperlink"/>
    <w:basedOn w:val="DefaultParagraphFont"/>
    <w:uiPriority w:val="99"/>
    <w:unhideWhenUsed/>
    <w:rsid w:val="007E2A0D"/>
    <w:rPr>
      <w:color w:val="0563C1" w:themeColor="hyperlink"/>
      <w:u w:val="single"/>
    </w:rPr>
  </w:style>
  <w:style w:type="character" w:styleId="UnresolvedMention">
    <w:name w:val="Unresolved Mention"/>
    <w:basedOn w:val="DefaultParagraphFont"/>
    <w:uiPriority w:val="99"/>
    <w:semiHidden/>
    <w:unhideWhenUsed/>
    <w:rsid w:val="007E2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2610">
      <w:bodyDiv w:val="1"/>
      <w:marLeft w:val="0"/>
      <w:marRight w:val="0"/>
      <w:marTop w:val="0"/>
      <w:marBottom w:val="0"/>
      <w:divBdr>
        <w:top w:val="none" w:sz="0" w:space="0" w:color="auto"/>
        <w:left w:val="none" w:sz="0" w:space="0" w:color="auto"/>
        <w:bottom w:val="none" w:sz="0" w:space="0" w:color="auto"/>
        <w:right w:val="none" w:sz="0" w:space="0" w:color="auto"/>
      </w:divBdr>
    </w:div>
    <w:div w:id="22439880">
      <w:bodyDiv w:val="1"/>
      <w:marLeft w:val="0"/>
      <w:marRight w:val="0"/>
      <w:marTop w:val="0"/>
      <w:marBottom w:val="0"/>
      <w:divBdr>
        <w:top w:val="none" w:sz="0" w:space="0" w:color="auto"/>
        <w:left w:val="none" w:sz="0" w:space="0" w:color="auto"/>
        <w:bottom w:val="none" w:sz="0" w:space="0" w:color="auto"/>
        <w:right w:val="none" w:sz="0" w:space="0" w:color="auto"/>
      </w:divBdr>
    </w:div>
    <w:div w:id="41172004">
      <w:bodyDiv w:val="1"/>
      <w:marLeft w:val="0"/>
      <w:marRight w:val="0"/>
      <w:marTop w:val="0"/>
      <w:marBottom w:val="0"/>
      <w:divBdr>
        <w:top w:val="none" w:sz="0" w:space="0" w:color="auto"/>
        <w:left w:val="none" w:sz="0" w:space="0" w:color="auto"/>
        <w:bottom w:val="none" w:sz="0" w:space="0" w:color="auto"/>
        <w:right w:val="none" w:sz="0" w:space="0" w:color="auto"/>
      </w:divBdr>
    </w:div>
    <w:div w:id="45959512">
      <w:bodyDiv w:val="1"/>
      <w:marLeft w:val="0"/>
      <w:marRight w:val="0"/>
      <w:marTop w:val="0"/>
      <w:marBottom w:val="0"/>
      <w:divBdr>
        <w:top w:val="none" w:sz="0" w:space="0" w:color="auto"/>
        <w:left w:val="none" w:sz="0" w:space="0" w:color="auto"/>
        <w:bottom w:val="none" w:sz="0" w:space="0" w:color="auto"/>
        <w:right w:val="none" w:sz="0" w:space="0" w:color="auto"/>
      </w:divBdr>
    </w:div>
    <w:div w:id="57173903">
      <w:bodyDiv w:val="1"/>
      <w:marLeft w:val="0"/>
      <w:marRight w:val="0"/>
      <w:marTop w:val="0"/>
      <w:marBottom w:val="0"/>
      <w:divBdr>
        <w:top w:val="none" w:sz="0" w:space="0" w:color="auto"/>
        <w:left w:val="none" w:sz="0" w:space="0" w:color="auto"/>
        <w:bottom w:val="none" w:sz="0" w:space="0" w:color="auto"/>
        <w:right w:val="none" w:sz="0" w:space="0" w:color="auto"/>
      </w:divBdr>
    </w:div>
    <w:div w:id="77675854">
      <w:bodyDiv w:val="1"/>
      <w:marLeft w:val="0"/>
      <w:marRight w:val="0"/>
      <w:marTop w:val="0"/>
      <w:marBottom w:val="0"/>
      <w:divBdr>
        <w:top w:val="none" w:sz="0" w:space="0" w:color="auto"/>
        <w:left w:val="none" w:sz="0" w:space="0" w:color="auto"/>
        <w:bottom w:val="none" w:sz="0" w:space="0" w:color="auto"/>
        <w:right w:val="none" w:sz="0" w:space="0" w:color="auto"/>
      </w:divBdr>
    </w:div>
    <w:div w:id="137959799">
      <w:bodyDiv w:val="1"/>
      <w:marLeft w:val="0"/>
      <w:marRight w:val="0"/>
      <w:marTop w:val="0"/>
      <w:marBottom w:val="0"/>
      <w:divBdr>
        <w:top w:val="none" w:sz="0" w:space="0" w:color="auto"/>
        <w:left w:val="none" w:sz="0" w:space="0" w:color="auto"/>
        <w:bottom w:val="none" w:sz="0" w:space="0" w:color="auto"/>
        <w:right w:val="none" w:sz="0" w:space="0" w:color="auto"/>
      </w:divBdr>
    </w:div>
    <w:div w:id="143668151">
      <w:bodyDiv w:val="1"/>
      <w:marLeft w:val="0"/>
      <w:marRight w:val="0"/>
      <w:marTop w:val="0"/>
      <w:marBottom w:val="0"/>
      <w:divBdr>
        <w:top w:val="none" w:sz="0" w:space="0" w:color="auto"/>
        <w:left w:val="none" w:sz="0" w:space="0" w:color="auto"/>
        <w:bottom w:val="none" w:sz="0" w:space="0" w:color="auto"/>
        <w:right w:val="none" w:sz="0" w:space="0" w:color="auto"/>
      </w:divBdr>
    </w:div>
    <w:div w:id="163474570">
      <w:bodyDiv w:val="1"/>
      <w:marLeft w:val="0"/>
      <w:marRight w:val="0"/>
      <w:marTop w:val="0"/>
      <w:marBottom w:val="0"/>
      <w:divBdr>
        <w:top w:val="none" w:sz="0" w:space="0" w:color="auto"/>
        <w:left w:val="none" w:sz="0" w:space="0" w:color="auto"/>
        <w:bottom w:val="none" w:sz="0" w:space="0" w:color="auto"/>
        <w:right w:val="none" w:sz="0" w:space="0" w:color="auto"/>
      </w:divBdr>
      <w:divsChild>
        <w:div w:id="1359158097">
          <w:marLeft w:val="0"/>
          <w:marRight w:val="0"/>
          <w:marTop w:val="0"/>
          <w:marBottom w:val="0"/>
          <w:divBdr>
            <w:top w:val="none" w:sz="0" w:space="0" w:color="auto"/>
            <w:left w:val="none" w:sz="0" w:space="0" w:color="auto"/>
            <w:bottom w:val="none" w:sz="0" w:space="0" w:color="auto"/>
            <w:right w:val="none" w:sz="0" w:space="0" w:color="auto"/>
          </w:divBdr>
          <w:divsChild>
            <w:div w:id="249505156">
              <w:marLeft w:val="0"/>
              <w:marRight w:val="0"/>
              <w:marTop w:val="0"/>
              <w:marBottom w:val="0"/>
              <w:divBdr>
                <w:top w:val="none" w:sz="0" w:space="0" w:color="auto"/>
                <w:left w:val="none" w:sz="0" w:space="0" w:color="auto"/>
                <w:bottom w:val="none" w:sz="0" w:space="0" w:color="auto"/>
                <w:right w:val="none" w:sz="0" w:space="0" w:color="auto"/>
              </w:divBdr>
              <w:divsChild>
                <w:div w:id="2086762985">
                  <w:marLeft w:val="0"/>
                  <w:marRight w:val="0"/>
                  <w:marTop w:val="0"/>
                  <w:marBottom w:val="0"/>
                  <w:divBdr>
                    <w:top w:val="none" w:sz="0" w:space="0" w:color="auto"/>
                    <w:left w:val="none" w:sz="0" w:space="0" w:color="auto"/>
                    <w:bottom w:val="none" w:sz="0" w:space="0" w:color="auto"/>
                    <w:right w:val="none" w:sz="0" w:space="0" w:color="auto"/>
                  </w:divBdr>
                  <w:divsChild>
                    <w:div w:id="241843060">
                      <w:marLeft w:val="0"/>
                      <w:marRight w:val="0"/>
                      <w:marTop w:val="0"/>
                      <w:marBottom w:val="0"/>
                      <w:divBdr>
                        <w:top w:val="none" w:sz="0" w:space="0" w:color="auto"/>
                        <w:left w:val="none" w:sz="0" w:space="0" w:color="auto"/>
                        <w:bottom w:val="none" w:sz="0" w:space="0" w:color="auto"/>
                        <w:right w:val="none" w:sz="0" w:space="0" w:color="auto"/>
                      </w:divBdr>
                      <w:divsChild>
                        <w:div w:id="2040012005">
                          <w:marLeft w:val="0"/>
                          <w:marRight w:val="0"/>
                          <w:marTop w:val="0"/>
                          <w:marBottom w:val="0"/>
                          <w:divBdr>
                            <w:top w:val="none" w:sz="0" w:space="0" w:color="auto"/>
                            <w:left w:val="none" w:sz="0" w:space="0" w:color="auto"/>
                            <w:bottom w:val="none" w:sz="0" w:space="0" w:color="auto"/>
                            <w:right w:val="none" w:sz="0" w:space="0" w:color="auto"/>
                          </w:divBdr>
                          <w:divsChild>
                            <w:div w:id="1864125328">
                              <w:marLeft w:val="0"/>
                              <w:marRight w:val="0"/>
                              <w:marTop w:val="0"/>
                              <w:marBottom w:val="0"/>
                              <w:divBdr>
                                <w:top w:val="none" w:sz="0" w:space="0" w:color="auto"/>
                                <w:left w:val="none" w:sz="0" w:space="0" w:color="auto"/>
                                <w:bottom w:val="none" w:sz="0" w:space="0" w:color="auto"/>
                                <w:right w:val="none" w:sz="0" w:space="0" w:color="auto"/>
                              </w:divBdr>
                              <w:divsChild>
                                <w:div w:id="18285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27738">
      <w:bodyDiv w:val="1"/>
      <w:marLeft w:val="0"/>
      <w:marRight w:val="0"/>
      <w:marTop w:val="0"/>
      <w:marBottom w:val="0"/>
      <w:divBdr>
        <w:top w:val="none" w:sz="0" w:space="0" w:color="auto"/>
        <w:left w:val="none" w:sz="0" w:space="0" w:color="auto"/>
        <w:bottom w:val="none" w:sz="0" w:space="0" w:color="auto"/>
        <w:right w:val="none" w:sz="0" w:space="0" w:color="auto"/>
      </w:divBdr>
    </w:div>
    <w:div w:id="209616869">
      <w:bodyDiv w:val="1"/>
      <w:marLeft w:val="0"/>
      <w:marRight w:val="0"/>
      <w:marTop w:val="0"/>
      <w:marBottom w:val="0"/>
      <w:divBdr>
        <w:top w:val="none" w:sz="0" w:space="0" w:color="auto"/>
        <w:left w:val="none" w:sz="0" w:space="0" w:color="auto"/>
        <w:bottom w:val="none" w:sz="0" w:space="0" w:color="auto"/>
        <w:right w:val="none" w:sz="0" w:space="0" w:color="auto"/>
      </w:divBdr>
    </w:div>
    <w:div w:id="228152729">
      <w:bodyDiv w:val="1"/>
      <w:marLeft w:val="0"/>
      <w:marRight w:val="0"/>
      <w:marTop w:val="0"/>
      <w:marBottom w:val="0"/>
      <w:divBdr>
        <w:top w:val="none" w:sz="0" w:space="0" w:color="auto"/>
        <w:left w:val="none" w:sz="0" w:space="0" w:color="auto"/>
        <w:bottom w:val="none" w:sz="0" w:space="0" w:color="auto"/>
        <w:right w:val="none" w:sz="0" w:space="0" w:color="auto"/>
      </w:divBdr>
    </w:div>
    <w:div w:id="272858495">
      <w:bodyDiv w:val="1"/>
      <w:marLeft w:val="0"/>
      <w:marRight w:val="0"/>
      <w:marTop w:val="0"/>
      <w:marBottom w:val="0"/>
      <w:divBdr>
        <w:top w:val="none" w:sz="0" w:space="0" w:color="auto"/>
        <w:left w:val="none" w:sz="0" w:space="0" w:color="auto"/>
        <w:bottom w:val="none" w:sz="0" w:space="0" w:color="auto"/>
        <w:right w:val="none" w:sz="0" w:space="0" w:color="auto"/>
      </w:divBdr>
    </w:div>
    <w:div w:id="290092102">
      <w:bodyDiv w:val="1"/>
      <w:marLeft w:val="0"/>
      <w:marRight w:val="0"/>
      <w:marTop w:val="0"/>
      <w:marBottom w:val="0"/>
      <w:divBdr>
        <w:top w:val="none" w:sz="0" w:space="0" w:color="auto"/>
        <w:left w:val="none" w:sz="0" w:space="0" w:color="auto"/>
        <w:bottom w:val="none" w:sz="0" w:space="0" w:color="auto"/>
        <w:right w:val="none" w:sz="0" w:space="0" w:color="auto"/>
      </w:divBdr>
    </w:div>
    <w:div w:id="296683689">
      <w:bodyDiv w:val="1"/>
      <w:marLeft w:val="0"/>
      <w:marRight w:val="0"/>
      <w:marTop w:val="0"/>
      <w:marBottom w:val="0"/>
      <w:divBdr>
        <w:top w:val="none" w:sz="0" w:space="0" w:color="auto"/>
        <w:left w:val="none" w:sz="0" w:space="0" w:color="auto"/>
        <w:bottom w:val="none" w:sz="0" w:space="0" w:color="auto"/>
        <w:right w:val="none" w:sz="0" w:space="0" w:color="auto"/>
      </w:divBdr>
    </w:div>
    <w:div w:id="308021818">
      <w:bodyDiv w:val="1"/>
      <w:marLeft w:val="0"/>
      <w:marRight w:val="0"/>
      <w:marTop w:val="0"/>
      <w:marBottom w:val="0"/>
      <w:divBdr>
        <w:top w:val="none" w:sz="0" w:space="0" w:color="auto"/>
        <w:left w:val="none" w:sz="0" w:space="0" w:color="auto"/>
        <w:bottom w:val="none" w:sz="0" w:space="0" w:color="auto"/>
        <w:right w:val="none" w:sz="0" w:space="0" w:color="auto"/>
      </w:divBdr>
    </w:div>
    <w:div w:id="318383831">
      <w:bodyDiv w:val="1"/>
      <w:marLeft w:val="0"/>
      <w:marRight w:val="0"/>
      <w:marTop w:val="0"/>
      <w:marBottom w:val="0"/>
      <w:divBdr>
        <w:top w:val="none" w:sz="0" w:space="0" w:color="auto"/>
        <w:left w:val="none" w:sz="0" w:space="0" w:color="auto"/>
        <w:bottom w:val="none" w:sz="0" w:space="0" w:color="auto"/>
        <w:right w:val="none" w:sz="0" w:space="0" w:color="auto"/>
      </w:divBdr>
    </w:div>
    <w:div w:id="320933722">
      <w:bodyDiv w:val="1"/>
      <w:marLeft w:val="0"/>
      <w:marRight w:val="0"/>
      <w:marTop w:val="0"/>
      <w:marBottom w:val="0"/>
      <w:divBdr>
        <w:top w:val="none" w:sz="0" w:space="0" w:color="auto"/>
        <w:left w:val="none" w:sz="0" w:space="0" w:color="auto"/>
        <w:bottom w:val="none" w:sz="0" w:space="0" w:color="auto"/>
        <w:right w:val="none" w:sz="0" w:space="0" w:color="auto"/>
      </w:divBdr>
    </w:div>
    <w:div w:id="348915513">
      <w:bodyDiv w:val="1"/>
      <w:marLeft w:val="0"/>
      <w:marRight w:val="0"/>
      <w:marTop w:val="0"/>
      <w:marBottom w:val="0"/>
      <w:divBdr>
        <w:top w:val="none" w:sz="0" w:space="0" w:color="auto"/>
        <w:left w:val="none" w:sz="0" w:space="0" w:color="auto"/>
        <w:bottom w:val="none" w:sz="0" w:space="0" w:color="auto"/>
        <w:right w:val="none" w:sz="0" w:space="0" w:color="auto"/>
      </w:divBdr>
    </w:div>
    <w:div w:id="400980160">
      <w:bodyDiv w:val="1"/>
      <w:marLeft w:val="0"/>
      <w:marRight w:val="0"/>
      <w:marTop w:val="0"/>
      <w:marBottom w:val="0"/>
      <w:divBdr>
        <w:top w:val="none" w:sz="0" w:space="0" w:color="auto"/>
        <w:left w:val="none" w:sz="0" w:space="0" w:color="auto"/>
        <w:bottom w:val="none" w:sz="0" w:space="0" w:color="auto"/>
        <w:right w:val="none" w:sz="0" w:space="0" w:color="auto"/>
      </w:divBdr>
    </w:div>
    <w:div w:id="415130580">
      <w:bodyDiv w:val="1"/>
      <w:marLeft w:val="0"/>
      <w:marRight w:val="0"/>
      <w:marTop w:val="0"/>
      <w:marBottom w:val="0"/>
      <w:divBdr>
        <w:top w:val="none" w:sz="0" w:space="0" w:color="auto"/>
        <w:left w:val="none" w:sz="0" w:space="0" w:color="auto"/>
        <w:bottom w:val="none" w:sz="0" w:space="0" w:color="auto"/>
        <w:right w:val="none" w:sz="0" w:space="0" w:color="auto"/>
      </w:divBdr>
    </w:div>
    <w:div w:id="421992919">
      <w:bodyDiv w:val="1"/>
      <w:marLeft w:val="0"/>
      <w:marRight w:val="0"/>
      <w:marTop w:val="0"/>
      <w:marBottom w:val="0"/>
      <w:divBdr>
        <w:top w:val="none" w:sz="0" w:space="0" w:color="auto"/>
        <w:left w:val="none" w:sz="0" w:space="0" w:color="auto"/>
        <w:bottom w:val="none" w:sz="0" w:space="0" w:color="auto"/>
        <w:right w:val="none" w:sz="0" w:space="0" w:color="auto"/>
      </w:divBdr>
    </w:div>
    <w:div w:id="456603243">
      <w:bodyDiv w:val="1"/>
      <w:marLeft w:val="0"/>
      <w:marRight w:val="0"/>
      <w:marTop w:val="0"/>
      <w:marBottom w:val="0"/>
      <w:divBdr>
        <w:top w:val="none" w:sz="0" w:space="0" w:color="auto"/>
        <w:left w:val="none" w:sz="0" w:space="0" w:color="auto"/>
        <w:bottom w:val="none" w:sz="0" w:space="0" w:color="auto"/>
        <w:right w:val="none" w:sz="0" w:space="0" w:color="auto"/>
      </w:divBdr>
    </w:div>
    <w:div w:id="468326796">
      <w:bodyDiv w:val="1"/>
      <w:marLeft w:val="0"/>
      <w:marRight w:val="0"/>
      <w:marTop w:val="0"/>
      <w:marBottom w:val="0"/>
      <w:divBdr>
        <w:top w:val="none" w:sz="0" w:space="0" w:color="auto"/>
        <w:left w:val="none" w:sz="0" w:space="0" w:color="auto"/>
        <w:bottom w:val="none" w:sz="0" w:space="0" w:color="auto"/>
        <w:right w:val="none" w:sz="0" w:space="0" w:color="auto"/>
      </w:divBdr>
    </w:div>
    <w:div w:id="472021450">
      <w:bodyDiv w:val="1"/>
      <w:marLeft w:val="0"/>
      <w:marRight w:val="0"/>
      <w:marTop w:val="0"/>
      <w:marBottom w:val="0"/>
      <w:divBdr>
        <w:top w:val="none" w:sz="0" w:space="0" w:color="auto"/>
        <w:left w:val="none" w:sz="0" w:space="0" w:color="auto"/>
        <w:bottom w:val="none" w:sz="0" w:space="0" w:color="auto"/>
        <w:right w:val="none" w:sz="0" w:space="0" w:color="auto"/>
      </w:divBdr>
      <w:divsChild>
        <w:div w:id="1486386502">
          <w:marLeft w:val="0"/>
          <w:marRight w:val="0"/>
          <w:marTop w:val="0"/>
          <w:marBottom w:val="0"/>
          <w:divBdr>
            <w:top w:val="none" w:sz="0" w:space="0" w:color="auto"/>
            <w:left w:val="none" w:sz="0" w:space="0" w:color="auto"/>
            <w:bottom w:val="none" w:sz="0" w:space="0" w:color="auto"/>
            <w:right w:val="none" w:sz="0" w:space="0" w:color="auto"/>
          </w:divBdr>
          <w:divsChild>
            <w:div w:id="544221596">
              <w:marLeft w:val="0"/>
              <w:marRight w:val="0"/>
              <w:marTop w:val="0"/>
              <w:marBottom w:val="0"/>
              <w:divBdr>
                <w:top w:val="none" w:sz="0" w:space="0" w:color="auto"/>
                <w:left w:val="none" w:sz="0" w:space="0" w:color="auto"/>
                <w:bottom w:val="none" w:sz="0" w:space="0" w:color="auto"/>
                <w:right w:val="none" w:sz="0" w:space="0" w:color="auto"/>
              </w:divBdr>
              <w:divsChild>
                <w:div w:id="1607545343">
                  <w:marLeft w:val="0"/>
                  <w:marRight w:val="0"/>
                  <w:marTop w:val="0"/>
                  <w:marBottom w:val="0"/>
                  <w:divBdr>
                    <w:top w:val="none" w:sz="0" w:space="0" w:color="auto"/>
                    <w:left w:val="none" w:sz="0" w:space="0" w:color="auto"/>
                    <w:bottom w:val="none" w:sz="0" w:space="0" w:color="auto"/>
                    <w:right w:val="none" w:sz="0" w:space="0" w:color="auto"/>
                  </w:divBdr>
                  <w:divsChild>
                    <w:div w:id="1044132686">
                      <w:marLeft w:val="0"/>
                      <w:marRight w:val="0"/>
                      <w:marTop w:val="0"/>
                      <w:marBottom w:val="0"/>
                      <w:divBdr>
                        <w:top w:val="none" w:sz="0" w:space="0" w:color="auto"/>
                        <w:left w:val="none" w:sz="0" w:space="0" w:color="auto"/>
                        <w:bottom w:val="none" w:sz="0" w:space="0" w:color="auto"/>
                        <w:right w:val="none" w:sz="0" w:space="0" w:color="auto"/>
                      </w:divBdr>
                      <w:divsChild>
                        <w:div w:id="312105211">
                          <w:marLeft w:val="0"/>
                          <w:marRight w:val="0"/>
                          <w:marTop w:val="0"/>
                          <w:marBottom w:val="0"/>
                          <w:divBdr>
                            <w:top w:val="none" w:sz="0" w:space="0" w:color="auto"/>
                            <w:left w:val="none" w:sz="0" w:space="0" w:color="auto"/>
                            <w:bottom w:val="none" w:sz="0" w:space="0" w:color="auto"/>
                            <w:right w:val="none" w:sz="0" w:space="0" w:color="auto"/>
                          </w:divBdr>
                          <w:divsChild>
                            <w:div w:id="1781073667">
                              <w:marLeft w:val="0"/>
                              <w:marRight w:val="0"/>
                              <w:marTop w:val="0"/>
                              <w:marBottom w:val="0"/>
                              <w:divBdr>
                                <w:top w:val="none" w:sz="0" w:space="0" w:color="auto"/>
                                <w:left w:val="none" w:sz="0" w:space="0" w:color="auto"/>
                                <w:bottom w:val="none" w:sz="0" w:space="0" w:color="auto"/>
                                <w:right w:val="none" w:sz="0" w:space="0" w:color="auto"/>
                              </w:divBdr>
                              <w:divsChild>
                                <w:div w:id="769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648624">
      <w:bodyDiv w:val="1"/>
      <w:marLeft w:val="0"/>
      <w:marRight w:val="0"/>
      <w:marTop w:val="0"/>
      <w:marBottom w:val="0"/>
      <w:divBdr>
        <w:top w:val="none" w:sz="0" w:space="0" w:color="auto"/>
        <w:left w:val="none" w:sz="0" w:space="0" w:color="auto"/>
        <w:bottom w:val="none" w:sz="0" w:space="0" w:color="auto"/>
        <w:right w:val="none" w:sz="0" w:space="0" w:color="auto"/>
      </w:divBdr>
    </w:div>
    <w:div w:id="488332533">
      <w:bodyDiv w:val="1"/>
      <w:marLeft w:val="0"/>
      <w:marRight w:val="0"/>
      <w:marTop w:val="0"/>
      <w:marBottom w:val="0"/>
      <w:divBdr>
        <w:top w:val="none" w:sz="0" w:space="0" w:color="auto"/>
        <w:left w:val="none" w:sz="0" w:space="0" w:color="auto"/>
        <w:bottom w:val="none" w:sz="0" w:space="0" w:color="auto"/>
        <w:right w:val="none" w:sz="0" w:space="0" w:color="auto"/>
      </w:divBdr>
    </w:div>
    <w:div w:id="490289212">
      <w:bodyDiv w:val="1"/>
      <w:marLeft w:val="0"/>
      <w:marRight w:val="0"/>
      <w:marTop w:val="0"/>
      <w:marBottom w:val="0"/>
      <w:divBdr>
        <w:top w:val="none" w:sz="0" w:space="0" w:color="auto"/>
        <w:left w:val="none" w:sz="0" w:space="0" w:color="auto"/>
        <w:bottom w:val="none" w:sz="0" w:space="0" w:color="auto"/>
        <w:right w:val="none" w:sz="0" w:space="0" w:color="auto"/>
      </w:divBdr>
    </w:div>
    <w:div w:id="518278811">
      <w:bodyDiv w:val="1"/>
      <w:marLeft w:val="0"/>
      <w:marRight w:val="0"/>
      <w:marTop w:val="0"/>
      <w:marBottom w:val="0"/>
      <w:divBdr>
        <w:top w:val="none" w:sz="0" w:space="0" w:color="auto"/>
        <w:left w:val="none" w:sz="0" w:space="0" w:color="auto"/>
        <w:bottom w:val="none" w:sz="0" w:space="0" w:color="auto"/>
        <w:right w:val="none" w:sz="0" w:space="0" w:color="auto"/>
      </w:divBdr>
    </w:div>
    <w:div w:id="543103220">
      <w:bodyDiv w:val="1"/>
      <w:marLeft w:val="0"/>
      <w:marRight w:val="0"/>
      <w:marTop w:val="0"/>
      <w:marBottom w:val="0"/>
      <w:divBdr>
        <w:top w:val="none" w:sz="0" w:space="0" w:color="auto"/>
        <w:left w:val="none" w:sz="0" w:space="0" w:color="auto"/>
        <w:bottom w:val="none" w:sz="0" w:space="0" w:color="auto"/>
        <w:right w:val="none" w:sz="0" w:space="0" w:color="auto"/>
      </w:divBdr>
      <w:divsChild>
        <w:div w:id="1859199333">
          <w:marLeft w:val="0"/>
          <w:marRight w:val="0"/>
          <w:marTop w:val="0"/>
          <w:marBottom w:val="0"/>
          <w:divBdr>
            <w:top w:val="none" w:sz="0" w:space="0" w:color="auto"/>
            <w:left w:val="none" w:sz="0" w:space="0" w:color="auto"/>
            <w:bottom w:val="none" w:sz="0" w:space="0" w:color="auto"/>
            <w:right w:val="none" w:sz="0" w:space="0" w:color="auto"/>
          </w:divBdr>
        </w:div>
      </w:divsChild>
    </w:div>
    <w:div w:id="546720705">
      <w:bodyDiv w:val="1"/>
      <w:marLeft w:val="0"/>
      <w:marRight w:val="0"/>
      <w:marTop w:val="0"/>
      <w:marBottom w:val="0"/>
      <w:divBdr>
        <w:top w:val="none" w:sz="0" w:space="0" w:color="auto"/>
        <w:left w:val="none" w:sz="0" w:space="0" w:color="auto"/>
        <w:bottom w:val="none" w:sz="0" w:space="0" w:color="auto"/>
        <w:right w:val="none" w:sz="0" w:space="0" w:color="auto"/>
      </w:divBdr>
    </w:div>
    <w:div w:id="573130331">
      <w:bodyDiv w:val="1"/>
      <w:marLeft w:val="0"/>
      <w:marRight w:val="0"/>
      <w:marTop w:val="0"/>
      <w:marBottom w:val="0"/>
      <w:divBdr>
        <w:top w:val="none" w:sz="0" w:space="0" w:color="auto"/>
        <w:left w:val="none" w:sz="0" w:space="0" w:color="auto"/>
        <w:bottom w:val="none" w:sz="0" w:space="0" w:color="auto"/>
        <w:right w:val="none" w:sz="0" w:space="0" w:color="auto"/>
      </w:divBdr>
    </w:div>
    <w:div w:id="574974574">
      <w:bodyDiv w:val="1"/>
      <w:marLeft w:val="0"/>
      <w:marRight w:val="0"/>
      <w:marTop w:val="0"/>
      <w:marBottom w:val="0"/>
      <w:divBdr>
        <w:top w:val="none" w:sz="0" w:space="0" w:color="auto"/>
        <w:left w:val="none" w:sz="0" w:space="0" w:color="auto"/>
        <w:bottom w:val="none" w:sz="0" w:space="0" w:color="auto"/>
        <w:right w:val="none" w:sz="0" w:space="0" w:color="auto"/>
      </w:divBdr>
    </w:div>
    <w:div w:id="619263906">
      <w:bodyDiv w:val="1"/>
      <w:marLeft w:val="0"/>
      <w:marRight w:val="0"/>
      <w:marTop w:val="0"/>
      <w:marBottom w:val="0"/>
      <w:divBdr>
        <w:top w:val="none" w:sz="0" w:space="0" w:color="auto"/>
        <w:left w:val="none" w:sz="0" w:space="0" w:color="auto"/>
        <w:bottom w:val="none" w:sz="0" w:space="0" w:color="auto"/>
        <w:right w:val="none" w:sz="0" w:space="0" w:color="auto"/>
      </w:divBdr>
    </w:div>
    <w:div w:id="715130191">
      <w:bodyDiv w:val="1"/>
      <w:marLeft w:val="0"/>
      <w:marRight w:val="0"/>
      <w:marTop w:val="0"/>
      <w:marBottom w:val="0"/>
      <w:divBdr>
        <w:top w:val="none" w:sz="0" w:space="0" w:color="auto"/>
        <w:left w:val="none" w:sz="0" w:space="0" w:color="auto"/>
        <w:bottom w:val="none" w:sz="0" w:space="0" w:color="auto"/>
        <w:right w:val="none" w:sz="0" w:space="0" w:color="auto"/>
      </w:divBdr>
    </w:div>
    <w:div w:id="716658728">
      <w:bodyDiv w:val="1"/>
      <w:marLeft w:val="0"/>
      <w:marRight w:val="0"/>
      <w:marTop w:val="0"/>
      <w:marBottom w:val="0"/>
      <w:divBdr>
        <w:top w:val="none" w:sz="0" w:space="0" w:color="auto"/>
        <w:left w:val="none" w:sz="0" w:space="0" w:color="auto"/>
        <w:bottom w:val="none" w:sz="0" w:space="0" w:color="auto"/>
        <w:right w:val="none" w:sz="0" w:space="0" w:color="auto"/>
      </w:divBdr>
    </w:div>
    <w:div w:id="746224531">
      <w:bodyDiv w:val="1"/>
      <w:marLeft w:val="0"/>
      <w:marRight w:val="0"/>
      <w:marTop w:val="0"/>
      <w:marBottom w:val="0"/>
      <w:divBdr>
        <w:top w:val="none" w:sz="0" w:space="0" w:color="auto"/>
        <w:left w:val="none" w:sz="0" w:space="0" w:color="auto"/>
        <w:bottom w:val="none" w:sz="0" w:space="0" w:color="auto"/>
        <w:right w:val="none" w:sz="0" w:space="0" w:color="auto"/>
      </w:divBdr>
    </w:div>
    <w:div w:id="761728677">
      <w:bodyDiv w:val="1"/>
      <w:marLeft w:val="0"/>
      <w:marRight w:val="0"/>
      <w:marTop w:val="0"/>
      <w:marBottom w:val="0"/>
      <w:divBdr>
        <w:top w:val="none" w:sz="0" w:space="0" w:color="auto"/>
        <w:left w:val="none" w:sz="0" w:space="0" w:color="auto"/>
        <w:bottom w:val="none" w:sz="0" w:space="0" w:color="auto"/>
        <w:right w:val="none" w:sz="0" w:space="0" w:color="auto"/>
      </w:divBdr>
    </w:div>
    <w:div w:id="780226618">
      <w:bodyDiv w:val="1"/>
      <w:marLeft w:val="0"/>
      <w:marRight w:val="0"/>
      <w:marTop w:val="0"/>
      <w:marBottom w:val="0"/>
      <w:divBdr>
        <w:top w:val="none" w:sz="0" w:space="0" w:color="auto"/>
        <w:left w:val="none" w:sz="0" w:space="0" w:color="auto"/>
        <w:bottom w:val="none" w:sz="0" w:space="0" w:color="auto"/>
        <w:right w:val="none" w:sz="0" w:space="0" w:color="auto"/>
      </w:divBdr>
    </w:div>
    <w:div w:id="812869302">
      <w:bodyDiv w:val="1"/>
      <w:marLeft w:val="0"/>
      <w:marRight w:val="0"/>
      <w:marTop w:val="0"/>
      <w:marBottom w:val="0"/>
      <w:divBdr>
        <w:top w:val="none" w:sz="0" w:space="0" w:color="auto"/>
        <w:left w:val="none" w:sz="0" w:space="0" w:color="auto"/>
        <w:bottom w:val="none" w:sz="0" w:space="0" w:color="auto"/>
        <w:right w:val="none" w:sz="0" w:space="0" w:color="auto"/>
      </w:divBdr>
    </w:div>
    <w:div w:id="821579210">
      <w:bodyDiv w:val="1"/>
      <w:marLeft w:val="0"/>
      <w:marRight w:val="0"/>
      <w:marTop w:val="0"/>
      <w:marBottom w:val="0"/>
      <w:divBdr>
        <w:top w:val="none" w:sz="0" w:space="0" w:color="auto"/>
        <w:left w:val="none" w:sz="0" w:space="0" w:color="auto"/>
        <w:bottom w:val="none" w:sz="0" w:space="0" w:color="auto"/>
        <w:right w:val="none" w:sz="0" w:space="0" w:color="auto"/>
      </w:divBdr>
    </w:div>
    <w:div w:id="872956945">
      <w:bodyDiv w:val="1"/>
      <w:marLeft w:val="0"/>
      <w:marRight w:val="0"/>
      <w:marTop w:val="0"/>
      <w:marBottom w:val="0"/>
      <w:divBdr>
        <w:top w:val="none" w:sz="0" w:space="0" w:color="auto"/>
        <w:left w:val="none" w:sz="0" w:space="0" w:color="auto"/>
        <w:bottom w:val="none" w:sz="0" w:space="0" w:color="auto"/>
        <w:right w:val="none" w:sz="0" w:space="0" w:color="auto"/>
      </w:divBdr>
    </w:div>
    <w:div w:id="894580945">
      <w:bodyDiv w:val="1"/>
      <w:marLeft w:val="0"/>
      <w:marRight w:val="0"/>
      <w:marTop w:val="0"/>
      <w:marBottom w:val="0"/>
      <w:divBdr>
        <w:top w:val="none" w:sz="0" w:space="0" w:color="auto"/>
        <w:left w:val="none" w:sz="0" w:space="0" w:color="auto"/>
        <w:bottom w:val="none" w:sz="0" w:space="0" w:color="auto"/>
        <w:right w:val="none" w:sz="0" w:space="0" w:color="auto"/>
      </w:divBdr>
      <w:divsChild>
        <w:div w:id="1779056135">
          <w:marLeft w:val="0"/>
          <w:marRight w:val="0"/>
          <w:marTop w:val="0"/>
          <w:marBottom w:val="0"/>
          <w:divBdr>
            <w:top w:val="none" w:sz="0" w:space="0" w:color="auto"/>
            <w:left w:val="none" w:sz="0" w:space="0" w:color="auto"/>
            <w:bottom w:val="none" w:sz="0" w:space="0" w:color="auto"/>
            <w:right w:val="none" w:sz="0" w:space="0" w:color="auto"/>
          </w:divBdr>
        </w:div>
      </w:divsChild>
    </w:div>
    <w:div w:id="899482039">
      <w:bodyDiv w:val="1"/>
      <w:marLeft w:val="0"/>
      <w:marRight w:val="0"/>
      <w:marTop w:val="0"/>
      <w:marBottom w:val="0"/>
      <w:divBdr>
        <w:top w:val="none" w:sz="0" w:space="0" w:color="auto"/>
        <w:left w:val="none" w:sz="0" w:space="0" w:color="auto"/>
        <w:bottom w:val="none" w:sz="0" w:space="0" w:color="auto"/>
        <w:right w:val="none" w:sz="0" w:space="0" w:color="auto"/>
      </w:divBdr>
    </w:div>
    <w:div w:id="899905143">
      <w:bodyDiv w:val="1"/>
      <w:marLeft w:val="0"/>
      <w:marRight w:val="0"/>
      <w:marTop w:val="0"/>
      <w:marBottom w:val="0"/>
      <w:divBdr>
        <w:top w:val="none" w:sz="0" w:space="0" w:color="auto"/>
        <w:left w:val="none" w:sz="0" w:space="0" w:color="auto"/>
        <w:bottom w:val="none" w:sz="0" w:space="0" w:color="auto"/>
        <w:right w:val="none" w:sz="0" w:space="0" w:color="auto"/>
      </w:divBdr>
    </w:div>
    <w:div w:id="900022798">
      <w:bodyDiv w:val="1"/>
      <w:marLeft w:val="0"/>
      <w:marRight w:val="0"/>
      <w:marTop w:val="0"/>
      <w:marBottom w:val="0"/>
      <w:divBdr>
        <w:top w:val="none" w:sz="0" w:space="0" w:color="auto"/>
        <w:left w:val="none" w:sz="0" w:space="0" w:color="auto"/>
        <w:bottom w:val="none" w:sz="0" w:space="0" w:color="auto"/>
        <w:right w:val="none" w:sz="0" w:space="0" w:color="auto"/>
      </w:divBdr>
    </w:div>
    <w:div w:id="913126758">
      <w:bodyDiv w:val="1"/>
      <w:marLeft w:val="0"/>
      <w:marRight w:val="0"/>
      <w:marTop w:val="0"/>
      <w:marBottom w:val="0"/>
      <w:divBdr>
        <w:top w:val="none" w:sz="0" w:space="0" w:color="auto"/>
        <w:left w:val="none" w:sz="0" w:space="0" w:color="auto"/>
        <w:bottom w:val="none" w:sz="0" w:space="0" w:color="auto"/>
        <w:right w:val="none" w:sz="0" w:space="0" w:color="auto"/>
      </w:divBdr>
    </w:div>
    <w:div w:id="939798500">
      <w:bodyDiv w:val="1"/>
      <w:marLeft w:val="0"/>
      <w:marRight w:val="0"/>
      <w:marTop w:val="0"/>
      <w:marBottom w:val="0"/>
      <w:divBdr>
        <w:top w:val="none" w:sz="0" w:space="0" w:color="auto"/>
        <w:left w:val="none" w:sz="0" w:space="0" w:color="auto"/>
        <w:bottom w:val="none" w:sz="0" w:space="0" w:color="auto"/>
        <w:right w:val="none" w:sz="0" w:space="0" w:color="auto"/>
      </w:divBdr>
    </w:div>
    <w:div w:id="950547969">
      <w:bodyDiv w:val="1"/>
      <w:marLeft w:val="0"/>
      <w:marRight w:val="0"/>
      <w:marTop w:val="0"/>
      <w:marBottom w:val="0"/>
      <w:divBdr>
        <w:top w:val="none" w:sz="0" w:space="0" w:color="auto"/>
        <w:left w:val="none" w:sz="0" w:space="0" w:color="auto"/>
        <w:bottom w:val="none" w:sz="0" w:space="0" w:color="auto"/>
        <w:right w:val="none" w:sz="0" w:space="0" w:color="auto"/>
      </w:divBdr>
      <w:divsChild>
        <w:div w:id="721176488">
          <w:marLeft w:val="0"/>
          <w:marRight w:val="0"/>
          <w:marTop w:val="0"/>
          <w:marBottom w:val="0"/>
          <w:divBdr>
            <w:top w:val="single" w:sz="2" w:space="0" w:color="auto"/>
            <w:left w:val="single" w:sz="2" w:space="0" w:color="auto"/>
            <w:bottom w:val="single" w:sz="2" w:space="0" w:color="auto"/>
            <w:right w:val="single" w:sz="2" w:space="0" w:color="auto"/>
          </w:divBdr>
          <w:divsChild>
            <w:div w:id="883298126">
              <w:marLeft w:val="0"/>
              <w:marRight w:val="0"/>
              <w:marTop w:val="0"/>
              <w:marBottom w:val="0"/>
              <w:divBdr>
                <w:top w:val="single" w:sz="2" w:space="0" w:color="auto"/>
                <w:left w:val="single" w:sz="2" w:space="0" w:color="auto"/>
                <w:bottom w:val="single" w:sz="2" w:space="0" w:color="auto"/>
                <w:right w:val="single" w:sz="2" w:space="0" w:color="auto"/>
              </w:divBdr>
              <w:divsChild>
                <w:div w:id="1974559379">
                  <w:marLeft w:val="0"/>
                  <w:marRight w:val="0"/>
                  <w:marTop w:val="0"/>
                  <w:marBottom w:val="0"/>
                  <w:divBdr>
                    <w:top w:val="single" w:sz="2" w:space="0" w:color="auto"/>
                    <w:left w:val="single" w:sz="2" w:space="0" w:color="auto"/>
                    <w:bottom w:val="single" w:sz="2" w:space="0" w:color="auto"/>
                    <w:right w:val="single" w:sz="2" w:space="0" w:color="auto"/>
                  </w:divBdr>
                  <w:divsChild>
                    <w:div w:id="1017197835">
                      <w:marLeft w:val="0"/>
                      <w:marRight w:val="0"/>
                      <w:marTop w:val="0"/>
                      <w:marBottom w:val="0"/>
                      <w:divBdr>
                        <w:top w:val="single" w:sz="2" w:space="0" w:color="auto"/>
                        <w:left w:val="single" w:sz="2" w:space="0" w:color="auto"/>
                        <w:bottom w:val="single" w:sz="2" w:space="0" w:color="auto"/>
                        <w:right w:val="single" w:sz="2" w:space="0" w:color="auto"/>
                      </w:divBdr>
                      <w:divsChild>
                        <w:div w:id="1139424208">
                          <w:marLeft w:val="0"/>
                          <w:marRight w:val="0"/>
                          <w:marTop w:val="0"/>
                          <w:marBottom w:val="0"/>
                          <w:divBdr>
                            <w:top w:val="single" w:sz="2" w:space="0" w:color="auto"/>
                            <w:left w:val="single" w:sz="2" w:space="0" w:color="auto"/>
                            <w:bottom w:val="single" w:sz="2" w:space="0" w:color="auto"/>
                            <w:right w:val="single" w:sz="2" w:space="0" w:color="auto"/>
                          </w:divBdr>
                          <w:divsChild>
                            <w:div w:id="511066065">
                              <w:marLeft w:val="0"/>
                              <w:marRight w:val="0"/>
                              <w:marTop w:val="0"/>
                              <w:marBottom w:val="0"/>
                              <w:divBdr>
                                <w:top w:val="single" w:sz="2" w:space="0" w:color="auto"/>
                                <w:left w:val="single" w:sz="2" w:space="0" w:color="auto"/>
                                <w:bottom w:val="single" w:sz="2" w:space="0" w:color="auto"/>
                                <w:right w:val="single" w:sz="2" w:space="0" w:color="auto"/>
                              </w:divBdr>
                              <w:divsChild>
                                <w:div w:id="1863661736">
                                  <w:marLeft w:val="0"/>
                                  <w:marRight w:val="0"/>
                                  <w:marTop w:val="0"/>
                                  <w:marBottom w:val="0"/>
                                  <w:divBdr>
                                    <w:top w:val="single" w:sz="2" w:space="0" w:color="auto"/>
                                    <w:left w:val="single" w:sz="2" w:space="0" w:color="auto"/>
                                    <w:bottom w:val="single" w:sz="2" w:space="0" w:color="auto"/>
                                    <w:right w:val="single" w:sz="2" w:space="0" w:color="auto"/>
                                  </w:divBdr>
                                  <w:divsChild>
                                    <w:div w:id="922572025">
                                      <w:marLeft w:val="0"/>
                                      <w:marRight w:val="0"/>
                                      <w:marTop w:val="0"/>
                                      <w:marBottom w:val="0"/>
                                      <w:divBdr>
                                        <w:top w:val="single" w:sz="2" w:space="0" w:color="auto"/>
                                        <w:left w:val="single" w:sz="2" w:space="0" w:color="auto"/>
                                        <w:bottom w:val="single" w:sz="2" w:space="0" w:color="auto"/>
                                        <w:right w:val="single" w:sz="2" w:space="0" w:color="auto"/>
                                      </w:divBdr>
                                      <w:divsChild>
                                        <w:div w:id="1325936895">
                                          <w:marLeft w:val="0"/>
                                          <w:marRight w:val="0"/>
                                          <w:marTop w:val="0"/>
                                          <w:marBottom w:val="0"/>
                                          <w:divBdr>
                                            <w:top w:val="single" w:sz="2" w:space="0" w:color="auto"/>
                                            <w:left w:val="single" w:sz="2" w:space="0" w:color="auto"/>
                                            <w:bottom w:val="single" w:sz="2" w:space="0" w:color="auto"/>
                                            <w:right w:val="single" w:sz="2" w:space="0" w:color="auto"/>
                                          </w:divBdr>
                                          <w:divsChild>
                                            <w:div w:id="1182234998">
                                              <w:marLeft w:val="0"/>
                                              <w:marRight w:val="0"/>
                                              <w:marTop w:val="0"/>
                                              <w:marBottom w:val="0"/>
                                              <w:divBdr>
                                                <w:top w:val="single" w:sz="2" w:space="0" w:color="auto"/>
                                                <w:left w:val="single" w:sz="2" w:space="0" w:color="auto"/>
                                                <w:bottom w:val="single" w:sz="2" w:space="0" w:color="auto"/>
                                                <w:right w:val="single" w:sz="2" w:space="0" w:color="auto"/>
                                              </w:divBdr>
                                              <w:divsChild>
                                                <w:div w:id="835846716">
                                                  <w:marLeft w:val="0"/>
                                                  <w:marRight w:val="0"/>
                                                  <w:marTop w:val="0"/>
                                                  <w:marBottom w:val="0"/>
                                                  <w:divBdr>
                                                    <w:top w:val="single" w:sz="2" w:space="0" w:color="auto"/>
                                                    <w:left w:val="single" w:sz="2" w:space="0" w:color="auto"/>
                                                    <w:bottom w:val="single" w:sz="2" w:space="0" w:color="auto"/>
                                                    <w:right w:val="single" w:sz="2" w:space="0" w:color="auto"/>
                                                  </w:divBdr>
                                                  <w:divsChild>
                                                    <w:div w:id="571352238">
                                                      <w:marLeft w:val="0"/>
                                                      <w:marRight w:val="0"/>
                                                      <w:marTop w:val="0"/>
                                                      <w:marBottom w:val="0"/>
                                                      <w:divBdr>
                                                        <w:top w:val="single" w:sz="2" w:space="0" w:color="auto"/>
                                                        <w:left w:val="single" w:sz="2" w:space="0" w:color="auto"/>
                                                        <w:bottom w:val="single" w:sz="2" w:space="0" w:color="auto"/>
                                                        <w:right w:val="single" w:sz="2" w:space="0" w:color="auto"/>
                                                      </w:divBdr>
                                                      <w:divsChild>
                                                        <w:div w:id="1661883866">
                                                          <w:marLeft w:val="0"/>
                                                          <w:marRight w:val="0"/>
                                                          <w:marTop w:val="0"/>
                                                          <w:marBottom w:val="0"/>
                                                          <w:divBdr>
                                                            <w:top w:val="single" w:sz="2" w:space="0" w:color="auto"/>
                                                            <w:left w:val="single" w:sz="2" w:space="0" w:color="auto"/>
                                                            <w:bottom w:val="single" w:sz="2" w:space="0" w:color="auto"/>
                                                            <w:right w:val="single" w:sz="2" w:space="0" w:color="auto"/>
                                                          </w:divBdr>
                                                          <w:divsChild>
                                                            <w:div w:id="1928689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73830062">
          <w:marLeft w:val="0"/>
          <w:marRight w:val="0"/>
          <w:marTop w:val="0"/>
          <w:marBottom w:val="0"/>
          <w:divBdr>
            <w:top w:val="single" w:sz="2" w:space="24" w:color="auto"/>
            <w:left w:val="single" w:sz="2" w:space="0" w:color="auto"/>
            <w:bottom w:val="single" w:sz="2" w:space="0" w:color="auto"/>
            <w:right w:val="single" w:sz="2" w:space="0" w:color="auto"/>
          </w:divBdr>
          <w:divsChild>
            <w:div w:id="1858352572">
              <w:marLeft w:val="0"/>
              <w:marRight w:val="0"/>
              <w:marTop w:val="0"/>
              <w:marBottom w:val="0"/>
              <w:divBdr>
                <w:top w:val="single" w:sz="2" w:space="0" w:color="auto"/>
                <w:left w:val="single" w:sz="2" w:space="0" w:color="auto"/>
                <w:bottom w:val="single" w:sz="2" w:space="0" w:color="auto"/>
                <w:right w:val="single" w:sz="2" w:space="0" w:color="auto"/>
              </w:divBdr>
              <w:divsChild>
                <w:div w:id="934243699">
                  <w:marLeft w:val="0"/>
                  <w:marRight w:val="0"/>
                  <w:marTop w:val="0"/>
                  <w:marBottom w:val="0"/>
                  <w:divBdr>
                    <w:top w:val="single" w:sz="2" w:space="0" w:color="auto"/>
                    <w:left w:val="single" w:sz="2" w:space="0" w:color="auto"/>
                    <w:bottom w:val="single" w:sz="2" w:space="0" w:color="auto"/>
                    <w:right w:val="single" w:sz="2" w:space="0" w:color="auto"/>
                  </w:divBdr>
                  <w:divsChild>
                    <w:div w:id="2004426846">
                      <w:marLeft w:val="0"/>
                      <w:marRight w:val="0"/>
                      <w:marTop w:val="0"/>
                      <w:marBottom w:val="0"/>
                      <w:divBdr>
                        <w:top w:val="single" w:sz="2" w:space="0" w:color="auto"/>
                        <w:left w:val="single" w:sz="2" w:space="0" w:color="auto"/>
                        <w:bottom w:val="single" w:sz="2" w:space="0" w:color="auto"/>
                        <w:right w:val="single" w:sz="2" w:space="0" w:color="auto"/>
                      </w:divBdr>
                      <w:divsChild>
                        <w:div w:id="1394503898">
                          <w:marLeft w:val="0"/>
                          <w:marRight w:val="0"/>
                          <w:marTop w:val="0"/>
                          <w:marBottom w:val="0"/>
                          <w:divBdr>
                            <w:top w:val="single" w:sz="2" w:space="0" w:color="auto"/>
                            <w:left w:val="single" w:sz="2" w:space="0" w:color="auto"/>
                            <w:bottom w:val="single" w:sz="2" w:space="0" w:color="auto"/>
                            <w:right w:val="single" w:sz="2" w:space="0" w:color="auto"/>
                          </w:divBdr>
                          <w:divsChild>
                            <w:div w:id="1812555111">
                              <w:marLeft w:val="0"/>
                              <w:marRight w:val="0"/>
                              <w:marTop w:val="0"/>
                              <w:marBottom w:val="0"/>
                              <w:divBdr>
                                <w:top w:val="single" w:sz="2" w:space="0" w:color="auto"/>
                                <w:left w:val="single" w:sz="2" w:space="0" w:color="auto"/>
                                <w:bottom w:val="single" w:sz="2" w:space="0" w:color="auto"/>
                                <w:right w:val="single" w:sz="2" w:space="0" w:color="auto"/>
                              </w:divBdr>
                              <w:divsChild>
                                <w:div w:id="1227883693">
                                  <w:marLeft w:val="0"/>
                                  <w:marRight w:val="0"/>
                                  <w:marTop w:val="0"/>
                                  <w:marBottom w:val="0"/>
                                  <w:divBdr>
                                    <w:top w:val="single" w:sz="2" w:space="0" w:color="auto"/>
                                    <w:left w:val="single" w:sz="2" w:space="0" w:color="auto"/>
                                    <w:bottom w:val="single" w:sz="2" w:space="0" w:color="auto"/>
                                    <w:right w:val="single" w:sz="2" w:space="0" w:color="auto"/>
                                  </w:divBdr>
                                  <w:divsChild>
                                    <w:div w:id="1453985918">
                                      <w:marLeft w:val="0"/>
                                      <w:marRight w:val="0"/>
                                      <w:marTop w:val="0"/>
                                      <w:marBottom w:val="0"/>
                                      <w:divBdr>
                                        <w:top w:val="single" w:sz="2" w:space="0" w:color="auto"/>
                                        <w:left w:val="single" w:sz="2" w:space="0" w:color="auto"/>
                                        <w:bottom w:val="single" w:sz="2" w:space="0" w:color="auto"/>
                                        <w:right w:val="single" w:sz="2" w:space="0" w:color="auto"/>
                                      </w:divBdr>
                                      <w:divsChild>
                                        <w:div w:id="1741557329">
                                          <w:marLeft w:val="0"/>
                                          <w:marRight w:val="0"/>
                                          <w:marTop w:val="0"/>
                                          <w:marBottom w:val="0"/>
                                          <w:divBdr>
                                            <w:top w:val="single" w:sz="2" w:space="0" w:color="auto"/>
                                            <w:left w:val="single" w:sz="2" w:space="0" w:color="auto"/>
                                            <w:bottom w:val="single" w:sz="2" w:space="0" w:color="auto"/>
                                            <w:right w:val="single" w:sz="2" w:space="0" w:color="auto"/>
                                          </w:divBdr>
                                          <w:divsChild>
                                            <w:div w:id="1438477082">
                                              <w:marLeft w:val="0"/>
                                              <w:marRight w:val="0"/>
                                              <w:marTop w:val="0"/>
                                              <w:marBottom w:val="0"/>
                                              <w:divBdr>
                                                <w:top w:val="single" w:sz="2" w:space="0" w:color="auto"/>
                                                <w:left w:val="single" w:sz="2" w:space="0" w:color="auto"/>
                                                <w:bottom w:val="single" w:sz="2" w:space="0" w:color="auto"/>
                                                <w:right w:val="single" w:sz="2" w:space="0" w:color="auto"/>
                                              </w:divBdr>
                                              <w:divsChild>
                                                <w:div w:id="1850411011">
                                                  <w:marLeft w:val="0"/>
                                                  <w:marRight w:val="0"/>
                                                  <w:marTop w:val="0"/>
                                                  <w:marBottom w:val="0"/>
                                                  <w:divBdr>
                                                    <w:top w:val="single" w:sz="2" w:space="0" w:color="auto"/>
                                                    <w:left w:val="single" w:sz="2" w:space="0" w:color="auto"/>
                                                    <w:bottom w:val="single" w:sz="2" w:space="0" w:color="auto"/>
                                                    <w:right w:val="single" w:sz="2" w:space="0" w:color="auto"/>
                                                  </w:divBdr>
                                                  <w:divsChild>
                                                    <w:div w:id="1988850419">
                                                      <w:marLeft w:val="0"/>
                                                      <w:marRight w:val="0"/>
                                                      <w:marTop w:val="0"/>
                                                      <w:marBottom w:val="0"/>
                                                      <w:divBdr>
                                                        <w:top w:val="single" w:sz="2" w:space="0" w:color="auto"/>
                                                        <w:left w:val="single" w:sz="2" w:space="0" w:color="auto"/>
                                                        <w:bottom w:val="single" w:sz="2" w:space="0" w:color="auto"/>
                                                        <w:right w:val="single" w:sz="2" w:space="0" w:color="auto"/>
                                                      </w:divBdr>
                                                      <w:divsChild>
                                                        <w:div w:id="533151314">
                                                          <w:marLeft w:val="0"/>
                                                          <w:marRight w:val="0"/>
                                                          <w:marTop w:val="0"/>
                                                          <w:marBottom w:val="0"/>
                                                          <w:divBdr>
                                                            <w:top w:val="single" w:sz="2" w:space="0" w:color="auto"/>
                                                            <w:left w:val="single" w:sz="2" w:space="0" w:color="auto"/>
                                                            <w:bottom w:val="single" w:sz="2" w:space="0" w:color="auto"/>
                                                            <w:right w:val="single" w:sz="2" w:space="0" w:color="auto"/>
                                                          </w:divBdr>
                                                          <w:divsChild>
                                                            <w:div w:id="1942712699">
                                                              <w:marLeft w:val="0"/>
                                                              <w:marRight w:val="0"/>
                                                              <w:marTop w:val="0"/>
                                                              <w:marBottom w:val="0"/>
                                                              <w:divBdr>
                                                                <w:top w:val="single" w:sz="2" w:space="0" w:color="auto"/>
                                                                <w:left w:val="single" w:sz="2" w:space="0" w:color="auto"/>
                                                                <w:bottom w:val="single" w:sz="2" w:space="0" w:color="auto"/>
                                                                <w:right w:val="single" w:sz="2" w:space="0" w:color="auto"/>
                                                              </w:divBdr>
                                                              <w:divsChild>
                                                                <w:div w:id="1863395410">
                                                                  <w:marLeft w:val="0"/>
                                                                  <w:marRight w:val="0"/>
                                                                  <w:marTop w:val="0"/>
                                                                  <w:marBottom w:val="0"/>
                                                                  <w:divBdr>
                                                                    <w:top w:val="single" w:sz="2" w:space="0" w:color="auto"/>
                                                                    <w:left w:val="single" w:sz="2" w:space="0" w:color="auto"/>
                                                                    <w:bottom w:val="single" w:sz="2" w:space="0" w:color="auto"/>
                                                                    <w:right w:val="single" w:sz="2" w:space="0" w:color="auto"/>
                                                                  </w:divBdr>
                                                                  <w:divsChild>
                                                                    <w:div w:id="400106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6837146">
      <w:bodyDiv w:val="1"/>
      <w:marLeft w:val="0"/>
      <w:marRight w:val="0"/>
      <w:marTop w:val="0"/>
      <w:marBottom w:val="0"/>
      <w:divBdr>
        <w:top w:val="none" w:sz="0" w:space="0" w:color="auto"/>
        <w:left w:val="none" w:sz="0" w:space="0" w:color="auto"/>
        <w:bottom w:val="none" w:sz="0" w:space="0" w:color="auto"/>
        <w:right w:val="none" w:sz="0" w:space="0" w:color="auto"/>
      </w:divBdr>
    </w:div>
    <w:div w:id="960040726">
      <w:bodyDiv w:val="1"/>
      <w:marLeft w:val="0"/>
      <w:marRight w:val="0"/>
      <w:marTop w:val="0"/>
      <w:marBottom w:val="0"/>
      <w:divBdr>
        <w:top w:val="none" w:sz="0" w:space="0" w:color="auto"/>
        <w:left w:val="none" w:sz="0" w:space="0" w:color="auto"/>
        <w:bottom w:val="none" w:sz="0" w:space="0" w:color="auto"/>
        <w:right w:val="none" w:sz="0" w:space="0" w:color="auto"/>
      </w:divBdr>
    </w:div>
    <w:div w:id="967933183">
      <w:bodyDiv w:val="1"/>
      <w:marLeft w:val="0"/>
      <w:marRight w:val="0"/>
      <w:marTop w:val="0"/>
      <w:marBottom w:val="0"/>
      <w:divBdr>
        <w:top w:val="none" w:sz="0" w:space="0" w:color="auto"/>
        <w:left w:val="none" w:sz="0" w:space="0" w:color="auto"/>
        <w:bottom w:val="none" w:sz="0" w:space="0" w:color="auto"/>
        <w:right w:val="none" w:sz="0" w:space="0" w:color="auto"/>
      </w:divBdr>
    </w:div>
    <w:div w:id="991324136">
      <w:bodyDiv w:val="1"/>
      <w:marLeft w:val="0"/>
      <w:marRight w:val="0"/>
      <w:marTop w:val="0"/>
      <w:marBottom w:val="0"/>
      <w:divBdr>
        <w:top w:val="none" w:sz="0" w:space="0" w:color="auto"/>
        <w:left w:val="none" w:sz="0" w:space="0" w:color="auto"/>
        <w:bottom w:val="none" w:sz="0" w:space="0" w:color="auto"/>
        <w:right w:val="none" w:sz="0" w:space="0" w:color="auto"/>
      </w:divBdr>
      <w:divsChild>
        <w:div w:id="467868382">
          <w:marLeft w:val="0"/>
          <w:marRight w:val="0"/>
          <w:marTop w:val="0"/>
          <w:marBottom w:val="0"/>
          <w:divBdr>
            <w:top w:val="none" w:sz="0" w:space="0" w:color="auto"/>
            <w:left w:val="none" w:sz="0" w:space="0" w:color="auto"/>
            <w:bottom w:val="none" w:sz="0" w:space="0" w:color="auto"/>
            <w:right w:val="none" w:sz="0" w:space="0" w:color="auto"/>
          </w:divBdr>
        </w:div>
        <w:div w:id="1348287317">
          <w:marLeft w:val="0"/>
          <w:marRight w:val="0"/>
          <w:marTop w:val="0"/>
          <w:marBottom w:val="0"/>
          <w:divBdr>
            <w:top w:val="none" w:sz="0" w:space="0" w:color="auto"/>
            <w:left w:val="none" w:sz="0" w:space="0" w:color="auto"/>
            <w:bottom w:val="none" w:sz="0" w:space="0" w:color="auto"/>
            <w:right w:val="none" w:sz="0" w:space="0" w:color="auto"/>
          </w:divBdr>
        </w:div>
      </w:divsChild>
    </w:div>
    <w:div w:id="997000397">
      <w:bodyDiv w:val="1"/>
      <w:marLeft w:val="0"/>
      <w:marRight w:val="0"/>
      <w:marTop w:val="0"/>
      <w:marBottom w:val="0"/>
      <w:divBdr>
        <w:top w:val="none" w:sz="0" w:space="0" w:color="auto"/>
        <w:left w:val="none" w:sz="0" w:space="0" w:color="auto"/>
        <w:bottom w:val="none" w:sz="0" w:space="0" w:color="auto"/>
        <w:right w:val="none" w:sz="0" w:space="0" w:color="auto"/>
      </w:divBdr>
    </w:div>
    <w:div w:id="1040125720">
      <w:bodyDiv w:val="1"/>
      <w:marLeft w:val="0"/>
      <w:marRight w:val="0"/>
      <w:marTop w:val="0"/>
      <w:marBottom w:val="0"/>
      <w:divBdr>
        <w:top w:val="none" w:sz="0" w:space="0" w:color="auto"/>
        <w:left w:val="none" w:sz="0" w:space="0" w:color="auto"/>
        <w:bottom w:val="none" w:sz="0" w:space="0" w:color="auto"/>
        <w:right w:val="none" w:sz="0" w:space="0" w:color="auto"/>
      </w:divBdr>
    </w:div>
    <w:div w:id="1040400901">
      <w:bodyDiv w:val="1"/>
      <w:marLeft w:val="0"/>
      <w:marRight w:val="0"/>
      <w:marTop w:val="0"/>
      <w:marBottom w:val="0"/>
      <w:divBdr>
        <w:top w:val="none" w:sz="0" w:space="0" w:color="auto"/>
        <w:left w:val="none" w:sz="0" w:space="0" w:color="auto"/>
        <w:bottom w:val="none" w:sz="0" w:space="0" w:color="auto"/>
        <w:right w:val="none" w:sz="0" w:space="0" w:color="auto"/>
      </w:divBdr>
    </w:div>
    <w:div w:id="1073359128">
      <w:bodyDiv w:val="1"/>
      <w:marLeft w:val="0"/>
      <w:marRight w:val="0"/>
      <w:marTop w:val="0"/>
      <w:marBottom w:val="0"/>
      <w:divBdr>
        <w:top w:val="none" w:sz="0" w:space="0" w:color="auto"/>
        <w:left w:val="none" w:sz="0" w:space="0" w:color="auto"/>
        <w:bottom w:val="none" w:sz="0" w:space="0" w:color="auto"/>
        <w:right w:val="none" w:sz="0" w:space="0" w:color="auto"/>
      </w:divBdr>
      <w:divsChild>
        <w:div w:id="2027750739">
          <w:marLeft w:val="0"/>
          <w:marRight w:val="0"/>
          <w:marTop w:val="0"/>
          <w:marBottom w:val="0"/>
          <w:divBdr>
            <w:top w:val="single" w:sz="2" w:space="0" w:color="auto"/>
            <w:left w:val="single" w:sz="2" w:space="0" w:color="auto"/>
            <w:bottom w:val="single" w:sz="2" w:space="0" w:color="auto"/>
            <w:right w:val="single" w:sz="2" w:space="0" w:color="auto"/>
          </w:divBdr>
          <w:divsChild>
            <w:div w:id="840582279">
              <w:marLeft w:val="0"/>
              <w:marRight w:val="0"/>
              <w:marTop w:val="0"/>
              <w:marBottom w:val="0"/>
              <w:divBdr>
                <w:top w:val="single" w:sz="2" w:space="0" w:color="auto"/>
                <w:left w:val="single" w:sz="2" w:space="0" w:color="auto"/>
                <w:bottom w:val="single" w:sz="2" w:space="0" w:color="auto"/>
                <w:right w:val="single" w:sz="2" w:space="0" w:color="auto"/>
              </w:divBdr>
              <w:divsChild>
                <w:div w:id="124858643">
                  <w:marLeft w:val="0"/>
                  <w:marRight w:val="0"/>
                  <w:marTop w:val="0"/>
                  <w:marBottom w:val="0"/>
                  <w:divBdr>
                    <w:top w:val="single" w:sz="2" w:space="24" w:color="auto"/>
                    <w:left w:val="single" w:sz="2" w:space="0" w:color="auto"/>
                    <w:bottom w:val="single" w:sz="2" w:space="0" w:color="auto"/>
                    <w:right w:val="single" w:sz="2" w:space="0" w:color="auto"/>
                  </w:divBdr>
                  <w:divsChild>
                    <w:div w:id="1219587547">
                      <w:marLeft w:val="0"/>
                      <w:marRight w:val="0"/>
                      <w:marTop w:val="0"/>
                      <w:marBottom w:val="0"/>
                      <w:divBdr>
                        <w:top w:val="single" w:sz="2" w:space="0" w:color="auto"/>
                        <w:left w:val="single" w:sz="2" w:space="0" w:color="auto"/>
                        <w:bottom w:val="single" w:sz="2" w:space="0" w:color="auto"/>
                        <w:right w:val="single" w:sz="2" w:space="0" w:color="auto"/>
                      </w:divBdr>
                      <w:divsChild>
                        <w:div w:id="606158043">
                          <w:marLeft w:val="0"/>
                          <w:marRight w:val="0"/>
                          <w:marTop w:val="0"/>
                          <w:marBottom w:val="0"/>
                          <w:divBdr>
                            <w:top w:val="single" w:sz="2" w:space="0" w:color="auto"/>
                            <w:left w:val="single" w:sz="2" w:space="0" w:color="auto"/>
                            <w:bottom w:val="single" w:sz="2" w:space="0" w:color="auto"/>
                            <w:right w:val="single" w:sz="2" w:space="0" w:color="auto"/>
                          </w:divBdr>
                          <w:divsChild>
                            <w:div w:id="1310286796">
                              <w:marLeft w:val="0"/>
                              <w:marRight w:val="0"/>
                              <w:marTop w:val="0"/>
                              <w:marBottom w:val="0"/>
                              <w:divBdr>
                                <w:top w:val="single" w:sz="2" w:space="0" w:color="auto"/>
                                <w:left w:val="single" w:sz="2" w:space="0" w:color="auto"/>
                                <w:bottom w:val="single" w:sz="2" w:space="0" w:color="auto"/>
                                <w:right w:val="single" w:sz="2" w:space="0" w:color="auto"/>
                              </w:divBdr>
                              <w:divsChild>
                                <w:div w:id="1323508227">
                                  <w:marLeft w:val="0"/>
                                  <w:marRight w:val="0"/>
                                  <w:marTop w:val="0"/>
                                  <w:marBottom w:val="0"/>
                                  <w:divBdr>
                                    <w:top w:val="single" w:sz="2" w:space="0" w:color="auto"/>
                                    <w:left w:val="single" w:sz="2" w:space="0" w:color="auto"/>
                                    <w:bottom w:val="single" w:sz="2" w:space="0" w:color="auto"/>
                                    <w:right w:val="single" w:sz="2" w:space="0" w:color="auto"/>
                                  </w:divBdr>
                                  <w:divsChild>
                                    <w:div w:id="240868764">
                                      <w:marLeft w:val="0"/>
                                      <w:marRight w:val="0"/>
                                      <w:marTop w:val="0"/>
                                      <w:marBottom w:val="0"/>
                                      <w:divBdr>
                                        <w:top w:val="single" w:sz="2" w:space="0" w:color="auto"/>
                                        <w:left w:val="single" w:sz="2" w:space="0" w:color="auto"/>
                                        <w:bottom w:val="single" w:sz="2" w:space="0" w:color="auto"/>
                                        <w:right w:val="single" w:sz="2" w:space="0" w:color="auto"/>
                                      </w:divBdr>
                                      <w:divsChild>
                                        <w:div w:id="1035614396">
                                          <w:marLeft w:val="0"/>
                                          <w:marRight w:val="0"/>
                                          <w:marTop w:val="0"/>
                                          <w:marBottom w:val="0"/>
                                          <w:divBdr>
                                            <w:top w:val="single" w:sz="2" w:space="0" w:color="auto"/>
                                            <w:left w:val="single" w:sz="2" w:space="0" w:color="auto"/>
                                            <w:bottom w:val="single" w:sz="2" w:space="0" w:color="auto"/>
                                            <w:right w:val="single" w:sz="2" w:space="0" w:color="auto"/>
                                          </w:divBdr>
                                          <w:divsChild>
                                            <w:div w:id="848644530">
                                              <w:marLeft w:val="0"/>
                                              <w:marRight w:val="0"/>
                                              <w:marTop w:val="0"/>
                                              <w:marBottom w:val="0"/>
                                              <w:divBdr>
                                                <w:top w:val="single" w:sz="2" w:space="0" w:color="auto"/>
                                                <w:left w:val="single" w:sz="2" w:space="0" w:color="auto"/>
                                                <w:bottom w:val="single" w:sz="2" w:space="0" w:color="auto"/>
                                                <w:right w:val="single" w:sz="2" w:space="0" w:color="auto"/>
                                              </w:divBdr>
                                              <w:divsChild>
                                                <w:div w:id="889532290">
                                                  <w:marLeft w:val="0"/>
                                                  <w:marRight w:val="0"/>
                                                  <w:marTop w:val="0"/>
                                                  <w:marBottom w:val="0"/>
                                                  <w:divBdr>
                                                    <w:top w:val="single" w:sz="2" w:space="0" w:color="auto"/>
                                                    <w:left w:val="single" w:sz="2" w:space="0" w:color="auto"/>
                                                    <w:bottom w:val="single" w:sz="2" w:space="0" w:color="auto"/>
                                                    <w:right w:val="single" w:sz="2" w:space="0" w:color="auto"/>
                                                  </w:divBdr>
                                                  <w:divsChild>
                                                    <w:div w:id="1195926853">
                                                      <w:marLeft w:val="0"/>
                                                      <w:marRight w:val="0"/>
                                                      <w:marTop w:val="0"/>
                                                      <w:marBottom w:val="0"/>
                                                      <w:divBdr>
                                                        <w:top w:val="single" w:sz="2" w:space="0" w:color="auto"/>
                                                        <w:left w:val="single" w:sz="2" w:space="0" w:color="auto"/>
                                                        <w:bottom w:val="single" w:sz="2" w:space="0" w:color="auto"/>
                                                        <w:right w:val="single" w:sz="2" w:space="0" w:color="auto"/>
                                                      </w:divBdr>
                                                      <w:divsChild>
                                                        <w:div w:id="1001154389">
                                                          <w:marLeft w:val="0"/>
                                                          <w:marRight w:val="0"/>
                                                          <w:marTop w:val="0"/>
                                                          <w:marBottom w:val="0"/>
                                                          <w:divBdr>
                                                            <w:top w:val="single" w:sz="2" w:space="0" w:color="auto"/>
                                                            <w:left w:val="single" w:sz="2" w:space="0" w:color="auto"/>
                                                            <w:bottom w:val="single" w:sz="2" w:space="0" w:color="auto"/>
                                                            <w:right w:val="single" w:sz="2" w:space="0" w:color="auto"/>
                                                          </w:divBdr>
                                                          <w:divsChild>
                                                            <w:div w:id="1483350083">
                                                              <w:marLeft w:val="0"/>
                                                              <w:marRight w:val="0"/>
                                                              <w:marTop w:val="0"/>
                                                              <w:marBottom w:val="0"/>
                                                              <w:divBdr>
                                                                <w:top w:val="single" w:sz="2" w:space="0" w:color="auto"/>
                                                                <w:left w:val="single" w:sz="2" w:space="0" w:color="auto"/>
                                                                <w:bottom w:val="single" w:sz="2" w:space="0" w:color="auto"/>
                                                                <w:right w:val="single" w:sz="2" w:space="0" w:color="auto"/>
                                                              </w:divBdr>
                                                              <w:divsChild>
                                                                <w:div w:id="1830751605">
                                                                  <w:marLeft w:val="0"/>
                                                                  <w:marRight w:val="0"/>
                                                                  <w:marTop w:val="0"/>
                                                                  <w:marBottom w:val="0"/>
                                                                  <w:divBdr>
                                                                    <w:top w:val="single" w:sz="2" w:space="0" w:color="auto"/>
                                                                    <w:left w:val="single" w:sz="2" w:space="0" w:color="auto"/>
                                                                    <w:bottom w:val="single" w:sz="2" w:space="0" w:color="auto"/>
                                                                    <w:right w:val="single" w:sz="2" w:space="0" w:color="auto"/>
                                                                  </w:divBdr>
                                                                  <w:divsChild>
                                                                    <w:div w:id="821502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8867503">
      <w:bodyDiv w:val="1"/>
      <w:marLeft w:val="0"/>
      <w:marRight w:val="0"/>
      <w:marTop w:val="0"/>
      <w:marBottom w:val="0"/>
      <w:divBdr>
        <w:top w:val="none" w:sz="0" w:space="0" w:color="auto"/>
        <w:left w:val="none" w:sz="0" w:space="0" w:color="auto"/>
        <w:bottom w:val="none" w:sz="0" w:space="0" w:color="auto"/>
        <w:right w:val="none" w:sz="0" w:space="0" w:color="auto"/>
      </w:divBdr>
    </w:div>
    <w:div w:id="1136874867">
      <w:bodyDiv w:val="1"/>
      <w:marLeft w:val="0"/>
      <w:marRight w:val="0"/>
      <w:marTop w:val="0"/>
      <w:marBottom w:val="0"/>
      <w:divBdr>
        <w:top w:val="none" w:sz="0" w:space="0" w:color="auto"/>
        <w:left w:val="none" w:sz="0" w:space="0" w:color="auto"/>
        <w:bottom w:val="none" w:sz="0" w:space="0" w:color="auto"/>
        <w:right w:val="none" w:sz="0" w:space="0" w:color="auto"/>
      </w:divBdr>
    </w:div>
    <w:div w:id="1198196308">
      <w:bodyDiv w:val="1"/>
      <w:marLeft w:val="0"/>
      <w:marRight w:val="0"/>
      <w:marTop w:val="0"/>
      <w:marBottom w:val="0"/>
      <w:divBdr>
        <w:top w:val="none" w:sz="0" w:space="0" w:color="auto"/>
        <w:left w:val="none" w:sz="0" w:space="0" w:color="auto"/>
        <w:bottom w:val="none" w:sz="0" w:space="0" w:color="auto"/>
        <w:right w:val="none" w:sz="0" w:space="0" w:color="auto"/>
      </w:divBdr>
    </w:div>
    <w:div w:id="1217938597">
      <w:bodyDiv w:val="1"/>
      <w:marLeft w:val="0"/>
      <w:marRight w:val="0"/>
      <w:marTop w:val="0"/>
      <w:marBottom w:val="0"/>
      <w:divBdr>
        <w:top w:val="none" w:sz="0" w:space="0" w:color="auto"/>
        <w:left w:val="none" w:sz="0" w:space="0" w:color="auto"/>
        <w:bottom w:val="none" w:sz="0" w:space="0" w:color="auto"/>
        <w:right w:val="none" w:sz="0" w:space="0" w:color="auto"/>
      </w:divBdr>
    </w:div>
    <w:div w:id="1221400438">
      <w:bodyDiv w:val="1"/>
      <w:marLeft w:val="0"/>
      <w:marRight w:val="0"/>
      <w:marTop w:val="0"/>
      <w:marBottom w:val="0"/>
      <w:divBdr>
        <w:top w:val="none" w:sz="0" w:space="0" w:color="auto"/>
        <w:left w:val="none" w:sz="0" w:space="0" w:color="auto"/>
        <w:bottom w:val="none" w:sz="0" w:space="0" w:color="auto"/>
        <w:right w:val="none" w:sz="0" w:space="0" w:color="auto"/>
      </w:divBdr>
    </w:div>
    <w:div w:id="1240017656">
      <w:bodyDiv w:val="1"/>
      <w:marLeft w:val="0"/>
      <w:marRight w:val="0"/>
      <w:marTop w:val="0"/>
      <w:marBottom w:val="0"/>
      <w:divBdr>
        <w:top w:val="none" w:sz="0" w:space="0" w:color="auto"/>
        <w:left w:val="none" w:sz="0" w:space="0" w:color="auto"/>
        <w:bottom w:val="none" w:sz="0" w:space="0" w:color="auto"/>
        <w:right w:val="none" w:sz="0" w:space="0" w:color="auto"/>
      </w:divBdr>
    </w:div>
    <w:div w:id="1253778751">
      <w:bodyDiv w:val="1"/>
      <w:marLeft w:val="0"/>
      <w:marRight w:val="0"/>
      <w:marTop w:val="0"/>
      <w:marBottom w:val="0"/>
      <w:divBdr>
        <w:top w:val="none" w:sz="0" w:space="0" w:color="auto"/>
        <w:left w:val="none" w:sz="0" w:space="0" w:color="auto"/>
        <w:bottom w:val="none" w:sz="0" w:space="0" w:color="auto"/>
        <w:right w:val="none" w:sz="0" w:space="0" w:color="auto"/>
      </w:divBdr>
    </w:div>
    <w:div w:id="1262761677">
      <w:bodyDiv w:val="1"/>
      <w:marLeft w:val="0"/>
      <w:marRight w:val="0"/>
      <w:marTop w:val="0"/>
      <w:marBottom w:val="0"/>
      <w:divBdr>
        <w:top w:val="none" w:sz="0" w:space="0" w:color="auto"/>
        <w:left w:val="none" w:sz="0" w:space="0" w:color="auto"/>
        <w:bottom w:val="none" w:sz="0" w:space="0" w:color="auto"/>
        <w:right w:val="none" w:sz="0" w:space="0" w:color="auto"/>
      </w:divBdr>
      <w:divsChild>
        <w:div w:id="1364525074">
          <w:marLeft w:val="0"/>
          <w:marRight w:val="0"/>
          <w:marTop w:val="0"/>
          <w:marBottom w:val="0"/>
          <w:divBdr>
            <w:top w:val="none" w:sz="0" w:space="0" w:color="auto"/>
            <w:left w:val="none" w:sz="0" w:space="0" w:color="auto"/>
            <w:bottom w:val="none" w:sz="0" w:space="0" w:color="auto"/>
            <w:right w:val="none" w:sz="0" w:space="0" w:color="auto"/>
          </w:divBdr>
        </w:div>
      </w:divsChild>
    </w:div>
    <w:div w:id="1274555565">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
    <w:div w:id="1284994690">
      <w:bodyDiv w:val="1"/>
      <w:marLeft w:val="0"/>
      <w:marRight w:val="0"/>
      <w:marTop w:val="0"/>
      <w:marBottom w:val="0"/>
      <w:divBdr>
        <w:top w:val="none" w:sz="0" w:space="0" w:color="auto"/>
        <w:left w:val="none" w:sz="0" w:space="0" w:color="auto"/>
        <w:bottom w:val="none" w:sz="0" w:space="0" w:color="auto"/>
        <w:right w:val="none" w:sz="0" w:space="0" w:color="auto"/>
      </w:divBdr>
    </w:div>
    <w:div w:id="1322267928">
      <w:bodyDiv w:val="1"/>
      <w:marLeft w:val="0"/>
      <w:marRight w:val="0"/>
      <w:marTop w:val="0"/>
      <w:marBottom w:val="0"/>
      <w:divBdr>
        <w:top w:val="none" w:sz="0" w:space="0" w:color="auto"/>
        <w:left w:val="none" w:sz="0" w:space="0" w:color="auto"/>
        <w:bottom w:val="none" w:sz="0" w:space="0" w:color="auto"/>
        <w:right w:val="none" w:sz="0" w:space="0" w:color="auto"/>
      </w:divBdr>
      <w:divsChild>
        <w:div w:id="1574512404">
          <w:marLeft w:val="0"/>
          <w:marRight w:val="0"/>
          <w:marTop w:val="0"/>
          <w:marBottom w:val="0"/>
          <w:divBdr>
            <w:top w:val="single" w:sz="2" w:space="0" w:color="auto"/>
            <w:left w:val="single" w:sz="2" w:space="0" w:color="auto"/>
            <w:bottom w:val="single" w:sz="2" w:space="0" w:color="auto"/>
            <w:right w:val="single" w:sz="2" w:space="0" w:color="auto"/>
          </w:divBdr>
          <w:divsChild>
            <w:div w:id="190801970">
              <w:marLeft w:val="0"/>
              <w:marRight w:val="0"/>
              <w:marTop w:val="0"/>
              <w:marBottom w:val="0"/>
              <w:divBdr>
                <w:top w:val="single" w:sz="2" w:space="0" w:color="auto"/>
                <w:left w:val="single" w:sz="2" w:space="0" w:color="auto"/>
                <w:bottom w:val="single" w:sz="2" w:space="0" w:color="auto"/>
                <w:right w:val="single" w:sz="2" w:space="0" w:color="auto"/>
              </w:divBdr>
              <w:divsChild>
                <w:div w:id="1619753112">
                  <w:marLeft w:val="0"/>
                  <w:marRight w:val="0"/>
                  <w:marTop w:val="0"/>
                  <w:marBottom w:val="0"/>
                  <w:divBdr>
                    <w:top w:val="single" w:sz="2" w:space="24" w:color="auto"/>
                    <w:left w:val="single" w:sz="2" w:space="0" w:color="auto"/>
                    <w:bottom w:val="single" w:sz="2" w:space="0" w:color="auto"/>
                    <w:right w:val="single" w:sz="2" w:space="0" w:color="auto"/>
                  </w:divBdr>
                  <w:divsChild>
                    <w:div w:id="424035619">
                      <w:marLeft w:val="0"/>
                      <w:marRight w:val="0"/>
                      <w:marTop w:val="0"/>
                      <w:marBottom w:val="0"/>
                      <w:divBdr>
                        <w:top w:val="single" w:sz="2" w:space="0" w:color="auto"/>
                        <w:left w:val="single" w:sz="2" w:space="0" w:color="auto"/>
                        <w:bottom w:val="single" w:sz="2" w:space="0" w:color="auto"/>
                        <w:right w:val="single" w:sz="2" w:space="0" w:color="auto"/>
                      </w:divBdr>
                      <w:divsChild>
                        <w:div w:id="299192600">
                          <w:marLeft w:val="0"/>
                          <w:marRight w:val="0"/>
                          <w:marTop w:val="0"/>
                          <w:marBottom w:val="0"/>
                          <w:divBdr>
                            <w:top w:val="single" w:sz="2" w:space="0" w:color="auto"/>
                            <w:left w:val="single" w:sz="2" w:space="0" w:color="auto"/>
                            <w:bottom w:val="single" w:sz="2" w:space="0" w:color="auto"/>
                            <w:right w:val="single" w:sz="2" w:space="0" w:color="auto"/>
                          </w:divBdr>
                          <w:divsChild>
                            <w:div w:id="1165240070">
                              <w:marLeft w:val="0"/>
                              <w:marRight w:val="0"/>
                              <w:marTop w:val="0"/>
                              <w:marBottom w:val="0"/>
                              <w:divBdr>
                                <w:top w:val="single" w:sz="2" w:space="0" w:color="auto"/>
                                <w:left w:val="single" w:sz="2" w:space="0" w:color="auto"/>
                                <w:bottom w:val="single" w:sz="2" w:space="0" w:color="auto"/>
                                <w:right w:val="single" w:sz="2" w:space="0" w:color="auto"/>
                              </w:divBdr>
                              <w:divsChild>
                                <w:div w:id="2070883326">
                                  <w:marLeft w:val="0"/>
                                  <w:marRight w:val="0"/>
                                  <w:marTop w:val="0"/>
                                  <w:marBottom w:val="0"/>
                                  <w:divBdr>
                                    <w:top w:val="single" w:sz="2" w:space="0" w:color="auto"/>
                                    <w:left w:val="single" w:sz="2" w:space="0" w:color="auto"/>
                                    <w:bottom w:val="single" w:sz="2" w:space="0" w:color="auto"/>
                                    <w:right w:val="single" w:sz="2" w:space="0" w:color="auto"/>
                                  </w:divBdr>
                                  <w:divsChild>
                                    <w:div w:id="235215697">
                                      <w:marLeft w:val="0"/>
                                      <w:marRight w:val="0"/>
                                      <w:marTop w:val="0"/>
                                      <w:marBottom w:val="0"/>
                                      <w:divBdr>
                                        <w:top w:val="single" w:sz="2" w:space="0" w:color="auto"/>
                                        <w:left w:val="single" w:sz="2" w:space="0" w:color="auto"/>
                                        <w:bottom w:val="single" w:sz="2" w:space="0" w:color="auto"/>
                                        <w:right w:val="single" w:sz="2" w:space="0" w:color="auto"/>
                                      </w:divBdr>
                                      <w:divsChild>
                                        <w:div w:id="336880797">
                                          <w:marLeft w:val="0"/>
                                          <w:marRight w:val="0"/>
                                          <w:marTop w:val="0"/>
                                          <w:marBottom w:val="0"/>
                                          <w:divBdr>
                                            <w:top w:val="single" w:sz="2" w:space="0" w:color="auto"/>
                                            <w:left w:val="single" w:sz="2" w:space="0" w:color="auto"/>
                                            <w:bottom w:val="single" w:sz="2" w:space="0" w:color="auto"/>
                                            <w:right w:val="single" w:sz="2" w:space="0" w:color="auto"/>
                                          </w:divBdr>
                                          <w:divsChild>
                                            <w:div w:id="326591916">
                                              <w:marLeft w:val="0"/>
                                              <w:marRight w:val="0"/>
                                              <w:marTop w:val="0"/>
                                              <w:marBottom w:val="0"/>
                                              <w:divBdr>
                                                <w:top w:val="single" w:sz="2" w:space="0" w:color="auto"/>
                                                <w:left w:val="single" w:sz="2" w:space="0" w:color="auto"/>
                                                <w:bottom w:val="single" w:sz="2" w:space="0" w:color="auto"/>
                                                <w:right w:val="single" w:sz="2" w:space="0" w:color="auto"/>
                                              </w:divBdr>
                                              <w:divsChild>
                                                <w:div w:id="11344691">
                                                  <w:marLeft w:val="0"/>
                                                  <w:marRight w:val="0"/>
                                                  <w:marTop w:val="0"/>
                                                  <w:marBottom w:val="0"/>
                                                  <w:divBdr>
                                                    <w:top w:val="single" w:sz="2" w:space="0" w:color="auto"/>
                                                    <w:left w:val="single" w:sz="2" w:space="0" w:color="auto"/>
                                                    <w:bottom w:val="single" w:sz="2" w:space="0" w:color="auto"/>
                                                    <w:right w:val="single" w:sz="2" w:space="0" w:color="auto"/>
                                                  </w:divBdr>
                                                  <w:divsChild>
                                                    <w:div w:id="956835903">
                                                      <w:marLeft w:val="0"/>
                                                      <w:marRight w:val="0"/>
                                                      <w:marTop w:val="0"/>
                                                      <w:marBottom w:val="0"/>
                                                      <w:divBdr>
                                                        <w:top w:val="single" w:sz="2" w:space="0" w:color="auto"/>
                                                        <w:left w:val="single" w:sz="2" w:space="0" w:color="auto"/>
                                                        <w:bottom w:val="single" w:sz="2" w:space="0" w:color="auto"/>
                                                        <w:right w:val="single" w:sz="2" w:space="0" w:color="auto"/>
                                                      </w:divBdr>
                                                      <w:divsChild>
                                                        <w:div w:id="922227504">
                                                          <w:marLeft w:val="0"/>
                                                          <w:marRight w:val="0"/>
                                                          <w:marTop w:val="0"/>
                                                          <w:marBottom w:val="0"/>
                                                          <w:divBdr>
                                                            <w:top w:val="single" w:sz="2" w:space="0" w:color="auto"/>
                                                            <w:left w:val="single" w:sz="2" w:space="0" w:color="auto"/>
                                                            <w:bottom w:val="single" w:sz="2" w:space="0" w:color="auto"/>
                                                            <w:right w:val="single" w:sz="2" w:space="0" w:color="auto"/>
                                                          </w:divBdr>
                                                          <w:divsChild>
                                                            <w:div w:id="1868447496">
                                                              <w:marLeft w:val="0"/>
                                                              <w:marRight w:val="0"/>
                                                              <w:marTop w:val="0"/>
                                                              <w:marBottom w:val="0"/>
                                                              <w:divBdr>
                                                                <w:top w:val="single" w:sz="2" w:space="0" w:color="auto"/>
                                                                <w:left w:val="single" w:sz="2" w:space="0" w:color="auto"/>
                                                                <w:bottom w:val="single" w:sz="2" w:space="0" w:color="auto"/>
                                                                <w:right w:val="single" w:sz="2" w:space="0" w:color="auto"/>
                                                              </w:divBdr>
                                                              <w:divsChild>
                                                                <w:div w:id="1978415224">
                                                                  <w:marLeft w:val="0"/>
                                                                  <w:marRight w:val="0"/>
                                                                  <w:marTop w:val="0"/>
                                                                  <w:marBottom w:val="0"/>
                                                                  <w:divBdr>
                                                                    <w:top w:val="single" w:sz="2" w:space="0" w:color="auto"/>
                                                                    <w:left w:val="single" w:sz="2" w:space="0" w:color="auto"/>
                                                                    <w:bottom w:val="single" w:sz="2" w:space="0" w:color="auto"/>
                                                                    <w:right w:val="single" w:sz="2" w:space="0" w:color="auto"/>
                                                                  </w:divBdr>
                                                                  <w:divsChild>
                                                                    <w:div w:id="275254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53998552">
      <w:bodyDiv w:val="1"/>
      <w:marLeft w:val="0"/>
      <w:marRight w:val="0"/>
      <w:marTop w:val="0"/>
      <w:marBottom w:val="0"/>
      <w:divBdr>
        <w:top w:val="none" w:sz="0" w:space="0" w:color="auto"/>
        <w:left w:val="none" w:sz="0" w:space="0" w:color="auto"/>
        <w:bottom w:val="none" w:sz="0" w:space="0" w:color="auto"/>
        <w:right w:val="none" w:sz="0" w:space="0" w:color="auto"/>
      </w:divBdr>
    </w:div>
    <w:div w:id="1376343877">
      <w:bodyDiv w:val="1"/>
      <w:marLeft w:val="0"/>
      <w:marRight w:val="0"/>
      <w:marTop w:val="0"/>
      <w:marBottom w:val="0"/>
      <w:divBdr>
        <w:top w:val="none" w:sz="0" w:space="0" w:color="auto"/>
        <w:left w:val="none" w:sz="0" w:space="0" w:color="auto"/>
        <w:bottom w:val="none" w:sz="0" w:space="0" w:color="auto"/>
        <w:right w:val="none" w:sz="0" w:space="0" w:color="auto"/>
      </w:divBdr>
    </w:div>
    <w:div w:id="1382053138">
      <w:bodyDiv w:val="1"/>
      <w:marLeft w:val="0"/>
      <w:marRight w:val="0"/>
      <w:marTop w:val="0"/>
      <w:marBottom w:val="0"/>
      <w:divBdr>
        <w:top w:val="none" w:sz="0" w:space="0" w:color="auto"/>
        <w:left w:val="none" w:sz="0" w:space="0" w:color="auto"/>
        <w:bottom w:val="none" w:sz="0" w:space="0" w:color="auto"/>
        <w:right w:val="none" w:sz="0" w:space="0" w:color="auto"/>
      </w:divBdr>
    </w:div>
    <w:div w:id="1429428231">
      <w:bodyDiv w:val="1"/>
      <w:marLeft w:val="0"/>
      <w:marRight w:val="0"/>
      <w:marTop w:val="0"/>
      <w:marBottom w:val="0"/>
      <w:divBdr>
        <w:top w:val="none" w:sz="0" w:space="0" w:color="auto"/>
        <w:left w:val="none" w:sz="0" w:space="0" w:color="auto"/>
        <w:bottom w:val="none" w:sz="0" w:space="0" w:color="auto"/>
        <w:right w:val="none" w:sz="0" w:space="0" w:color="auto"/>
      </w:divBdr>
    </w:div>
    <w:div w:id="1448574110">
      <w:bodyDiv w:val="1"/>
      <w:marLeft w:val="0"/>
      <w:marRight w:val="0"/>
      <w:marTop w:val="0"/>
      <w:marBottom w:val="0"/>
      <w:divBdr>
        <w:top w:val="none" w:sz="0" w:space="0" w:color="auto"/>
        <w:left w:val="none" w:sz="0" w:space="0" w:color="auto"/>
        <w:bottom w:val="none" w:sz="0" w:space="0" w:color="auto"/>
        <w:right w:val="none" w:sz="0" w:space="0" w:color="auto"/>
      </w:divBdr>
    </w:div>
    <w:div w:id="1505823156">
      <w:bodyDiv w:val="1"/>
      <w:marLeft w:val="0"/>
      <w:marRight w:val="0"/>
      <w:marTop w:val="0"/>
      <w:marBottom w:val="0"/>
      <w:divBdr>
        <w:top w:val="none" w:sz="0" w:space="0" w:color="auto"/>
        <w:left w:val="none" w:sz="0" w:space="0" w:color="auto"/>
        <w:bottom w:val="none" w:sz="0" w:space="0" w:color="auto"/>
        <w:right w:val="none" w:sz="0" w:space="0" w:color="auto"/>
      </w:divBdr>
    </w:div>
    <w:div w:id="1519000302">
      <w:bodyDiv w:val="1"/>
      <w:marLeft w:val="0"/>
      <w:marRight w:val="0"/>
      <w:marTop w:val="0"/>
      <w:marBottom w:val="0"/>
      <w:divBdr>
        <w:top w:val="none" w:sz="0" w:space="0" w:color="auto"/>
        <w:left w:val="none" w:sz="0" w:space="0" w:color="auto"/>
        <w:bottom w:val="none" w:sz="0" w:space="0" w:color="auto"/>
        <w:right w:val="none" w:sz="0" w:space="0" w:color="auto"/>
      </w:divBdr>
    </w:div>
    <w:div w:id="1530678073">
      <w:bodyDiv w:val="1"/>
      <w:marLeft w:val="0"/>
      <w:marRight w:val="0"/>
      <w:marTop w:val="0"/>
      <w:marBottom w:val="0"/>
      <w:divBdr>
        <w:top w:val="none" w:sz="0" w:space="0" w:color="auto"/>
        <w:left w:val="none" w:sz="0" w:space="0" w:color="auto"/>
        <w:bottom w:val="none" w:sz="0" w:space="0" w:color="auto"/>
        <w:right w:val="none" w:sz="0" w:space="0" w:color="auto"/>
      </w:divBdr>
    </w:div>
    <w:div w:id="1553803825">
      <w:bodyDiv w:val="1"/>
      <w:marLeft w:val="0"/>
      <w:marRight w:val="0"/>
      <w:marTop w:val="0"/>
      <w:marBottom w:val="0"/>
      <w:divBdr>
        <w:top w:val="none" w:sz="0" w:space="0" w:color="auto"/>
        <w:left w:val="none" w:sz="0" w:space="0" w:color="auto"/>
        <w:bottom w:val="none" w:sz="0" w:space="0" w:color="auto"/>
        <w:right w:val="none" w:sz="0" w:space="0" w:color="auto"/>
      </w:divBdr>
    </w:div>
    <w:div w:id="1592423367">
      <w:bodyDiv w:val="1"/>
      <w:marLeft w:val="0"/>
      <w:marRight w:val="0"/>
      <w:marTop w:val="0"/>
      <w:marBottom w:val="0"/>
      <w:divBdr>
        <w:top w:val="none" w:sz="0" w:space="0" w:color="auto"/>
        <w:left w:val="none" w:sz="0" w:space="0" w:color="auto"/>
        <w:bottom w:val="none" w:sz="0" w:space="0" w:color="auto"/>
        <w:right w:val="none" w:sz="0" w:space="0" w:color="auto"/>
      </w:divBdr>
    </w:div>
    <w:div w:id="1601718814">
      <w:bodyDiv w:val="1"/>
      <w:marLeft w:val="0"/>
      <w:marRight w:val="0"/>
      <w:marTop w:val="0"/>
      <w:marBottom w:val="0"/>
      <w:divBdr>
        <w:top w:val="none" w:sz="0" w:space="0" w:color="auto"/>
        <w:left w:val="none" w:sz="0" w:space="0" w:color="auto"/>
        <w:bottom w:val="none" w:sz="0" w:space="0" w:color="auto"/>
        <w:right w:val="none" w:sz="0" w:space="0" w:color="auto"/>
      </w:divBdr>
      <w:divsChild>
        <w:div w:id="912660277">
          <w:marLeft w:val="0"/>
          <w:marRight w:val="0"/>
          <w:marTop w:val="0"/>
          <w:marBottom w:val="0"/>
          <w:divBdr>
            <w:top w:val="none" w:sz="0" w:space="0" w:color="auto"/>
            <w:left w:val="none" w:sz="0" w:space="0" w:color="auto"/>
            <w:bottom w:val="none" w:sz="0" w:space="0" w:color="auto"/>
            <w:right w:val="none" w:sz="0" w:space="0" w:color="auto"/>
          </w:divBdr>
        </w:div>
      </w:divsChild>
    </w:div>
    <w:div w:id="1629697517">
      <w:bodyDiv w:val="1"/>
      <w:marLeft w:val="0"/>
      <w:marRight w:val="0"/>
      <w:marTop w:val="0"/>
      <w:marBottom w:val="0"/>
      <w:divBdr>
        <w:top w:val="none" w:sz="0" w:space="0" w:color="auto"/>
        <w:left w:val="none" w:sz="0" w:space="0" w:color="auto"/>
        <w:bottom w:val="none" w:sz="0" w:space="0" w:color="auto"/>
        <w:right w:val="none" w:sz="0" w:space="0" w:color="auto"/>
      </w:divBdr>
    </w:div>
    <w:div w:id="1637681938">
      <w:bodyDiv w:val="1"/>
      <w:marLeft w:val="0"/>
      <w:marRight w:val="0"/>
      <w:marTop w:val="0"/>
      <w:marBottom w:val="0"/>
      <w:divBdr>
        <w:top w:val="none" w:sz="0" w:space="0" w:color="auto"/>
        <w:left w:val="none" w:sz="0" w:space="0" w:color="auto"/>
        <w:bottom w:val="none" w:sz="0" w:space="0" w:color="auto"/>
        <w:right w:val="none" w:sz="0" w:space="0" w:color="auto"/>
      </w:divBdr>
    </w:div>
    <w:div w:id="1640303336">
      <w:bodyDiv w:val="1"/>
      <w:marLeft w:val="0"/>
      <w:marRight w:val="0"/>
      <w:marTop w:val="0"/>
      <w:marBottom w:val="0"/>
      <w:divBdr>
        <w:top w:val="none" w:sz="0" w:space="0" w:color="auto"/>
        <w:left w:val="none" w:sz="0" w:space="0" w:color="auto"/>
        <w:bottom w:val="none" w:sz="0" w:space="0" w:color="auto"/>
        <w:right w:val="none" w:sz="0" w:space="0" w:color="auto"/>
      </w:divBdr>
    </w:div>
    <w:div w:id="1653944375">
      <w:bodyDiv w:val="1"/>
      <w:marLeft w:val="0"/>
      <w:marRight w:val="0"/>
      <w:marTop w:val="0"/>
      <w:marBottom w:val="0"/>
      <w:divBdr>
        <w:top w:val="none" w:sz="0" w:space="0" w:color="auto"/>
        <w:left w:val="none" w:sz="0" w:space="0" w:color="auto"/>
        <w:bottom w:val="none" w:sz="0" w:space="0" w:color="auto"/>
        <w:right w:val="none" w:sz="0" w:space="0" w:color="auto"/>
      </w:divBdr>
    </w:div>
    <w:div w:id="1673877812">
      <w:bodyDiv w:val="1"/>
      <w:marLeft w:val="0"/>
      <w:marRight w:val="0"/>
      <w:marTop w:val="0"/>
      <w:marBottom w:val="0"/>
      <w:divBdr>
        <w:top w:val="none" w:sz="0" w:space="0" w:color="auto"/>
        <w:left w:val="none" w:sz="0" w:space="0" w:color="auto"/>
        <w:bottom w:val="none" w:sz="0" w:space="0" w:color="auto"/>
        <w:right w:val="none" w:sz="0" w:space="0" w:color="auto"/>
      </w:divBdr>
    </w:div>
    <w:div w:id="1731922404">
      <w:bodyDiv w:val="1"/>
      <w:marLeft w:val="0"/>
      <w:marRight w:val="0"/>
      <w:marTop w:val="0"/>
      <w:marBottom w:val="0"/>
      <w:divBdr>
        <w:top w:val="none" w:sz="0" w:space="0" w:color="auto"/>
        <w:left w:val="none" w:sz="0" w:space="0" w:color="auto"/>
        <w:bottom w:val="none" w:sz="0" w:space="0" w:color="auto"/>
        <w:right w:val="none" w:sz="0" w:space="0" w:color="auto"/>
      </w:divBdr>
    </w:div>
    <w:div w:id="1758942163">
      <w:bodyDiv w:val="1"/>
      <w:marLeft w:val="0"/>
      <w:marRight w:val="0"/>
      <w:marTop w:val="0"/>
      <w:marBottom w:val="0"/>
      <w:divBdr>
        <w:top w:val="none" w:sz="0" w:space="0" w:color="auto"/>
        <w:left w:val="none" w:sz="0" w:space="0" w:color="auto"/>
        <w:bottom w:val="none" w:sz="0" w:space="0" w:color="auto"/>
        <w:right w:val="none" w:sz="0" w:space="0" w:color="auto"/>
      </w:divBdr>
    </w:div>
    <w:div w:id="1762481984">
      <w:bodyDiv w:val="1"/>
      <w:marLeft w:val="0"/>
      <w:marRight w:val="0"/>
      <w:marTop w:val="0"/>
      <w:marBottom w:val="0"/>
      <w:divBdr>
        <w:top w:val="none" w:sz="0" w:space="0" w:color="auto"/>
        <w:left w:val="none" w:sz="0" w:space="0" w:color="auto"/>
        <w:bottom w:val="none" w:sz="0" w:space="0" w:color="auto"/>
        <w:right w:val="none" w:sz="0" w:space="0" w:color="auto"/>
      </w:divBdr>
    </w:div>
    <w:div w:id="1781097026">
      <w:bodyDiv w:val="1"/>
      <w:marLeft w:val="0"/>
      <w:marRight w:val="0"/>
      <w:marTop w:val="0"/>
      <w:marBottom w:val="0"/>
      <w:divBdr>
        <w:top w:val="none" w:sz="0" w:space="0" w:color="auto"/>
        <w:left w:val="none" w:sz="0" w:space="0" w:color="auto"/>
        <w:bottom w:val="none" w:sz="0" w:space="0" w:color="auto"/>
        <w:right w:val="none" w:sz="0" w:space="0" w:color="auto"/>
      </w:divBdr>
    </w:div>
    <w:div w:id="1782138966">
      <w:bodyDiv w:val="1"/>
      <w:marLeft w:val="0"/>
      <w:marRight w:val="0"/>
      <w:marTop w:val="0"/>
      <w:marBottom w:val="0"/>
      <w:divBdr>
        <w:top w:val="none" w:sz="0" w:space="0" w:color="auto"/>
        <w:left w:val="none" w:sz="0" w:space="0" w:color="auto"/>
        <w:bottom w:val="none" w:sz="0" w:space="0" w:color="auto"/>
        <w:right w:val="none" w:sz="0" w:space="0" w:color="auto"/>
      </w:divBdr>
    </w:div>
    <w:div w:id="1827552921">
      <w:bodyDiv w:val="1"/>
      <w:marLeft w:val="0"/>
      <w:marRight w:val="0"/>
      <w:marTop w:val="0"/>
      <w:marBottom w:val="0"/>
      <w:divBdr>
        <w:top w:val="none" w:sz="0" w:space="0" w:color="auto"/>
        <w:left w:val="none" w:sz="0" w:space="0" w:color="auto"/>
        <w:bottom w:val="none" w:sz="0" w:space="0" w:color="auto"/>
        <w:right w:val="none" w:sz="0" w:space="0" w:color="auto"/>
      </w:divBdr>
    </w:div>
    <w:div w:id="1828085486">
      <w:bodyDiv w:val="1"/>
      <w:marLeft w:val="0"/>
      <w:marRight w:val="0"/>
      <w:marTop w:val="0"/>
      <w:marBottom w:val="0"/>
      <w:divBdr>
        <w:top w:val="none" w:sz="0" w:space="0" w:color="auto"/>
        <w:left w:val="none" w:sz="0" w:space="0" w:color="auto"/>
        <w:bottom w:val="none" w:sz="0" w:space="0" w:color="auto"/>
        <w:right w:val="none" w:sz="0" w:space="0" w:color="auto"/>
      </w:divBdr>
    </w:div>
    <w:div w:id="1846245891">
      <w:bodyDiv w:val="1"/>
      <w:marLeft w:val="0"/>
      <w:marRight w:val="0"/>
      <w:marTop w:val="0"/>
      <w:marBottom w:val="0"/>
      <w:divBdr>
        <w:top w:val="none" w:sz="0" w:space="0" w:color="auto"/>
        <w:left w:val="none" w:sz="0" w:space="0" w:color="auto"/>
        <w:bottom w:val="none" w:sz="0" w:space="0" w:color="auto"/>
        <w:right w:val="none" w:sz="0" w:space="0" w:color="auto"/>
      </w:divBdr>
    </w:div>
    <w:div w:id="1893039631">
      <w:bodyDiv w:val="1"/>
      <w:marLeft w:val="0"/>
      <w:marRight w:val="0"/>
      <w:marTop w:val="0"/>
      <w:marBottom w:val="0"/>
      <w:divBdr>
        <w:top w:val="none" w:sz="0" w:space="0" w:color="auto"/>
        <w:left w:val="none" w:sz="0" w:space="0" w:color="auto"/>
        <w:bottom w:val="none" w:sz="0" w:space="0" w:color="auto"/>
        <w:right w:val="none" w:sz="0" w:space="0" w:color="auto"/>
      </w:divBdr>
      <w:divsChild>
        <w:div w:id="1709836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741293">
      <w:bodyDiv w:val="1"/>
      <w:marLeft w:val="0"/>
      <w:marRight w:val="0"/>
      <w:marTop w:val="0"/>
      <w:marBottom w:val="0"/>
      <w:divBdr>
        <w:top w:val="none" w:sz="0" w:space="0" w:color="auto"/>
        <w:left w:val="none" w:sz="0" w:space="0" w:color="auto"/>
        <w:bottom w:val="none" w:sz="0" w:space="0" w:color="auto"/>
        <w:right w:val="none" w:sz="0" w:space="0" w:color="auto"/>
      </w:divBdr>
    </w:div>
    <w:div w:id="1927618028">
      <w:bodyDiv w:val="1"/>
      <w:marLeft w:val="0"/>
      <w:marRight w:val="0"/>
      <w:marTop w:val="0"/>
      <w:marBottom w:val="0"/>
      <w:divBdr>
        <w:top w:val="none" w:sz="0" w:space="0" w:color="auto"/>
        <w:left w:val="none" w:sz="0" w:space="0" w:color="auto"/>
        <w:bottom w:val="none" w:sz="0" w:space="0" w:color="auto"/>
        <w:right w:val="none" w:sz="0" w:space="0" w:color="auto"/>
      </w:divBdr>
    </w:div>
    <w:div w:id="1930382256">
      <w:bodyDiv w:val="1"/>
      <w:marLeft w:val="0"/>
      <w:marRight w:val="0"/>
      <w:marTop w:val="0"/>
      <w:marBottom w:val="0"/>
      <w:divBdr>
        <w:top w:val="none" w:sz="0" w:space="0" w:color="auto"/>
        <w:left w:val="none" w:sz="0" w:space="0" w:color="auto"/>
        <w:bottom w:val="none" w:sz="0" w:space="0" w:color="auto"/>
        <w:right w:val="none" w:sz="0" w:space="0" w:color="auto"/>
      </w:divBdr>
    </w:div>
    <w:div w:id="1949314490">
      <w:bodyDiv w:val="1"/>
      <w:marLeft w:val="0"/>
      <w:marRight w:val="0"/>
      <w:marTop w:val="0"/>
      <w:marBottom w:val="0"/>
      <w:divBdr>
        <w:top w:val="none" w:sz="0" w:space="0" w:color="auto"/>
        <w:left w:val="none" w:sz="0" w:space="0" w:color="auto"/>
        <w:bottom w:val="none" w:sz="0" w:space="0" w:color="auto"/>
        <w:right w:val="none" w:sz="0" w:space="0" w:color="auto"/>
      </w:divBdr>
    </w:div>
    <w:div w:id="1952199852">
      <w:bodyDiv w:val="1"/>
      <w:marLeft w:val="0"/>
      <w:marRight w:val="0"/>
      <w:marTop w:val="0"/>
      <w:marBottom w:val="0"/>
      <w:divBdr>
        <w:top w:val="none" w:sz="0" w:space="0" w:color="auto"/>
        <w:left w:val="none" w:sz="0" w:space="0" w:color="auto"/>
        <w:bottom w:val="none" w:sz="0" w:space="0" w:color="auto"/>
        <w:right w:val="none" w:sz="0" w:space="0" w:color="auto"/>
      </w:divBdr>
    </w:div>
    <w:div w:id="1966934416">
      <w:bodyDiv w:val="1"/>
      <w:marLeft w:val="0"/>
      <w:marRight w:val="0"/>
      <w:marTop w:val="0"/>
      <w:marBottom w:val="0"/>
      <w:divBdr>
        <w:top w:val="none" w:sz="0" w:space="0" w:color="auto"/>
        <w:left w:val="none" w:sz="0" w:space="0" w:color="auto"/>
        <w:bottom w:val="none" w:sz="0" w:space="0" w:color="auto"/>
        <w:right w:val="none" w:sz="0" w:space="0" w:color="auto"/>
      </w:divBdr>
    </w:div>
    <w:div w:id="1995598146">
      <w:bodyDiv w:val="1"/>
      <w:marLeft w:val="0"/>
      <w:marRight w:val="0"/>
      <w:marTop w:val="0"/>
      <w:marBottom w:val="0"/>
      <w:divBdr>
        <w:top w:val="none" w:sz="0" w:space="0" w:color="auto"/>
        <w:left w:val="none" w:sz="0" w:space="0" w:color="auto"/>
        <w:bottom w:val="none" w:sz="0" w:space="0" w:color="auto"/>
        <w:right w:val="none" w:sz="0" w:space="0" w:color="auto"/>
      </w:divBdr>
    </w:div>
    <w:div w:id="1998801567">
      <w:bodyDiv w:val="1"/>
      <w:marLeft w:val="0"/>
      <w:marRight w:val="0"/>
      <w:marTop w:val="0"/>
      <w:marBottom w:val="0"/>
      <w:divBdr>
        <w:top w:val="none" w:sz="0" w:space="0" w:color="auto"/>
        <w:left w:val="none" w:sz="0" w:space="0" w:color="auto"/>
        <w:bottom w:val="none" w:sz="0" w:space="0" w:color="auto"/>
        <w:right w:val="none" w:sz="0" w:space="0" w:color="auto"/>
      </w:divBdr>
    </w:div>
    <w:div w:id="2004549669">
      <w:bodyDiv w:val="1"/>
      <w:marLeft w:val="0"/>
      <w:marRight w:val="0"/>
      <w:marTop w:val="0"/>
      <w:marBottom w:val="0"/>
      <w:divBdr>
        <w:top w:val="none" w:sz="0" w:space="0" w:color="auto"/>
        <w:left w:val="none" w:sz="0" w:space="0" w:color="auto"/>
        <w:bottom w:val="none" w:sz="0" w:space="0" w:color="auto"/>
        <w:right w:val="none" w:sz="0" w:space="0" w:color="auto"/>
      </w:divBdr>
    </w:div>
    <w:div w:id="2025939914">
      <w:bodyDiv w:val="1"/>
      <w:marLeft w:val="0"/>
      <w:marRight w:val="0"/>
      <w:marTop w:val="0"/>
      <w:marBottom w:val="0"/>
      <w:divBdr>
        <w:top w:val="none" w:sz="0" w:space="0" w:color="auto"/>
        <w:left w:val="none" w:sz="0" w:space="0" w:color="auto"/>
        <w:bottom w:val="none" w:sz="0" w:space="0" w:color="auto"/>
        <w:right w:val="none" w:sz="0" w:space="0" w:color="auto"/>
      </w:divBdr>
    </w:div>
    <w:div w:id="2045208183">
      <w:bodyDiv w:val="1"/>
      <w:marLeft w:val="0"/>
      <w:marRight w:val="0"/>
      <w:marTop w:val="0"/>
      <w:marBottom w:val="0"/>
      <w:divBdr>
        <w:top w:val="none" w:sz="0" w:space="0" w:color="auto"/>
        <w:left w:val="none" w:sz="0" w:space="0" w:color="auto"/>
        <w:bottom w:val="none" w:sz="0" w:space="0" w:color="auto"/>
        <w:right w:val="none" w:sz="0" w:space="0" w:color="auto"/>
      </w:divBdr>
    </w:div>
    <w:div w:id="2048017936">
      <w:bodyDiv w:val="1"/>
      <w:marLeft w:val="0"/>
      <w:marRight w:val="0"/>
      <w:marTop w:val="0"/>
      <w:marBottom w:val="0"/>
      <w:divBdr>
        <w:top w:val="none" w:sz="0" w:space="0" w:color="auto"/>
        <w:left w:val="none" w:sz="0" w:space="0" w:color="auto"/>
        <w:bottom w:val="none" w:sz="0" w:space="0" w:color="auto"/>
        <w:right w:val="none" w:sz="0" w:space="0" w:color="auto"/>
      </w:divBdr>
    </w:div>
    <w:div w:id="2049140497">
      <w:bodyDiv w:val="1"/>
      <w:marLeft w:val="0"/>
      <w:marRight w:val="0"/>
      <w:marTop w:val="0"/>
      <w:marBottom w:val="0"/>
      <w:divBdr>
        <w:top w:val="none" w:sz="0" w:space="0" w:color="auto"/>
        <w:left w:val="none" w:sz="0" w:space="0" w:color="auto"/>
        <w:bottom w:val="none" w:sz="0" w:space="0" w:color="auto"/>
        <w:right w:val="none" w:sz="0" w:space="0" w:color="auto"/>
      </w:divBdr>
      <w:divsChild>
        <w:div w:id="1839997434">
          <w:marLeft w:val="0"/>
          <w:marRight w:val="0"/>
          <w:marTop w:val="0"/>
          <w:marBottom w:val="0"/>
          <w:divBdr>
            <w:top w:val="none" w:sz="0" w:space="0" w:color="auto"/>
            <w:left w:val="none" w:sz="0" w:space="0" w:color="auto"/>
            <w:bottom w:val="none" w:sz="0" w:space="0" w:color="auto"/>
            <w:right w:val="none" w:sz="0" w:space="0" w:color="auto"/>
          </w:divBdr>
          <w:divsChild>
            <w:div w:id="1162889537">
              <w:marLeft w:val="0"/>
              <w:marRight w:val="0"/>
              <w:marTop w:val="0"/>
              <w:marBottom w:val="0"/>
              <w:divBdr>
                <w:top w:val="none" w:sz="0" w:space="0" w:color="auto"/>
                <w:left w:val="none" w:sz="0" w:space="0" w:color="auto"/>
                <w:bottom w:val="none" w:sz="0" w:space="0" w:color="auto"/>
                <w:right w:val="none" w:sz="0" w:space="0" w:color="auto"/>
              </w:divBdr>
              <w:divsChild>
                <w:div w:id="290668937">
                  <w:marLeft w:val="0"/>
                  <w:marRight w:val="0"/>
                  <w:marTop w:val="0"/>
                  <w:marBottom w:val="0"/>
                  <w:divBdr>
                    <w:top w:val="none" w:sz="0" w:space="0" w:color="auto"/>
                    <w:left w:val="none" w:sz="0" w:space="0" w:color="auto"/>
                    <w:bottom w:val="none" w:sz="0" w:space="0" w:color="auto"/>
                    <w:right w:val="none" w:sz="0" w:space="0" w:color="auto"/>
                  </w:divBdr>
                  <w:divsChild>
                    <w:div w:id="1202133151">
                      <w:marLeft w:val="0"/>
                      <w:marRight w:val="0"/>
                      <w:marTop w:val="0"/>
                      <w:marBottom w:val="0"/>
                      <w:divBdr>
                        <w:top w:val="none" w:sz="0" w:space="0" w:color="auto"/>
                        <w:left w:val="none" w:sz="0" w:space="0" w:color="auto"/>
                        <w:bottom w:val="none" w:sz="0" w:space="0" w:color="auto"/>
                        <w:right w:val="none" w:sz="0" w:space="0" w:color="auto"/>
                      </w:divBdr>
                      <w:divsChild>
                        <w:div w:id="2140224384">
                          <w:marLeft w:val="0"/>
                          <w:marRight w:val="0"/>
                          <w:marTop w:val="0"/>
                          <w:marBottom w:val="0"/>
                          <w:divBdr>
                            <w:top w:val="none" w:sz="0" w:space="0" w:color="auto"/>
                            <w:left w:val="none" w:sz="0" w:space="0" w:color="auto"/>
                            <w:bottom w:val="none" w:sz="0" w:space="0" w:color="auto"/>
                            <w:right w:val="none" w:sz="0" w:space="0" w:color="auto"/>
                          </w:divBdr>
                          <w:divsChild>
                            <w:div w:id="1368918971">
                              <w:marLeft w:val="0"/>
                              <w:marRight w:val="0"/>
                              <w:marTop w:val="0"/>
                              <w:marBottom w:val="0"/>
                              <w:divBdr>
                                <w:top w:val="none" w:sz="0" w:space="0" w:color="auto"/>
                                <w:left w:val="none" w:sz="0" w:space="0" w:color="auto"/>
                                <w:bottom w:val="none" w:sz="0" w:space="0" w:color="auto"/>
                                <w:right w:val="none" w:sz="0" w:space="0" w:color="auto"/>
                              </w:divBdr>
                              <w:divsChild>
                                <w:div w:id="1707753282">
                                  <w:marLeft w:val="0"/>
                                  <w:marRight w:val="0"/>
                                  <w:marTop w:val="0"/>
                                  <w:marBottom w:val="0"/>
                                  <w:divBdr>
                                    <w:top w:val="none" w:sz="0" w:space="0" w:color="auto"/>
                                    <w:left w:val="none" w:sz="0" w:space="0" w:color="auto"/>
                                    <w:bottom w:val="none" w:sz="0" w:space="0" w:color="auto"/>
                                    <w:right w:val="none" w:sz="0" w:space="0" w:color="auto"/>
                                  </w:divBdr>
                                  <w:divsChild>
                                    <w:div w:id="2016884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510412">
      <w:bodyDiv w:val="1"/>
      <w:marLeft w:val="0"/>
      <w:marRight w:val="0"/>
      <w:marTop w:val="0"/>
      <w:marBottom w:val="0"/>
      <w:divBdr>
        <w:top w:val="none" w:sz="0" w:space="0" w:color="auto"/>
        <w:left w:val="none" w:sz="0" w:space="0" w:color="auto"/>
        <w:bottom w:val="none" w:sz="0" w:space="0" w:color="auto"/>
        <w:right w:val="none" w:sz="0" w:space="0" w:color="auto"/>
      </w:divBdr>
    </w:div>
    <w:div w:id="2120877223">
      <w:bodyDiv w:val="1"/>
      <w:marLeft w:val="0"/>
      <w:marRight w:val="0"/>
      <w:marTop w:val="0"/>
      <w:marBottom w:val="0"/>
      <w:divBdr>
        <w:top w:val="none" w:sz="0" w:space="0" w:color="auto"/>
        <w:left w:val="none" w:sz="0" w:space="0" w:color="auto"/>
        <w:bottom w:val="none" w:sz="0" w:space="0" w:color="auto"/>
        <w:right w:val="none" w:sz="0" w:space="0" w:color="auto"/>
      </w:divBdr>
    </w:div>
    <w:div w:id="2121798132">
      <w:bodyDiv w:val="1"/>
      <w:marLeft w:val="0"/>
      <w:marRight w:val="0"/>
      <w:marTop w:val="0"/>
      <w:marBottom w:val="0"/>
      <w:divBdr>
        <w:top w:val="none" w:sz="0" w:space="0" w:color="auto"/>
        <w:left w:val="none" w:sz="0" w:space="0" w:color="auto"/>
        <w:bottom w:val="none" w:sz="0" w:space="0" w:color="auto"/>
        <w:right w:val="none" w:sz="0" w:space="0" w:color="auto"/>
      </w:divBdr>
    </w:div>
    <w:div w:id="2142338026">
      <w:bodyDiv w:val="1"/>
      <w:marLeft w:val="0"/>
      <w:marRight w:val="0"/>
      <w:marTop w:val="0"/>
      <w:marBottom w:val="0"/>
      <w:divBdr>
        <w:top w:val="none" w:sz="0" w:space="0" w:color="auto"/>
        <w:left w:val="none" w:sz="0" w:space="0" w:color="auto"/>
        <w:bottom w:val="none" w:sz="0" w:space="0" w:color="auto"/>
        <w:right w:val="none" w:sz="0" w:space="0" w:color="auto"/>
      </w:divBdr>
    </w:div>
    <w:div w:id="214442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calxpress.com/news/2019-01-medicine-important.htmlBroadbentBroadbent" TargetMode="External"/><Relationship Id="rId3" Type="http://schemas.openxmlformats.org/officeDocument/2006/relationships/settings" Target="settings.xml"/><Relationship Id="rId7" Type="http://schemas.openxmlformats.org/officeDocument/2006/relationships/hyperlink" Target="https://www.cmaj.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51</Pages>
  <Words>16827</Words>
  <Characters>90199</Characters>
  <Application>Microsoft Office Word</Application>
  <DocSecurity>0</DocSecurity>
  <Lines>1478</Lines>
  <Paragraphs>453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용식 김</dc:creator>
  <cp:keywords/>
  <dc:description/>
  <cp:lastModifiedBy>정성훈</cp:lastModifiedBy>
  <cp:revision>22</cp:revision>
  <dcterms:created xsi:type="dcterms:W3CDTF">2026-04-04T08:19:00Z</dcterms:created>
  <dcterms:modified xsi:type="dcterms:W3CDTF">2026-04-14T03:48:00Z</dcterms:modified>
</cp:coreProperties>
</file>