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FA31" w14:textId="77777777" w:rsidR="0009494F" w:rsidRDefault="0009494F" w:rsidP="0009494F">
      <w:pPr>
        <w:spacing w:before="100" w:beforeAutospacing="1" w:after="100" w:afterAutospacing="1" w:line="240" w:lineRule="auto"/>
        <w:jc w:val="both"/>
        <w:rPr>
          <w:rFonts w:asciiTheme="minorEastAsia" w:hAnsiTheme="minorEastAsia" w:cs="Batang"/>
          <w:b/>
          <w:bCs/>
          <w:kern w:val="0"/>
          <w:sz w:val="20"/>
          <w:szCs w:val="20"/>
          <w:lang/>
          <w14:ligatures w14:val="none"/>
        </w:rPr>
      </w:pPr>
    </w:p>
    <w:p w14:paraId="5D732EDF" w14:textId="77777777" w:rsidR="0009494F" w:rsidRPr="0020004D" w:rsidRDefault="0009494F" w:rsidP="0009494F">
      <w:pPr>
        <w:spacing w:before="100" w:beforeAutospacing="1" w:after="100" w:afterAutospacing="1" w:line="240" w:lineRule="auto"/>
        <w:jc w:val="both"/>
        <w:rPr>
          <w:rFonts w:asciiTheme="minorEastAsia" w:hAnsiTheme="minorEastAsia" w:cs="Batang"/>
          <w:color w:val="0432FF"/>
          <w:kern w:val="0"/>
          <w:sz w:val="20"/>
          <w:szCs w:val="20"/>
          <w:lang/>
          <w14:ligatures w14:val="none"/>
        </w:rPr>
      </w:pPr>
      <w:r w:rsidRPr="00030EBF">
        <w:rPr>
          <w:rFonts w:asciiTheme="minorEastAsia" w:hAnsiTheme="minorEastAsia" w:cs="Batang" w:hint="eastAsia"/>
          <w:color w:val="0432FF"/>
          <w:kern w:val="0"/>
          <w:sz w:val="20"/>
          <w:szCs w:val="20"/>
          <w:lang/>
          <w14:ligatures w14:val="none"/>
        </w:rPr>
        <w:t>6</w:t>
      </w:r>
      <w:r w:rsidRPr="00030EBF">
        <w:rPr>
          <w:rFonts w:asciiTheme="minorEastAsia" w:hAnsiTheme="minorEastAsia" w:cs="Batang"/>
          <w:color w:val="0432FF"/>
          <w:kern w:val="0"/>
          <w:sz w:val="20"/>
          <w:szCs w:val="20"/>
          <w:lang/>
          <w14:ligatures w14:val="none"/>
        </w:rPr>
        <w:t xml:space="preserve">. </w:t>
      </w:r>
      <w:r w:rsidRPr="0020004D">
        <w:rPr>
          <w:rFonts w:asciiTheme="minorEastAsia" w:hAnsiTheme="minorEastAsia" w:cs="Batang"/>
          <w:color w:val="0432FF"/>
          <w:kern w:val="0"/>
          <w:sz w:val="20"/>
          <w:szCs w:val="20"/>
          <w:lang/>
          <w14:ligatures w14:val="none"/>
        </w:rPr>
        <w:t>Rapid Tranquilization and Chemical Restraint: Conceptual Distinction</w:t>
      </w:r>
    </w:p>
    <w:p w14:paraId="26DA11A1" w14:textId="77777777" w:rsidR="0009494F" w:rsidRPr="0020004D" w:rsidRDefault="0009494F" w:rsidP="0009494F">
      <w:pPr>
        <w:spacing w:before="100" w:beforeAutospacing="1" w:after="100" w:afterAutospacing="1" w:line="240" w:lineRule="auto"/>
        <w:jc w:val="both"/>
        <w:rPr>
          <w:rFonts w:asciiTheme="minorEastAsia" w:hAnsiTheme="minorEastAsia" w:cs="Batang"/>
          <w:color w:val="0432FF"/>
          <w:kern w:val="0"/>
          <w:sz w:val="20"/>
          <w:szCs w:val="20"/>
          <w:lang/>
          <w14:ligatures w14:val="none"/>
        </w:rPr>
      </w:pPr>
      <w:r w:rsidRPr="0020004D">
        <w:rPr>
          <w:rFonts w:asciiTheme="minorEastAsia" w:hAnsiTheme="minorEastAsia" w:cs="Batang"/>
          <w:color w:val="0432FF"/>
          <w:kern w:val="0"/>
          <w:sz w:val="20"/>
          <w:szCs w:val="20"/>
          <w:lang/>
          <w14:ligatures w14:val="none"/>
        </w:rPr>
        <w:t xml:space="preserve">While the term </w:t>
      </w:r>
      <w:r w:rsidRPr="0020004D">
        <w:rPr>
          <w:rFonts w:asciiTheme="minorEastAsia" w:hAnsiTheme="minorEastAsia" w:cs="Batang"/>
          <w:i/>
          <w:iCs/>
          <w:color w:val="0432FF"/>
          <w:kern w:val="0"/>
          <w:sz w:val="20"/>
          <w:szCs w:val="20"/>
          <w:lang/>
          <w14:ligatures w14:val="none"/>
        </w:rPr>
        <w:t>chemical restraint</w:t>
      </w:r>
      <w:r w:rsidRPr="0020004D">
        <w:rPr>
          <w:rFonts w:asciiTheme="minorEastAsia" w:hAnsiTheme="minorEastAsia" w:cs="Batang"/>
          <w:color w:val="0432FF"/>
          <w:kern w:val="0"/>
          <w:sz w:val="20"/>
          <w:szCs w:val="20"/>
          <w:lang/>
          <w14:ligatures w14:val="none"/>
        </w:rPr>
        <w:t xml:space="preserve"> emerged largely from policy and regulatory contexts, the clinical practice of </w:t>
      </w:r>
      <w:r w:rsidRPr="0020004D">
        <w:rPr>
          <w:rFonts w:asciiTheme="minorEastAsia" w:hAnsiTheme="minorEastAsia" w:cs="Batang"/>
          <w:b/>
          <w:bCs/>
          <w:color w:val="0432FF"/>
          <w:kern w:val="0"/>
          <w:sz w:val="20"/>
          <w:szCs w:val="20"/>
          <w:lang/>
          <w14:ligatures w14:val="none"/>
        </w:rPr>
        <w:t>rapid tranquillization (RT)</w:t>
      </w:r>
      <w:r w:rsidRPr="0020004D">
        <w:rPr>
          <w:rFonts w:asciiTheme="minorEastAsia" w:hAnsiTheme="minorEastAsia" w:cs="Batang"/>
          <w:color w:val="0432FF"/>
          <w:kern w:val="0"/>
          <w:sz w:val="20"/>
          <w:szCs w:val="20"/>
          <w:lang/>
          <w14:ligatures w14:val="none"/>
        </w:rPr>
        <w:t xml:space="preserve"> developed within psychiatry as a therapeutic strategy for managing acute agitation and behavioral disturbance. Rapid tranquillization aims to calm severely agitated patients quickly while maintaining airway safety and an adequate level of consciousness, thereby allowing further clinical assessment and treatment. In contrast, </w:t>
      </w:r>
      <w:r w:rsidRPr="0020004D">
        <w:rPr>
          <w:rFonts w:asciiTheme="minorEastAsia" w:hAnsiTheme="minorEastAsia" w:cs="Batang"/>
          <w:i/>
          <w:iCs/>
          <w:color w:val="0432FF"/>
          <w:kern w:val="0"/>
          <w:sz w:val="20"/>
          <w:szCs w:val="20"/>
          <w:lang/>
          <w14:ligatures w14:val="none"/>
        </w:rPr>
        <w:t>chemical restraint</w:t>
      </w:r>
      <w:r w:rsidRPr="0020004D">
        <w:rPr>
          <w:rFonts w:asciiTheme="minorEastAsia" w:hAnsiTheme="minorEastAsia" w:cs="Batang"/>
          <w:color w:val="0432FF"/>
          <w:kern w:val="0"/>
          <w:sz w:val="20"/>
          <w:szCs w:val="20"/>
          <w:lang/>
          <w14:ligatures w14:val="none"/>
        </w:rPr>
        <w:t xml:space="preserve"> is typically defined in regulatory frameworks as the use of medication primarily to control behavior rather than to treat an underlying medical or psychiatric condition.</w:t>
      </w:r>
    </w:p>
    <w:p w14:paraId="16E3278E" w14:textId="77777777" w:rsidR="0009494F" w:rsidRPr="0020004D" w:rsidRDefault="0009494F" w:rsidP="0009494F">
      <w:pPr>
        <w:spacing w:before="100" w:beforeAutospacing="1" w:after="100" w:afterAutospacing="1" w:line="240" w:lineRule="auto"/>
        <w:jc w:val="both"/>
        <w:rPr>
          <w:rFonts w:asciiTheme="minorEastAsia" w:hAnsiTheme="minorEastAsia" w:cs="Batang"/>
          <w:color w:val="0432FF"/>
          <w:kern w:val="0"/>
          <w:sz w:val="20"/>
          <w:szCs w:val="20"/>
          <w:lang/>
          <w14:ligatures w14:val="none"/>
        </w:rPr>
      </w:pPr>
      <w:r w:rsidRPr="0020004D">
        <w:rPr>
          <w:rFonts w:asciiTheme="minorEastAsia" w:hAnsiTheme="minorEastAsia" w:cs="Batang"/>
          <w:color w:val="0432FF"/>
          <w:kern w:val="0"/>
          <w:sz w:val="20"/>
          <w:szCs w:val="20"/>
          <w:lang/>
          <w14:ligatures w14:val="none"/>
        </w:rPr>
        <w:t xml:space="preserve">In clinical practice, however, the distinction between these two concepts is not always clear-cut. Pharmacological interventions used in rapid tranquillization—such as antipsychotics or benzodiazepines—may appear similar to those described in policy definitions of chemical restraint. The difference often lies less in the pharmacological agents themselves than in the </w:t>
      </w:r>
      <w:r w:rsidRPr="0020004D">
        <w:rPr>
          <w:rFonts w:asciiTheme="minorEastAsia" w:hAnsiTheme="minorEastAsia" w:cs="Batang"/>
          <w:b/>
          <w:bCs/>
          <w:color w:val="0432FF"/>
          <w:kern w:val="0"/>
          <w:sz w:val="20"/>
          <w:szCs w:val="20"/>
          <w:lang/>
          <w14:ligatures w14:val="none"/>
        </w:rPr>
        <w:t>clinical intent, therapeutic context, and standards of monitoring</w:t>
      </w:r>
      <w:r w:rsidRPr="0020004D">
        <w:rPr>
          <w:rFonts w:asciiTheme="minorEastAsia" w:hAnsiTheme="minorEastAsia" w:cs="Batang"/>
          <w:color w:val="0432FF"/>
          <w:kern w:val="0"/>
          <w:sz w:val="20"/>
          <w:szCs w:val="20"/>
          <w:lang/>
          <w14:ligatures w14:val="none"/>
        </w:rPr>
        <w:t xml:space="preserve"> under which they are administered. For this reason, some scholars have argued that the regulatory concept of chemical restraint may oversimplify the complexity of clinical decision-making in acute psychiatric care.</w:t>
      </w:r>
    </w:p>
    <w:p w14:paraId="237132CD" w14:textId="77777777" w:rsidR="0009494F" w:rsidRPr="00037607" w:rsidRDefault="0009494F" w:rsidP="0009494F">
      <w:pPr>
        <w:spacing w:before="100" w:beforeAutospacing="1" w:after="100" w:afterAutospacing="1" w:line="240" w:lineRule="auto"/>
        <w:jc w:val="both"/>
        <w:rPr>
          <w:rFonts w:asciiTheme="minorEastAsia" w:hAnsiTheme="minorEastAsia" w:cs="Batang"/>
          <w:color w:val="0432FF"/>
          <w:kern w:val="0"/>
          <w:sz w:val="20"/>
          <w:szCs w:val="20"/>
          <w:lang/>
          <w14:ligatures w14:val="none"/>
        </w:rPr>
      </w:pPr>
      <w:r w:rsidRPr="0020004D">
        <w:rPr>
          <w:rFonts w:asciiTheme="minorEastAsia" w:hAnsiTheme="minorEastAsia" w:cs="Batang"/>
          <w:color w:val="0432FF"/>
          <w:kern w:val="0"/>
          <w:sz w:val="20"/>
          <w:szCs w:val="20"/>
          <w:lang/>
          <w14:ligatures w14:val="none"/>
        </w:rPr>
        <w:t xml:space="preserve">Understanding this distinction is important because it highlights the potential gap between </w:t>
      </w:r>
      <w:r w:rsidRPr="0020004D">
        <w:rPr>
          <w:rFonts w:asciiTheme="minorEastAsia" w:hAnsiTheme="minorEastAsia" w:cs="Batang"/>
          <w:b/>
          <w:bCs/>
          <w:color w:val="0432FF"/>
          <w:kern w:val="0"/>
          <w:sz w:val="20"/>
          <w:szCs w:val="20"/>
          <w:lang/>
          <w14:ligatures w14:val="none"/>
        </w:rPr>
        <w:t>policy-driven definitions</w:t>
      </w:r>
      <w:r w:rsidRPr="0020004D">
        <w:rPr>
          <w:rFonts w:asciiTheme="minorEastAsia" w:hAnsiTheme="minorEastAsia" w:cs="Batang"/>
          <w:color w:val="0432FF"/>
          <w:kern w:val="0"/>
          <w:sz w:val="20"/>
          <w:szCs w:val="20"/>
          <w:lang/>
          <w14:ligatures w14:val="none"/>
        </w:rPr>
        <w:t xml:space="preserve"> and </w:t>
      </w:r>
      <w:r w:rsidRPr="0020004D">
        <w:rPr>
          <w:rFonts w:asciiTheme="minorEastAsia" w:hAnsiTheme="minorEastAsia" w:cs="Batang"/>
          <w:b/>
          <w:bCs/>
          <w:color w:val="0432FF"/>
          <w:kern w:val="0"/>
          <w:sz w:val="20"/>
          <w:szCs w:val="20"/>
          <w:lang/>
          <w14:ligatures w14:val="none"/>
        </w:rPr>
        <w:t>clinical practice</w:t>
      </w:r>
      <w:r w:rsidRPr="0020004D">
        <w:rPr>
          <w:rFonts w:asciiTheme="minorEastAsia" w:hAnsiTheme="minorEastAsia" w:cs="Batang"/>
          <w:color w:val="0432FF"/>
          <w:kern w:val="0"/>
          <w:sz w:val="20"/>
          <w:szCs w:val="20"/>
          <w:lang/>
          <w14:ligatures w14:val="none"/>
        </w:rPr>
        <w:t>. While regulatory frameworks aim to prevent inappropriate use of medications for behavioral control, clinicians managing acute agitation must balance patient safety, the safety of others, and the need for timely therapeutic intervention. Consequently, rapid tranquillization can be understood as a clinically structured and therapeutically oriented practice, whereas chemical restraint represents a regulatory category developed to identify and limit potentially inappropriate medication use.</w:t>
      </w:r>
    </w:p>
    <w:p w14:paraId="48B6AF80"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lang/>
          <w14:ligatures w14:val="none"/>
        </w:rPr>
      </w:pPr>
    </w:p>
    <w:p w14:paraId="237790DA" w14:textId="77777777" w:rsidR="0009494F" w:rsidRPr="00FB13F3"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FB13F3">
        <w:rPr>
          <w:rFonts w:asciiTheme="minorEastAsia" w:hAnsiTheme="minorEastAsia" w:cs="Batang" w:hint="eastAsia"/>
          <w:color w:val="0432FF"/>
          <w:kern w:val="0"/>
          <w:sz w:val="20"/>
          <w:szCs w:val="20"/>
          <w14:ligatures w14:val="none"/>
        </w:rPr>
        <w:t>7</w:t>
      </w:r>
      <w:r w:rsidRPr="00FB13F3">
        <w:rPr>
          <w:rFonts w:asciiTheme="minorEastAsia" w:hAnsiTheme="minorEastAsia" w:cs="Batang"/>
          <w:color w:val="0432FF"/>
          <w:kern w:val="0"/>
          <w:sz w:val="20"/>
          <w:szCs w:val="20"/>
          <w14:ligatures w14:val="none"/>
        </w:rPr>
        <w:t xml:space="preserve">. </w:t>
      </w:r>
      <w:r w:rsidRPr="00FB13F3">
        <w:rPr>
          <w:rFonts w:asciiTheme="minorEastAsia" w:hAnsiTheme="minorEastAsia" w:cs="Batang" w:hint="eastAsia"/>
          <w:color w:val="0432FF"/>
          <w:kern w:val="0"/>
          <w:sz w:val="20"/>
          <w:szCs w:val="20"/>
          <w14:ligatures w14:val="none"/>
        </w:rPr>
        <w:t>급성 초조 관리의 현대적 약물 전략: 덜 강압적인 치료로의 전환</w:t>
      </w:r>
    </w:p>
    <w:p w14:paraId="3CFCBC62" w14:textId="77777777" w:rsidR="0009494F" w:rsidRPr="00FB13F3"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FB13F3">
        <w:rPr>
          <w:rFonts w:asciiTheme="minorEastAsia" w:hAnsiTheme="minorEastAsia" w:cs="Batang" w:hint="eastAsia"/>
          <w:color w:val="0432FF"/>
          <w:kern w:val="0"/>
          <w:sz w:val="20"/>
          <w:szCs w:val="20"/>
          <w14:ligatures w14:val="none"/>
        </w:rPr>
        <w:t>7</w:t>
      </w:r>
      <w:r w:rsidRPr="00FB13F3">
        <w:rPr>
          <w:rFonts w:asciiTheme="minorEastAsia" w:hAnsiTheme="minorEastAsia" w:cs="Batang"/>
          <w:color w:val="0432FF"/>
          <w:kern w:val="0"/>
          <w:sz w:val="20"/>
          <w:szCs w:val="20"/>
          <w14:ligatures w14:val="none"/>
        </w:rPr>
        <w:t>. Contemporary Pharmacological Approaches to Acute Agitation: Toward Less Coercive Treatment</w:t>
      </w:r>
    </w:p>
    <w:p w14:paraId="46D3D67D"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 xml:space="preserve">정신의학에서 강압적 개입(coercive interventions)을 둘러싼 윤리적 논쟁은 환자의 안전을 유지하면서도 물리적 강제를 최소화할 수 있는 치료 전략을 개발하려는 노력을 점차 증가시키는 계기가 되었다. 인권 옹호자들은 강압적 개입이 엄격히 제한되거나 궁극적으로 폐지되어야 한다고 주장해 왔다. 이러한 절대적인 입장에 대해 임상의들은 응급 상황에서의 현실적 적용 가능성에 대한 우려를 제기하기도 하지만, </w:t>
      </w:r>
      <w:r w:rsidRPr="00390D97">
        <w:rPr>
          <w:rFonts w:asciiTheme="minorEastAsia" w:hAnsiTheme="minorEastAsia" w:cs="Batang" w:hint="eastAsia"/>
          <w:color w:val="0432FF"/>
          <w:kern w:val="0"/>
          <w:sz w:val="20"/>
          <w:szCs w:val="20"/>
          <w14:ligatures w14:val="none"/>
        </w:rPr>
        <w:lastRenderedPageBreak/>
        <w:t>환자의 자율성과 존엄성을 보호해야 한다는 근본적인 목표 자체는 현대 정신의학적 진료에서 널리 수용되고 있다.</w:t>
      </w:r>
    </w:p>
    <w:p w14:paraId="47D85FE9"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The ethical debate surrounding coercive interventions in psychiatry has led to increasing efforts to develop treatment strategies that minimize physical force while maintaining patient safety. Human rights advocates have argued that coercive interventions should be strictly limited or abolished. Although clinicians often raise concerns about the practicality of such absolute positions in emergency situations, the underlying goal of protecting patient autonomy and dignity remains widely accepted in modern psychiatric practice.</w:t>
      </w:r>
    </w:p>
    <w:p w14:paraId="52E45A11"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1D6011A6"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이러한 맥락에서 최근 급성 초조 상태(acute agitation)에 대한 약물 치료의 발전은, 신속한 치료 효과를 유지하면서도 침습성과 강압성을 줄일 수 있는 접근법에 점점 더 초점을 맞추고 있다. 이러한 변화는 임상적 안전성을 확보하는 동시에 환자의 자율성을 존중하려는 방향으로 정신과 치료 전략이 점차 전환되고 있음을 보여준다.</w:t>
      </w:r>
    </w:p>
    <w:p w14:paraId="0991CE1F"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In this context, recent developments in pharmacological treatments for acute agitation have increasingly focused on approaches that reduce invasiveness and coercion while preserving rapid therapeutic effectiveness. These developments reflect a broader shift in psychiatric care toward treatment strategies that balance clinical safety with respect for patient autonomy.</w:t>
      </w:r>
    </w:p>
    <w:p w14:paraId="399D334F"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5EC63271"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7-</w:t>
      </w:r>
      <w:r w:rsidRPr="00390D97">
        <w:rPr>
          <w:rFonts w:asciiTheme="minorEastAsia" w:hAnsiTheme="minorEastAsia" w:cs="Batang" w:hint="eastAsia"/>
          <w:color w:val="0432FF"/>
          <w:kern w:val="0"/>
          <w:sz w:val="20"/>
          <w:szCs w:val="20"/>
          <w14:ligatures w14:val="none"/>
        </w:rPr>
        <w:t>1. 대체적 투여 경로 (Alternative Routes of Administration)</w:t>
      </w:r>
    </w:p>
    <w:p w14:paraId="748A0399" w14:textId="77777777" w:rsidR="0009494F" w:rsidRPr="00BD6B4E"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BD6B4E">
        <w:rPr>
          <w:rFonts w:asciiTheme="minorEastAsia" w:hAnsiTheme="minorEastAsia" w:cs="Batang" w:hint="eastAsia"/>
          <w:color w:val="0432FF"/>
          <w:kern w:val="0"/>
          <w:sz w:val="20"/>
          <w:szCs w:val="20"/>
          <w14:ligatures w14:val="none"/>
        </w:rPr>
        <w:t>급성으로 흥분한 환자에게 경구 약물을 복용하도록 설득하는 것은 종종 쉽지 않다. 반면 비경구적 주사 투여를 강제로 시행하는 경우 윤리적 문제를 야기할 수 있으며, 환자와 의료진 사이의 갈등을 더욱 악화시킬 가능성도 있다. 또한 환자가 경구 약물 복용에 동의하더라도 약효가 나타나기까지 일정 시간이 지연될 수 있다. 이러한 한계로 인해 근육주사 없이도 신속한 약물 흡수를 가능하게 하는 대체적 약물 투여 경로에 대한 관심이 증가하고 있다.</w:t>
      </w:r>
    </w:p>
    <w:p w14:paraId="6DB8E9A8" w14:textId="77777777" w:rsidR="0009494F" w:rsidRPr="00BD6B4E"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BD6B4E">
        <w:rPr>
          <w:rFonts w:asciiTheme="minorEastAsia" w:hAnsiTheme="minorEastAsia" w:cs="Batang" w:hint="eastAsia"/>
          <w:color w:val="0432FF"/>
          <w:kern w:val="0"/>
          <w:sz w:val="20"/>
          <w:szCs w:val="20"/>
          <w14:ligatures w14:val="none"/>
        </w:rPr>
        <w:t>그러나 이러한 접근의 의의는 단순히 약효 발현 속도의 단축에만 국한되지 않는다. 약물의 혈중 농도와 임상 효과 사이에는 시간 지연과 비선형성이 존재하며, 이는 pharmacokinetic–pharmacodynamic hysteresis로 설명될 수 있다. 즉, 동일한 혈중 농도에서도 시간 경과에 따라 효과가 달라질 수 있으며, 급격한 농도 상승은 초기 과도한 진정 또는 부작용을 유발하는 반면, 보다 완만하고 예측 가능한 흡수 경로는 동일하거나 더 우수한 임상 효과를 유지하면서 부작용 부담을 감소시킬 가능성이 있다.</w:t>
      </w:r>
    </w:p>
    <w:p w14:paraId="69E8D394"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BD6B4E">
        <w:rPr>
          <w:rFonts w:asciiTheme="minorEastAsia" w:hAnsiTheme="minorEastAsia" w:cs="Batang" w:hint="eastAsia"/>
          <w:color w:val="0432FF"/>
          <w:kern w:val="0"/>
          <w:sz w:val="20"/>
          <w:szCs w:val="20"/>
          <w14:ligatures w14:val="none"/>
        </w:rPr>
        <w:lastRenderedPageBreak/>
        <w:t>따라서 대체적 투여 경로의 선택은 단순한 속도의 문제가 아니라, 약물 효과의 시간적 역학과 안전성 프로파일을 함께 고려한 최적화의 문제로 이해할 필요가 있다.</w:t>
      </w:r>
    </w:p>
    <w:p w14:paraId="2409D738" w14:textId="77777777" w:rsidR="0009494F" w:rsidRPr="00BD6B4E"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28923BE3"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7-1. Alternative Routes of Administration</w:t>
      </w:r>
    </w:p>
    <w:p w14:paraId="0D104451"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D2736">
        <w:rPr>
          <w:rFonts w:asciiTheme="minorEastAsia" w:hAnsiTheme="minorEastAsia" w:cs="Batang"/>
          <w:color w:val="0432FF"/>
          <w:kern w:val="0"/>
          <w:sz w:val="20"/>
          <w:szCs w:val="20"/>
          <w14:ligatures w14:val="none"/>
        </w:rPr>
        <w:t>Convincing an acutely agitated patient to take oral medication is often challenging. In contrast, the use of forced parenteral administration may raise ethical concerns and has the potential to exacerbate conflict between the patient and healthcare staff. Furthermore, even when patients agree to take oral medication, there is an inherent delay before the onset of clinical effects. These limitations have led to increasing interest in alternative routes of administration that enable rapid drug absorption without the need for intramuscular injection.</w:t>
      </w:r>
    </w:p>
    <w:p w14:paraId="44198A87"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22E4323D"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D2736">
        <w:rPr>
          <w:rFonts w:asciiTheme="minorEastAsia" w:hAnsiTheme="minorEastAsia" w:cs="Batang"/>
          <w:color w:val="0432FF"/>
          <w:kern w:val="0"/>
          <w:sz w:val="20"/>
          <w:szCs w:val="20"/>
          <w14:ligatures w14:val="none"/>
        </w:rPr>
        <w:t>However, the significance of these approaches extends beyond merely shortening the onset of action. The relationship between plasma drug concentrations and clinical effects is characterized by temporal delay and nonlinearity, which can be described by pharmacokinetic–pharmacodynamic hysteresis. In other words, the clinical effect may vary over time even at the same plasma concentration. Rapid increases in drug concentration may lead to excessive initial sedation or adverse effects, whereas more gradual and predictable absorption profiles may achieve comparable or superior clinical efficacy while reducing the burden of side effects.</w:t>
      </w:r>
    </w:p>
    <w:p w14:paraId="276815CB"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D2736">
        <w:rPr>
          <w:rFonts w:asciiTheme="minorEastAsia" w:hAnsiTheme="minorEastAsia" w:cs="Batang"/>
          <w:color w:val="0432FF"/>
          <w:kern w:val="0"/>
          <w:sz w:val="20"/>
          <w:szCs w:val="20"/>
          <w14:ligatures w14:val="none"/>
        </w:rPr>
        <w:t>Therefore, the selection of alternative routes of administration should not be viewed solely as a matter of speed, but rather as an optimization problem that takes into account the temporal dynamics of drug effects and the overall safety profile.</w:t>
      </w:r>
    </w:p>
    <w:p w14:paraId="5F18D919"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References (Vancouver style)</w:t>
      </w:r>
      <w:r>
        <w:rPr>
          <w:rFonts w:asciiTheme="minorEastAsia" w:hAnsiTheme="minorEastAsia" w:cs="Batang"/>
          <w:color w:val="0432FF"/>
          <w:kern w:val="0"/>
          <w:sz w:val="20"/>
          <w:szCs w:val="20"/>
          <w:highlight w:val="yellow"/>
          <w14:ligatures w14:val="none"/>
        </w:rPr>
        <w:t xml:space="preserve"> Chat-GPT</w:t>
      </w:r>
    </w:p>
    <w:p w14:paraId="574D7171"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Wehling M. Age-associated general pharmacological aspects. In: Wehling M, editor. Drug therapy for the elderly. Vienna: Springer-Verlag; 2013. p. 3–22.</w:t>
      </w:r>
    </w:p>
    <w:p w14:paraId="5105E254"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Holford NH, Sheiner LB. Kinetics of pharmacologic response. Pharmacol Ther. 1982;16(2):143–166.</w:t>
      </w:r>
    </w:p>
    <w:p w14:paraId="69C88808"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Danhof M, de Jongh J, De Lange EC, Della Pasqua OE, Ploeger BA, Voskuyl RA. Mechanism-based pharmacokinetic–pharmacodynamic modeling: biophase distribution, receptor theory, and dynamical systems analysis. Annu Rev Pharmacol Toxicol. 2007;47:357–400.</w:t>
      </w:r>
    </w:p>
    <w:p w14:paraId="4D177ABD"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lastRenderedPageBreak/>
        <w:t>Greenblatt DJ, Shader RI. Pharmacokinetics and pharmacodynamics of benzodiazepines in the elderly. J Clin Pharmacol. 1978;18(2-3):89–99.</w:t>
      </w:r>
    </w:p>
    <w:p w14:paraId="18CC8AB7"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Allen MH, Currier GW, Carpenter D, Ross RW, Docherty JP. The expert consensus guideline series. Treatment of behavioral emergencies. J Psychiatr Pract. 2005;11 Suppl 1:5–108.</w:t>
      </w:r>
    </w:p>
    <w:p w14:paraId="79F25117"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Zeller SL, Rhoades RW. Systematic reviews of assessment measures and pharmacologic treatments for agitation. Clin Ther. 2010;32(3):403–425.</w:t>
      </w:r>
    </w:p>
    <w:p w14:paraId="601DCB8D"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Citrome L. Inhaled loxapine for agitation revisited: focus on efficacy, safety, and patient acceptability. Neuropsychiatr Dis Treat. 2013;9:193–201.</w:t>
      </w:r>
    </w:p>
    <w:p w14:paraId="7216C526"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Lesem MD, Zajecka JM, Swift RH, Reeves KR, Harrigan EP, Landbloom RP. Intranasal midazolam for the treatment of acute agitation: a randomized trial. J Clin Psychiatry. 2011;72(5):620–625.</w:t>
      </w:r>
    </w:p>
    <w:p w14:paraId="6E963657" w14:textId="77777777" w:rsidR="0009494F" w:rsidRPr="00AD2736"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AD2736">
        <w:rPr>
          <w:rFonts w:asciiTheme="minorEastAsia" w:hAnsiTheme="minorEastAsia" w:cs="Batang"/>
          <w:color w:val="0432FF"/>
          <w:kern w:val="0"/>
          <w:sz w:val="20"/>
          <w:szCs w:val="20"/>
          <w:highlight w:val="yellow"/>
          <w14:ligatures w14:val="none"/>
        </w:rPr>
        <w:t>Nordstrom K, Zun LS, Wilson MP, Stiebel V, Ng AT, Bregman B. Medical evaluation and triage of the agitated patient: consensus statement. West J Emerg Med. 2012;13(1):3–10.</w:t>
      </w:r>
    </w:p>
    <w:p w14:paraId="13AFAB42"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AD2736">
        <w:rPr>
          <w:rFonts w:asciiTheme="minorEastAsia" w:hAnsiTheme="minorEastAsia" w:cs="Batang"/>
          <w:color w:val="0432FF"/>
          <w:kern w:val="0"/>
          <w:sz w:val="20"/>
          <w:szCs w:val="20"/>
          <w:highlight w:val="yellow"/>
          <w14:ligatures w14:val="none"/>
        </w:rPr>
        <w:t>Marder SR. A review of agitation in mental illness: treatment guidelines and current therapies. J Clin Psychiatry. 2006;67 Suppl 10:13–21.</w:t>
      </w:r>
    </w:p>
    <w:p w14:paraId="5549BBFF"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08BE083F"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7-</w:t>
      </w:r>
      <w:r w:rsidRPr="00390D97">
        <w:rPr>
          <w:rFonts w:asciiTheme="minorEastAsia" w:hAnsiTheme="minorEastAsia" w:cs="Batang" w:hint="eastAsia"/>
          <w:color w:val="0432FF"/>
          <w:kern w:val="0"/>
          <w:sz w:val="20"/>
          <w:szCs w:val="20"/>
          <w14:ligatures w14:val="none"/>
        </w:rPr>
        <w:t>2. 신속 작용 비주사형 항정신병약 제형</w:t>
      </w:r>
    </w:p>
    <w:p w14:paraId="7D4F0DDC" w14:textId="77777777" w:rsidR="0009494F" w:rsidRPr="00594734"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594734">
        <w:rPr>
          <w:rFonts w:asciiTheme="minorEastAsia" w:hAnsiTheme="minorEastAsia" w:cs="Batang" w:hint="eastAsia"/>
          <w:color w:val="0432FF"/>
          <w:kern w:val="0"/>
          <w:sz w:val="20"/>
          <w:szCs w:val="20"/>
          <w14:ligatures w14:val="none"/>
        </w:rPr>
        <w:t>경구 투여는 흡수 지연과 초회</w:t>
      </w:r>
      <w:r>
        <w:rPr>
          <w:rFonts w:asciiTheme="minorEastAsia" w:hAnsiTheme="minorEastAsia" w:cs="Batang" w:hint="eastAsia"/>
          <w:color w:val="0432FF"/>
          <w:kern w:val="0"/>
          <w:sz w:val="20"/>
          <w:szCs w:val="20"/>
          <w14:ligatures w14:val="none"/>
        </w:rPr>
        <w:t xml:space="preserve"> </w:t>
      </w:r>
      <w:r w:rsidRPr="00594734">
        <w:rPr>
          <w:rFonts w:asciiTheme="minorEastAsia" w:hAnsiTheme="minorEastAsia" w:cs="Batang" w:hint="eastAsia"/>
          <w:color w:val="0432FF"/>
          <w:kern w:val="0"/>
          <w:sz w:val="20"/>
          <w:szCs w:val="20"/>
          <w14:ligatures w14:val="none"/>
        </w:rPr>
        <w:t>통과 대사</w:t>
      </w:r>
      <w:r>
        <w:rPr>
          <w:rFonts w:asciiTheme="minorEastAsia" w:hAnsiTheme="minorEastAsia" w:cs="Batang" w:hint="eastAsia"/>
          <w:color w:val="0432FF"/>
          <w:kern w:val="0"/>
          <w:sz w:val="20"/>
          <w:szCs w:val="20"/>
          <w14:ligatures w14:val="none"/>
        </w:rPr>
        <w:t xml:space="preserve"> </w:t>
      </w:r>
      <w:r>
        <w:rPr>
          <w:rFonts w:asciiTheme="minorEastAsia" w:hAnsiTheme="minorEastAsia" w:cs="Batang"/>
          <w:color w:val="0432FF"/>
          <w:kern w:val="0"/>
          <w:sz w:val="20"/>
          <w:szCs w:val="20"/>
          <w14:ligatures w14:val="none"/>
        </w:rPr>
        <w:t>(</w:t>
      </w:r>
      <w:r w:rsidRPr="00157E89">
        <w:rPr>
          <w:rFonts w:asciiTheme="minorEastAsia" w:hAnsiTheme="minorEastAsia" w:cs="Batang"/>
          <w:color w:val="0432FF"/>
          <w:kern w:val="0"/>
          <w:sz w:val="20"/>
          <w:szCs w:val="20"/>
          <w14:ligatures w14:val="none"/>
        </w:rPr>
        <w:t>first-pass metabolism)</w:t>
      </w:r>
      <w:r>
        <w:rPr>
          <w:rFonts w:asciiTheme="minorEastAsia" w:hAnsiTheme="minorEastAsia" w:cs="Batang" w:hint="eastAsia"/>
          <w:color w:val="0432FF"/>
          <w:kern w:val="0"/>
          <w:sz w:val="20"/>
          <w:szCs w:val="20"/>
          <w14:ligatures w14:val="none"/>
        </w:rPr>
        <w:t xml:space="preserve">로 인해 </w:t>
      </w:r>
      <w:r w:rsidRPr="00157E89">
        <w:rPr>
          <w:rFonts w:asciiTheme="minorEastAsia" w:hAnsiTheme="minorEastAsia" w:cs="Batang" w:hint="eastAsia"/>
          <w:color w:val="0432FF"/>
          <w:kern w:val="0"/>
          <w:sz w:val="20"/>
          <w:szCs w:val="20"/>
          <w14:ligatures w14:val="none"/>
        </w:rPr>
        <w:t>인해 전형적인 반시계 방향 히스테리시스</w:t>
      </w:r>
      <w:r>
        <w:rPr>
          <w:rFonts w:asciiTheme="minorEastAsia" w:hAnsiTheme="minorEastAsia" w:cs="Batang" w:hint="eastAsia"/>
          <w:color w:val="0432FF"/>
          <w:kern w:val="0"/>
          <w:sz w:val="20"/>
          <w:szCs w:val="20"/>
          <w14:ligatures w14:val="none"/>
        </w:rPr>
        <w:t xml:space="preserve"> </w:t>
      </w:r>
      <w:r w:rsidRPr="00157E89">
        <w:rPr>
          <w:rFonts w:asciiTheme="minorEastAsia" w:hAnsiTheme="minorEastAsia" w:cs="Batang"/>
          <w:color w:val="0432FF"/>
          <w:kern w:val="0"/>
          <w:sz w:val="20"/>
          <w:szCs w:val="20"/>
          <w14:ligatures w14:val="none"/>
        </w:rPr>
        <w:t>(Counterclockwise Hysteresis)</w:t>
      </w:r>
      <w:r w:rsidRPr="00157E89">
        <w:rPr>
          <w:rFonts w:asciiTheme="minorEastAsia" w:hAnsiTheme="minorEastAsia" w:cs="Batang" w:hint="eastAsia"/>
          <w:color w:val="0432FF"/>
          <w:kern w:val="0"/>
          <w:sz w:val="20"/>
          <w:szCs w:val="20"/>
          <w14:ligatures w14:val="none"/>
        </w:rPr>
        <w:t>를</w:t>
      </w:r>
      <w:r>
        <w:rPr>
          <w:rFonts w:asciiTheme="minorEastAsia" w:hAnsiTheme="minorEastAsia" w:cs="Batang"/>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나</w:t>
      </w:r>
      <w:r w:rsidRPr="00594734">
        <w:rPr>
          <w:rFonts w:asciiTheme="minorEastAsia" w:hAnsiTheme="minorEastAsia" w:cs="Batang" w:hint="eastAsia"/>
          <w:color w:val="0432FF"/>
          <w:kern w:val="0"/>
          <w:sz w:val="20"/>
          <w:szCs w:val="20"/>
          <w14:ligatures w14:val="none"/>
        </w:rPr>
        <w:t>타</w:t>
      </w:r>
      <w:r>
        <w:rPr>
          <w:rFonts w:asciiTheme="minorEastAsia" w:hAnsiTheme="minorEastAsia" w:cs="Batang" w:hint="eastAsia"/>
          <w:color w:val="0432FF"/>
          <w:kern w:val="0"/>
          <w:sz w:val="20"/>
          <w:szCs w:val="20"/>
          <w14:ligatures w14:val="none"/>
        </w:rPr>
        <w:t>낸다.</w:t>
      </w:r>
      <w:r>
        <w:rPr>
          <w:rFonts w:asciiTheme="minorEastAsia" w:hAnsiTheme="minorEastAsia" w:cs="Batang"/>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이</w:t>
      </w:r>
      <w:r w:rsidRPr="00157E89">
        <w:rPr>
          <w:rFonts w:asciiTheme="minorEastAsia" w:hAnsiTheme="minorEastAsia" w:cs="Batang" w:hint="eastAsia"/>
          <w:color w:val="0432FF"/>
          <w:kern w:val="0"/>
          <w:sz w:val="20"/>
          <w:szCs w:val="20"/>
          <w14:ligatures w14:val="none"/>
        </w:rPr>
        <w:t>는 동일한 혈중 농도에서도 시간이 경과함에 따라 효과가 뒤늦게 나타나는 양상을 보이며, 결과적으로 급성 상황에서 약효 발현의 예측성을 저하시</w:t>
      </w:r>
      <w:r>
        <w:rPr>
          <w:rFonts w:asciiTheme="minorEastAsia" w:hAnsiTheme="minorEastAsia" w:cs="Batang" w:hint="eastAsia"/>
          <w:color w:val="0432FF"/>
          <w:kern w:val="0"/>
          <w:sz w:val="20"/>
          <w:szCs w:val="20"/>
          <w14:ligatures w14:val="none"/>
        </w:rPr>
        <w:t>킨</w:t>
      </w:r>
      <w:r w:rsidRPr="00157E89">
        <w:rPr>
          <w:rFonts w:asciiTheme="minorEastAsia" w:hAnsiTheme="minorEastAsia" w:cs="Batang" w:hint="eastAsia"/>
          <w:color w:val="0432FF"/>
          <w:kern w:val="0"/>
          <w:sz w:val="20"/>
          <w:szCs w:val="20"/>
          <w14:ligatures w14:val="none"/>
        </w:rPr>
        <w:t>다. 근육주사(IM)는 이러한 지연을 일부 개선하지만, 분포 지연에 따른 히스테리시스 현상은 여전히 관찰</w:t>
      </w:r>
      <w:r>
        <w:rPr>
          <w:rFonts w:asciiTheme="minorEastAsia" w:hAnsiTheme="minorEastAsia" w:cs="Batang" w:hint="eastAsia"/>
          <w:color w:val="0432FF"/>
          <w:kern w:val="0"/>
          <w:sz w:val="20"/>
          <w:szCs w:val="20"/>
          <w14:ligatures w14:val="none"/>
        </w:rPr>
        <w:t>된</w:t>
      </w:r>
      <w:r w:rsidRPr="00157E89">
        <w:rPr>
          <w:rFonts w:asciiTheme="minorEastAsia" w:hAnsiTheme="minorEastAsia" w:cs="Batang" w:hint="eastAsia"/>
          <w:color w:val="0432FF"/>
          <w:kern w:val="0"/>
          <w:sz w:val="20"/>
          <w:szCs w:val="20"/>
          <w14:ligatures w14:val="none"/>
        </w:rPr>
        <w:t>다.</w:t>
      </w:r>
    </w:p>
    <w:p w14:paraId="5CD39ADE"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7E89">
        <w:rPr>
          <w:rFonts w:asciiTheme="minorEastAsia" w:hAnsiTheme="minorEastAsia" w:cs="Batang" w:hint="eastAsia"/>
          <w:color w:val="0432FF"/>
          <w:kern w:val="0"/>
          <w:sz w:val="20"/>
          <w:szCs w:val="20"/>
          <w14:ligatures w14:val="none"/>
        </w:rPr>
        <w:t>비강(intranasal) 및 흡입(inhaled) 경로는 효과 부위로 매우 신속하게 도달하여 히스테리시스가 거의 관찰되지 않을 정도의 즉각적인 변화를 보</w:t>
      </w:r>
      <w:r>
        <w:rPr>
          <w:rFonts w:asciiTheme="minorEastAsia" w:hAnsiTheme="minorEastAsia" w:cs="Batang" w:hint="eastAsia"/>
          <w:color w:val="0432FF"/>
          <w:kern w:val="0"/>
          <w:sz w:val="20"/>
          <w:szCs w:val="20"/>
          <w14:ligatures w14:val="none"/>
        </w:rPr>
        <w:t>인</w:t>
      </w:r>
      <w:r w:rsidRPr="00157E89">
        <w:rPr>
          <w:rFonts w:asciiTheme="minorEastAsia" w:hAnsiTheme="minorEastAsia" w:cs="Batang" w:hint="eastAsia"/>
          <w:color w:val="0432FF"/>
          <w:kern w:val="0"/>
          <w:sz w:val="20"/>
          <w:szCs w:val="20"/>
          <w14:ligatures w14:val="none"/>
        </w:rPr>
        <w:t xml:space="preserve">다. 하지만 이러한 신속한 평형 도달(rapid equilibration)은 반복 투여 시 수용체 적응이나 급성 내성(acute tolerance)을 유발하여, 효과가 농도 상승보다 빠르게 감소하는 시계 방향 히스테리시스(즉, 프로테레시스) 형태로 전환될 가능성이 있음에 유의해야 </w:t>
      </w:r>
      <w:r>
        <w:rPr>
          <w:rFonts w:asciiTheme="minorEastAsia" w:hAnsiTheme="minorEastAsia" w:cs="Batang" w:hint="eastAsia"/>
          <w:color w:val="0432FF"/>
          <w:kern w:val="0"/>
          <w:sz w:val="20"/>
          <w:szCs w:val="20"/>
          <w14:ligatures w14:val="none"/>
        </w:rPr>
        <w:t>한</w:t>
      </w:r>
      <w:r w:rsidRPr="00157E89">
        <w:rPr>
          <w:rFonts w:asciiTheme="minorEastAsia" w:hAnsiTheme="minorEastAsia" w:cs="Batang" w:hint="eastAsia"/>
          <w:color w:val="0432FF"/>
          <w:kern w:val="0"/>
          <w:sz w:val="20"/>
          <w:szCs w:val="20"/>
          <w14:ligatures w14:val="none"/>
        </w:rPr>
        <w:t>다.</w:t>
      </w:r>
    </w:p>
    <w:p w14:paraId="3CE930B5"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7E89">
        <w:rPr>
          <w:rFonts w:asciiTheme="minorEastAsia" w:hAnsiTheme="minorEastAsia" w:cs="Batang" w:hint="eastAsia"/>
          <w:color w:val="0432FF"/>
          <w:kern w:val="0"/>
          <w:sz w:val="20"/>
          <w:szCs w:val="20"/>
          <w14:ligatures w14:val="none"/>
        </w:rPr>
        <w:t>설하(sublingual) 투여는 초회통과 대사를 우회하면서도 흡수 양상이 비교적 완만하여, 경구와 비강/흡입 경로 사이의 중간적 특성을 보</w:t>
      </w:r>
      <w:r>
        <w:rPr>
          <w:rFonts w:asciiTheme="minorEastAsia" w:hAnsiTheme="minorEastAsia" w:cs="Batang" w:hint="eastAsia"/>
          <w:color w:val="0432FF"/>
          <w:kern w:val="0"/>
          <w:sz w:val="20"/>
          <w:szCs w:val="20"/>
          <w14:ligatures w14:val="none"/>
        </w:rPr>
        <w:t>인</w:t>
      </w:r>
      <w:r w:rsidRPr="00157E89">
        <w:rPr>
          <w:rFonts w:asciiTheme="minorEastAsia" w:hAnsiTheme="minorEastAsia" w:cs="Batang" w:hint="eastAsia"/>
          <w:color w:val="0432FF"/>
          <w:kern w:val="0"/>
          <w:sz w:val="20"/>
          <w:szCs w:val="20"/>
          <w14:ligatures w14:val="none"/>
        </w:rPr>
        <w:t>다. 즉, 히스테리시스를 감소시켜 약효의 예측성을 높이는 동시에, 급격한 혈중 농도 상승(peak)에 따른 부작용 위험을 억제함으로써 효과 발현 속도와 안전성 간의 최적의 균형을 제공</w:t>
      </w:r>
      <w:r>
        <w:rPr>
          <w:rFonts w:asciiTheme="minorEastAsia" w:hAnsiTheme="minorEastAsia" w:cs="Batang" w:hint="eastAsia"/>
          <w:color w:val="0432FF"/>
          <w:kern w:val="0"/>
          <w:sz w:val="20"/>
          <w:szCs w:val="20"/>
          <w14:ligatures w14:val="none"/>
        </w:rPr>
        <w:t>한</w:t>
      </w:r>
      <w:r w:rsidRPr="00157E89">
        <w:rPr>
          <w:rFonts w:asciiTheme="minorEastAsia" w:hAnsiTheme="minorEastAsia" w:cs="Batang" w:hint="eastAsia"/>
          <w:color w:val="0432FF"/>
          <w:kern w:val="0"/>
          <w:sz w:val="20"/>
          <w:szCs w:val="20"/>
          <w14:ligatures w14:val="none"/>
        </w:rPr>
        <w:t>다.</w:t>
      </w:r>
    </w:p>
    <w:p w14:paraId="58FE6578"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Pr>
          <w:rFonts w:asciiTheme="minorEastAsia" w:hAnsiTheme="minorEastAsia" w:cs="Batang" w:hint="eastAsia"/>
          <w:color w:val="0432FF"/>
          <w:kern w:val="0"/>
          <w:sz w:val="20"/>
          <w:szCs w:val="20"/>
          <w14:ligatures w14:val="none"/>
        </w:rPr>
        <w:lastRenderedPageBreak/>
        <w:t xml:space="preserve">임상적으로 </w:t>
      </w:r>
      <w:r w:rsidRPr="00390D97">
        <w:rPr>
          <w:rFonts w:asciiTheme="minorEastAsia" w:hAnsiTheme="minorEastAsia" w:cs="Batang" w:hint="eastAsia"/>
          <w:color w:val="0432FF"/>
          <w:kern w:val="0"/>
          <w:sz w:val="20"/>
          <w:szCs w:val="20"/>
          <w14:ligatures w14:val="none"/>
        </w:rPr>
        <w:t>대체적 투여 경로</w:t>
      </w:r>
      <w:r>
        <w:rPr>
          <w:rFonts w:asciiTheme="minorEastAsia" w:hAnsiTheme="minorEastAsia" w:cs="Batang" w:hint="eastAsia"/>
          <w:color w:val="0432FF"/>
          <w:kern w:val="0"/>
          <w:sz w:val="20"/>
          <w:szCs w:val="20"/>
          <w14:ligatures w14:val="none"/>
        </w:rPr>
        <w:t xml:space="preserve">의 적용은 각 약물의 특성을 고려하여 </w:t>
      </w:r>
      <w:r w:rsidRPr="00594734">
        <w:rPr>
          <w:rFonts w:asciiTheme="minorEastAsia" w:hAnsiTheme="minorEastAsia" w:cs="Batang" w:hint="eastAsia"/>
          <w:color w:val="0432FF"/>
          <w:kern w:val="0"/>
          <w:sz w:val="20"/>
          <w:szCs w:val="20"/>
          <w14:ligatures w14:val="none"/>
        </w:rPr>
        <w:t>단계적 치료 전략(stepwise approach)으로 통합</w:t>
      </w:r>
      <w:r>
        <w:rPr>
          <w:rFonts w:asciiTheme="minorEastAsia" w:hAnsiTheme="minorEastAsia" w:cs="Batang" w:hint="eastAsia"/>
          <w:color w:val="0432FF"/>
          <w:kern w:val="0"/>
          <w:sz w:val="20"/>
          <w:szCs w:val="20"/>
          <w14:ligatures w14:val="none"/>
        </w:rPr>
        <w:t>되어야 한다.</w:t>
      </w:r>
      <w:r>
        <w:rPr>
          <w:rFonts w:asciiTheme="minorEastAsia" w:hAnsiTheme="minorEastAsia" w:cs="Batang"/>
          <w:color w:val="0432FF"/>
          <w:kern w:val="0"/>
          <w:sz w:val="20"/>
          <w:szCs w:val="20"/>
          <w14:ligatures w14:val="none"/>
        </w:rPr>
        <w:t xml:space="preserve"> </w:t>
      </w:r>
      <w:r w:rsidRPr="00AD2736">
        <w:rPr>
          <w:rFonts w:asciiTheme="minorEastAsia" w:hAnsiTheme="minorEastAsia" w:cs="Batang" w:hint="eastAsia"/>
          <w:color w:val="0432FF"/>
          <w:kern w:val="0"/>
          <w:sz w:val="20"/>
          <w:szCs w:val="20"/>
          <w14:ligatures w14:val="none"/>
        </w:rPr>
        <w:t xml:space="preserve">초기에는 환자의 자율성과 협조를 존중하여 경구 또는 설하 제형을 우선하되, </w:t>
      </w:r>
      <w:r w:rsidRPr="00594734">
        <w:rPr>
          <w:rFonts w:asciiTheme="minorEastAsia" w:hAnsiTheme="minorEastAsia" w:cs="Batang" w:hint="eastAsia"/>
          <w:color w:val="0432FF"/>
          <w:kern w:val="0"/>
          <w:sz w:val="20"/>
          <w:szCs w:val="20"/>
          <w14:ligatures w14:val="none"/>
        </w:rPr>
        <w:t>효과 발현 지연이 임상적으로 문제가 되는 경우에는 비강 또는 흡입 경로를 선택하여 보다 빠르고 예측 가능한 효과를 도모할 수 있다</w:t>
      </w:r>
      <w:r w:rsidRPr="00AD2736">
        <w:rPr>
          <w:rFonts w:asciiTheme="minorEastAsia" w:hAnsiTheme="minorEastAsia" w:cs="Batang" w:hint="eastAsia"/>
          <w:color w:val="0432FF"/>
          <w:kern w:val="0"/>
          <w:sz w:val="20"/>
          <w:szCs w:val="20"/>
          <w14:ligatures w14:val="none"/>
        </w:rPr>
        <w:t xml:space="preserve">. 즉각적인 위험 상황에서는 근육주사가 여전히 중요한 선택지이지만, 이는 가능한 최소한으로 제한되어야 </w:t>
      </w:r>
      <w:r>
        <w:rPr>
          <w:rFonts w:asciiTheme="minorEastAsia" w:hAnsiTheme="minorEastAsia" w:cs="Batang" w:hint="eastAsia"/>
          <w:color w:val="0432FF"/>
          <w:kern w:val="0"/>
          <w:sz w:val="20"/>
          <w:szCs w:val="20"/>
          <w14:ligatures w14:val="none"/>
        </w:rPr>
        <w:t>한</w:t>
      </w:r>
      <w:r w:rsidRPr="00AD2736">
        <w:rPr>
          <w:rFonts w:asciiTheme="minorEastAsia" w:hAnsiTheme="minorEastAsia" w:cs="Batang" w:hint="eastAsia"/>
          <w:color w:val="0432FF"/>
          <w:kern w:val="0"/>
          <w:sz w:val="20"/>
          <w:szCs w:val="20"/>
          <w14:ligatures w14:val="none"/>
        </w:rPr>
        <w:t xml:space="preserve">다. </w:t>
      </w:r>
      <w:r w:rsidRPr="00157E89">
        <w:rPr>
          <w:rFonts w:asciiTheme="minorEastAsia" w:hAnsiTheme="minorEastAsia" w:cs="Batang" w:hint="eastAsia"/>
          <w:color w:val="0432FF"/>
          <w:kern w:val="0"/>
          <w:sz w:val="20"/>
          <w:szCs w:val="20"/>
          <w14:ligatures w14:val="none"/>
        </w:rPr>
        <w:t>결과적으로, 약물 투여 경로의 선택은 단순한 “속도”의 문제가 아니라, hysteresis 및 proteresis로 대표되는 PK–PD 역학, 약물 계열별 작용 기전, 그리고 환자의 협조 가능성과 안전성을 통합적으로 고려한 결정으로 이해되어야 급성 초조 상태에서 보다 효과적이고 윤리적인 약물 치료</w:t>
      </w:r>
      <w:r>
        <w:rPr>
          <w:rFonts w:asciiTheme="minorEastAsia" w:hAnsiTheme="minorEastAsia" w:cs="Batang" w:hint="eastAsia"/>
          <w:color w:val="0432FF"/>
          <w:kern w:val="0"/>
          <w:sz w:val="20"/>
          <w:szCs w:val="20"/>
          <w14:ligatures w14:val="none"/>
        </w:rPr>
        <w:t>에 보다 접근 할 수 있을 것이다.</w:t>
      </w:r>
      <w:r>
        <w:rPr>
          <w:rFonts w:asciiTheme="minorEastAsia" w:hAnsiTheme="minorEastAsia" w:cs="Batang"/>
          <w:color w:val="0432FF"/>
          <w:kern w:val="0"/>
          <w:sz w:val="20"/>
          <w:szCs w:val="20"/>
          <w14:ligatures w14:val="none"/>
        </w:rPr>
        <w:t xml:space="preserve">  </w:t>
      </w:r>
    </w:p>
    <w:p w14:paraId="3287A501"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18D1ED3C"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7-2. Rapid-Acting Non-Injectable Antipsychotic Formulations</w:t>
      </w:r>
    </w:p>
    <w:p w14:paraId="4886D06B"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1C59">
        <w:rPr>
          <w:rFonts w:asciiTheme="minorEastAsia" w:hAnsiTheme="minorEastAsia" w:cs="Batang"/>
          <w:color w:val="0432FF"/>
          <w:kern w:val="0"/>
          <w:sz w:val="20"/>
          <w:szCs w:val="20"/>
          <w14:ligatures w14:val="none"/>
        </w:rPr>
        <w:t>Oral administration exhibits a characteristic counterclockwise hysteresis due to delayed absorption and first-pass metabolism. This reflects a temporal lag between plasma drug concentrations and clinical effects, such that the therapeutic effect emerges progressively over time despite similar plasma levels. As a result, the predictability of onset is reduced in acute clinical situations. Intramuscular (IM) administration partially mitigates this delay; however, hysteresis related to distribution to the effect site remains evident.</w:t>
      </w:r>
    </w:p>
    <w:p w14:paraId="76F6667E"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1C59">
        <w:rPr>
          <w:rFonts w:asciiTheme="minorEastAsia" w:hAnsiTheme="minorEastAsia" w:cs="Batang"/>
          <w:color w:val="0432FF"/>
          <w:kern w:val="0"/>
          <w:sz w:val="20"/>
          <w:szCs w:val="20"/>
          <w14:ligatures w14:val="none"/>
        </w:rPr>
        <w:t>Intranasal and inhaled routes enable rapid delivery to the effect site, resulting in minimal or nearly absent hysteresis and a near-immediate correspondence between plasma concentration and clinical effect. However, such rapid equilibration may, with repeated dosing, induce receptor-level adaptation or acute tolerance, potentially leading to a transition toward clockwise hysteresis (proteresis), in which the effect diminishes more rapidly than the increase in drug concentration.</w:t>
      </w:r>
    </w:p>
    <w:p w14:paraId="65C6F6DE"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1CF98FAC"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1C59">
        <w:rPr>
          <w:rFonts w:asciiTheme="minorEastAsia" w:hAnsiTheme="minorEastAsia" w:cs="Batang"/>
          <w:color w:val="0432FF"/>
          <w:kern w:val="0"/>
          <w:sz w:val="20"/>
          <w:szCs w:val="20"/>
          <w14:ligatures w14:val="none"/>
        </w:rPr>
        <w:t>Sublingual administration bypasses first-pass metabolism while maintaining a relatively gradual absorption profile, thereby demonstrating an intermediate kinetic characteristic between oral and intranasal/inhaled routes. In this context, it reduces hysteresis and improves the predictability of clinical effects, while simultaneously limiting the risk of adverse events associated with rapid peak plasma concentrations. Thus, it provides a balanced profile between onset of action and safety.</w:t>
      </w:r>
    </w:p>
    <w:p w14:paraId="2D0977FA"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5F4C7807"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1C59">
        <w:rPr>
          <w:rFonts w:asciiTheme="minorEastAsia" w:hAnsiTheme="minorEastAsia" w:cs="Batang"/>
          <w:color w:val="0432FF"/>
          <w:kern w:val="0"/>
          <w:sz w:val="20"/>
          <w:szCs w:val="20"/>
          <w14:ligatures w14:val="none"/>
        </w:rPr>
        <w:t xml:space="preserve">Clinically, the application of alternative routes of administration should be integrated into a stepwise treatment strategy that accounts for the pharmacological properties of each agent. Initially, oral or </w:t>
      </w:r>
      <w:r w:rsidRPr="00151C59">
        <w:rPr>
          <w:rFonts w:asciiTheme="minorEastAsia" w:hAnsiTheme="minorEastAsia" w:cs="Batang"/>
          <w:color w:val="0432FF"/>
          <w:kern w:val="0"/>
          <w:sz w:val="20"/>
          <w:szCs w:val="20"/>
          <w14:ligatures w14:val="none"/>
        </w:rPr>
        <w:lastRenderedPageBreak/>
        <w:t>sublingual formulations should be prioritized to preserve patient autonomy and cooperation. When delayed onset becomes clinically problematic, intranasal or inhaled routes may be employed to achieve a faster and more predictable therapeutic response. In situations of immediate risk, intramuscular administration remains an important option, although its use should be minimized whenever possible.</w:t>
      </w:r>
    </w:p>
    <w:p w14:paraId="13A585F4"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1C59">
        <w:rPr>
          <w:rFonts w:asciiTheme="minorEastAsia" w:hAnsiTheme="minorEastAsia" w:cs="Batang"/>
          <w:color w:val="0432FF"/>
          <w:kern w:val="0"/>
          <w:sz w:val="20"/>
          <w:szCs w:val="20"/>
          <w14:ligatures w14:val="none"/>
        </w:rPr>
        <w:t>Ultimately, the selection of a route of administration should not be regarded merely as a matter of speed, but rather as a decision that integrates PK–PD dynamics—particularly hysteresis and proteresis—along with drug-specific mechanisms, patient cooperation, and safety considerations. Such an approach may facilitate more effective and ethically sound management of acute agitation.</w:t>
      </w:r>
    </w:p>
    <w:p w14:paraId="50109A36"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References (Vancouver style)</w:t>
      </w:r>
      <w:r>
        <w:rPr>
          <w:rFonts w:asciiTheme="minorEastAsia" w:hAnsiTheme="minorEastAsia" w:cs="Batang"/>
          <w:color w:val="0432FF"/>
          <w:kern w:val="0"/>
          <w:sz w:val="20"/>
          <w:szCs w:val="20"/>
          <w:highlight w:val="yellow"/>
          <w14:ligatures w14:val="none"/>
        </w:rPr>
        <w:t xml:space="preserve"> Chat GPT</w:t>
      </w:r>
    </w:p>
    <w:p w14:paraId="27F8E8C7"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Wehling M. Age-associated general pharmacological aspects. In: Wehling M, editor. Drug therapy for the elderly. Vienna: Springer-Verlag; 2013. p. 3–22.</w:t>
      </w:r>
    </w:p>
    <w:p w14:paraId="1306E7FF"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Holford NH, Sheiner LB. Kinetics of pharmacologic response. Pharmacol Ther. 1982;16(2):143–166.</w:t>
      </w:r>
    </w:p>
    <w:p w14:paraId="0AFEE2FA"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Danhof M, de Jongh J, De Lange ECM, Della Pasqua OE, Ploeger BA, Voskuyl RA. Mechanism-based pharmacokinetic–pharmacodynamic modeling: biophase distribution, receptor theory, and dynamical systems analysis. Annu Rev Pharmacol Toxicol. 2007;47:357–400.</w:t>
      </w:r>
    </w:p>
    <w:p w14:paraId="6F565347"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Toutain PL, Bousquet-Mélou A. Plasma clearance. J Vet Pharmacol Ther. 2004;27(6):415–425.</w:t>
      </w:r>
    </w:p>
    <w:p w14:paraId="5DC5CF6A"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Greenblatt DJ, Shader RI. Pharmacokinetics and pharmacodynamics of benzodiazepines. J Clin Pharmacol. 1978;18(2-3):89–99.</w:t>
      </w:r>
    </w:p>
    <w:p w14:paraId="08B302AF"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Allen MH, Currier GW, Carpenter D, Ross RW, Docherty JP. The expert consensus guideline series. Treatment of behavioral emergencies. J Psychiatr Pract. 2005;11 Suppl 1:5–108.</w:t>
      </w:r>
    </w:p>
    <w:p w14:paraId="567A99A3"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Nordstrom K, Zun LS, Wilson MP, Stiebel V, Ng AT, Bregman B. Medical evaluation and triage of the agitated patient: consensus statement. West J Emerg Med. 2012;13(1):3–10.</w:t>
      </w:r>
    </w:p>
    <w:p w14:paraId="3864E68B"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Zeller SL, Rhoades RW. Systematic reviews of assessment measures and pharmacologic treatments for agitation. Clin Ther. 2010;32(3):403–425.</w:t>
      </w:r>
    </w:p>
    <w:p w14:paraId="11ED44A8"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Citrome L. Inhaled loxapine for agitation: a review of efficacy and safety. Neuropsychiatr Dis Treat. 2013;9:193–201.</w:t>
      </w:r>
    </w:p>
    <w:p w14:paraId="566F928F"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lastRenderedPageBreak/>
        <w:t>Lesem MD, Zajecka JM, Swift RH, Reeves KR, Harrigan EP, Landbloom RP. Intranasal midazolam for acute agitation. J Clin Psychiatry. 2011;72(5):620–625.</w:t>
      </w:r>
    </w:p>
    <w:p w14:paraId="11565444" w14:textId="77777777" w:rsidR="0009494F" w:rsidRPr="00151C59" w:rsidRDefault="0009494F" w:rsidP="0009494F">
      <w:pPr>
        <w:spacing w:before="100" w:beforeAutospacing="1" w:after="100" w:afterAutospacing="1" w:line="240" w:lineRule="auto"/>
        <w:jc w:val="both"/>
        <w:rPr>
          <w:rFonts w:asciiTheme="minorEastAsia" w:hAnsiTheme="minorEastAsia" w:cs="Batang"/>
          <w:color w:val="0432FF"/>
          <w:kern w:val="0"/>
          <w:sz w:val="20"/>
          <w:szCs w:val="20"/>
          <w:highlight w:val="yellow"/>
          <w14:ligatures w14:val="none"/>
        </w:rPr>
      </w:pPr>
      <w:r w:rsidRPr="00151C59">
        <w:rPr>
          <w:rFonts w:asciiTheme="minorEastAsia" w:hAnsiTheme="minorEastAsia" w:cs="Batang"/>
          <w:color w:val="0432FF"/>
          <w:kern w:val="0"/>
          <w:sz w:val="20"/>
          <w:szCs w:val="20"/>
          <w:highlight w:val="yellow"/>
          <w14:ligatures w14:val="none"/>
        </w:rPr>
        <w:t>Wilson MP, Pepper D, Currier GW, Holloman GH Jr, Feifel D. The psychopharmacology of agitation: consensus statement. West J Emerg Med. 2012;13(1):26–34.</w:t>
      </w:r>
    </w:p>
    <w:p w14:paraId="37EB5FCA"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151C59">
        <w:rPr>
          <w:rFonts w:asciiTheme="minorEastAsia" w:hAnsiTheme="minorEastAsia" w:cs="Batang"/>
          <w:color w:val="0432FF"/>
          <w:kern w:val="0"/>
          <w:sz w:val="20"/>
          <w:szCs w:val="20"/>
          <w:highlight w:val="yellow"/>
          <w14:ligatures w14:val="none"/>
        </w:rPr>
        <w:t>Marder SR. A review of agitation in mental illness: treatment guidelines and current therapies. J Clin Psychiatry. 2006;67 Suppl 10:13–21.</w:t>
      </w:r>
    </w:p>
    <w:p w14:paraId="5BC68CDE"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6B16FB3C"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Pr>
          <w:rFonts w:asciiTheme="minorEastAsia" w:hAnsiTheme="minorEastAsia" w:cs="Batang" w:hint="eastAsia"/>
          <w:color w:val="0432FF"/>
          <w:kern w:val="0"/>
          <w:sz w:val="20"/>
          <w:szCs w:val="20"/>
          <w14:ligatures w14:val="none"/>
        </w:rPr>
        <w:t>7</w:t>
      </w:r>
      <w:r>
        <w:rPr>
          <w:rFonts w:asciiTheme="minorEastAsia" w:hAnsiTheme="minorEastAsia" w:cs="Batang"/>
          <w:color w:val="0432FF"/>
          <w:kern w:val="0"/>
          <w:sz w:val="20"/>
          <w:szCs w:val="20"/>
          <w14:ligatures w14:val="none"/>
        </w:rPr>
        <w:t xml:space="preserve">-2-1. </w:t>
      </w:r>
      <w:r>
        <w:rPr>
          <w:rFonts w:asciiTheme="minorEastAsia" w:hAnsiTheme="minorEastAsia" w:cs="Batang" w:hint="eastAsia"/>
          <w:color w:val="0432FF"/>
          <w:kern w:val="0"/>
          <w:sz w:val="20"/>
          <w:szCs w:val="20"/>
          <w14:ligatures w14:val="none"/>
        </w:rPr>
        <w:t>비강 흡입</w:t>
      </w:r>
    </w:p>
    <w:p w14:paraId="6BB11DC9"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Pr>
          <w:rFonts w:asciiTheme="minorEastAsia" w:hAnsiTheme="minorEastAsia" w:cs="Batang"/>
          <w:color w:val="0432FF"/>
          <w:kern w:val="0"/>
          <w:sz w:val="20"/>
          <w:szCs w:val="20"/>
          <w14:ligatures w14:val="none"/>
        </w:rPr>
        <w:t>7-2-1. I</w:t>
      </w:r>
      <w:r w:rsidRPr="00390D97">
        <w:rPr>
          <w:rFonts w:asciiTheme="minorEastAsia" w:hAnsiTheme="minorEastAsia" w:cs="Batang" w:hint="eastAsia"/>
          <w:color w:val="0432FF"/>
          <w:kern w:val="0"/>
          <w:sz w:val="20"/>
          <w:szCs w:val="20"/>
          <w14:ligatures w14:val="none"/>
        </w:rPr>
        <w:t>ntranasal delivery</w:t>
      </w:r>
    </w:p>
    <w:p w14:paraId="04D0A4EE"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hint="eastAsia"/>
          <w:color w:val="0432FF"/>
          <w:kern w:val="0"/>
          <w:sz w:val="20"/>
          <w:szCs w:val="20"/>
          <w14:ligatures w14:val="none"/>
        </w:rPr>
        <w:t>대체적 약물 전달 방식의 대표적인 예로는 흡입형 록사핀(inhaled loxapine, ADASUVE™)이 있다. 이 제형은 조현병 또는 양극성장애 환자에서 나타나는 급성 초조 상태를 신속하게 관리하기 위해 개발된 약물이다. 환자가 휴대형 흡입 장치를 이용하여 약물을 흡입하면 폐를 통해 빠르게 흡수되며, 수 분 이내에 임상적 효과가 나타날 수 있다. 무작위 임상시험에서도 조현병 및 양극성장애 환자에서 위약에 비해 초조 증상을 유의하게 감소시키는 효과가 확인되었다 (Allen et al., 2011; Kwentus et al., 2012).</w:t>
      </w:r>
    </w:p>
    <w:p w14:paraId="5353EA25"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color w:val="0432FF"/>
          <w:kern w:val="0"/>
          <w:sz w:val="20"/>
          <w:szCs w:val="20"/>
          <w14:ligatures w14:val="none"/>
        </w:rPr>
        <w:t>One notable example of alternative pharmacological delivery is inhaled loxapine (ADASUVE™), a formulation designed for the rapid management of acute agitation in patients with schizophrenia or bipolar disorder. The medication is administered using a handheld inhalation device, allowing rapid pulmonary absorption and onset of clinical effects within minutes. Randomized clinical trials have demonstrated significant reductions in agitation compared with placebo in both schizophrenia and bipolar disorder populations (Allen et al., 2011; Kwentus et al., 2012).</w:t>
      </w:r>
    </w:p>
    <w:p w14:paraId="554A634F"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21D0ADAF"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hint="eastAsia"/>
          <w:color w:val="0432FF"/>
          <w:kern w:val="0"/>
          <w:sz w:val="20"/>
          <w:szCs w:val="20"/>
          <w14:ligatures w14:val="none"/>
        </w:rPr>
        <w:t>이러한 제형은 효과 부위로의 빠른 도달과 함께 비교적 예측 가능한 약효 발현을 가능하게 한다. 다만, 이러한 신속한 효과 발현은 반복 투여 시 약효 지속성이나 반응 양상에 영향을 줄 가능성이 있어 임상적 맥락에서 신중한 해석이 필요하다.</w:t>
      </w:r>
    </w:p>
    <w:p w14:paraId="5DA3E033"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hint="eastAsia"/>
          <w:color w:val="0432FF"/>
          <w:kern w:val="0"/>
          <w:sz w:val="20"/>
          <w:szCs w:val="20"/>
          <w14:ligatures w14:val="none"/>
        </w:rPr>
        <w:t>그러나 이러한 빠른 치료 효과에도 불구하고 흡입형 록사핀은 기관지연축(bronchospasm)의 위험이 있기 때문에 충분한 의료적 감독이 가능한 환경에서만 투여되어야 한다. 미국에서는 이러한 위험성을 고려하여 REMS(Risk Evaluation and Mitigation Strategies) 프로그램을 통해 제한적으로 사용되고 있다. 여러 국가에서 승인을 받았음에도 불구하고, 안전성 모니터링의 필요성과 비교적 높은 비용 등의 이유로 실제 임상 현장에서의 활용은 제한적인 편이다.</w:t>
      </w:r>
    </w:p>
    <w:p w14:paraId="72DCE542"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1F5401ED"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color w:val="0432FF"/>
          <w:kern w:val="0"/>
          <w:sz w:val="20"/>
          <w:szCs w:val="20"/>
          <w14:ligatures w14:val="none"/>
        </w:rPr>
        <w:t>Despite its rapid efficacy, inhaled loxapine carries a risk of bronchospasm and therefore requires administration in medically supervised settings. In the United States, its use is restricted through the REMS (Risk Evaluation and Mitigation Strategies) program. Although approved in several countries, its clinical adoption has been limited due to safety monitoring requirements and relatively high cost.</w:t>
      </w:r>
    </w:p>
    <w:p w14:paraId="74DA989E"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011DD618"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hint="eastAsia"/>
          <w:color w:val="0432FF"/>
          <w:kern w:val="0"/>
          <w:sz w:val="20"/>
          <w:szCs w:val="20"/>
          <w14:ligatures w14:val="none"/>
        </w:rPr>
        <w:t>한편, 현재 항정신병약의 비강 투여(intranasal delivery) 방식도 연구되고 있다. 올란자핀(olanzapine)의 비강 제형인 INP105와 NRL-4가 현재 개발 중이며, 이러한 제형은 비강 점막을 통해 약물을 전달함으로써 근육주사를 사용하지 않고도 빠른 전신 흡수를 가능하게 하는 것을 목표로 한다. 일부 장치는 약물이 상부 비강에 효과적으로 전달되도록 설계되어 있거나, 비강 점막의 투과성을 일시적으로 증가시키는 기술을 활용하여 약물 흡수를 향상시키도록 개발되고 있다.</w:t>
      </w:r>
    </w:p>
    <w:p w14:paraId="70AB1163"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6DC6E56B"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hint="eastAsia"/>
          <w:color w:val="0432FF"/>
          <w:kern w:val="0"/>
          <w:sz w:val="20"/>
          <w:szCs w:val="20"/>
          <w14:ligatures w14:val="none"/>
        </w:rPr>
        <w:t>이러한 제형들은 빠른 흡수와 함께 보다 일관된 약효 발현을 목표로 하고 있으나, 반복 투여 시의 반응 양상과 안전성에 대한 추가적인 검증이 필요하다. 이러한 제형들은 아직 광범위한 규제 승인 단계에 이르지는 않았지만, 급성 초조 상태 치료에서 비주사형 치료 옵션을 확대하려는 지속적인 노력을 보여주는 사례로 볼 수 있다.</w:t>
      </w:r>
    </w:p>
    <w:p w14:paraId="025C392E"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270A3E34" w14:textId="77777777" w:rsidR="0009494F" w:rsidRPr="00026AD8"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color w:val="0432FF"/>
          <w:kern w:val="0"/>
          <w:sz w:val="20"/>
          <w:szCs w:val="20"/>
          <w14:ligatures w14:val="none"/>
        </w:rPr>
        <w:t>Another approach under investigation involves intranasal delivery of antipsychotic medications. Intranasal formulations of olanzapine, including INP105 and NRL-4, are currently under development. These systems aim to deliver the drug through the nasal mucosa, allowing rapid systemic absorption while avoiding the need for intramuscular injection. Some devices employ technologies designed to optimize drug deposition in the upper nasal cavity or temporarily enhance mucosal permeability, potentially improving drug uptake.</w:t>
      </w:r>
    </w:p>
    <w:p w14:paraId="4F0115FA"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026AD8">
        <w:rPr>
          <w:rFonts w:asciiTheme="minorEastAsia" w:hAnsiTheme="minorEastAsia" w:cs="Batang"/>
          <w:color w:val="0432FF"/>
          <w:kern w:val="0"/>
          <w:sz w:val="20"/>
          <w:szCs w:val="20"/>
          <w14:ligatures w14:val="none"/>
        </w:rPr>
        <w:t>Although these formulations have not yet received widespread regulatory approval, they aim to provide rapid and more predictable onset of action, although their response profiles with repeated administration remain to be fully characterized. They represent ongoing efforts to expand non-injectable treatment options for acute agitation.</w:t>
      </w:r>
    </w:p>
    <w:p w14:paraId="77B4F46E"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74120D47"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7-</w:t>
      </w:r>
      <w:r>
        <w:rPr>
          <w:rFonts w:asciiTheme="minorEastAsia" w:hAnsiTheme="minorEastAsia" w:cs="Batang"/>
          <w:color w:val="0432FF"/>
          <w:kern w:val="0"/>
          <w:sz w:val="20"/>
          <w:szCs w:val="20"/>
          <w14:ligatures w14:val="none"/>
        </w:rPr>
        <w:t>2-2</w:t>
      </w:r>
      <w:r w:rsidRPr="00390D97">
        <w:rPr>
          <w:rFonts w:asciiTheme="minorEastAsia" w:hAnsiTheme="minorEastAsia" w:cs="Batang" w:hint="eastAsia"/>
          <w:color w:val="0432FF"/>
          <w:kern w:val="0"/>
          <w:sz w:val="20"/>
          <w:szCs w:val="20"/>
          <w14:ligatures w14:val="none"/>
        </w:rPr>
        <w:t>. 설하 항정신병약 제형</w:t>
      </w:r>
    </w:p>
    <w:p w14:paraId="73945D98"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lastRenderedPageBreak/>
        <w:t>7-</w:t>
      </w:r>
      <w:r>
        <w:rPr>
          <w:rFonts w:asciiTheme="minorEastAsia" w:hAnsiTheme="minorEastAsia" w:cs="Batang"/>
          <w:color w:val="0432FF"/>
          <w:kern w:val="0"/>
          <w:sz w:val="20"/>
          <w:szCs w:val="20"/>
          <w14:ligatures w14:val="none"/>
        </w:rPr>
        <w:t>2-2</w:t>
      </w:r>
      <w:r w:rsidRPr="00390D97">
        <w:rPr>
          <w:rFonts w:asciiTheme="minorEastAsia" w:hAnsiTheme="minorEastAsia" w:cs="Batang"/>
          <w:color w:val="0432FF"/>
          <w:kern w:val="0"/>
          <w:sz w:val="20"/>
          <w:szCs w:val="20"/>
          <w14:ligatures w14:val="none"/>
        </w:rPr>
        <w:t>. Sublingual Antipsychotic Formulations</w:t>
      </w:r>
    </w:p>
    <w:p w14:paraId="1DD7735A"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설하 투여는 위장관 대사를 우회하면서 비교적 빠른 약물 흡수를 달성할 수 있는 또 하나의 전략이다. 아세나핀(asenapine)은 주로 세로토닌 5-HT₂A 수용체와 도파민 D₂ 수용체에 작용하는 비정형 항정신병약으로, 경구로 삼켜 복용할 경우 생체이용률이 매우 낮다는 문제 때문에 설하 제형으로 개발되었다.</w:t>
      </w:r>
    </w:p>
    <w:p w14:paraId="6D710328"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 xml:space="preserve">Sublingual administration represents another strategy for bypassing gastrointestinal metabolism while achieving relatively rapid absorption. Asenapine, an atypical antipsychotic acting primarily on serotonin 5-HT₂A and dopamine D₂ receptors, was developed </w:t>
      </w:r>
      <w:r w:rsidRPr="00390D97">
        <w:rPr>
          <w:rFonts w:asciiTheme="minorEastAsia" w:hAnsiTheme="minorEastAsia" w:cs="Batang"/>
          <w:color w:val="0432FF"/>
          <w:kern w:val="0"/>
          <w:sz w:val="20"/>
          <w:szCs w:val="20"/>
          <w14:ligatures w14:val="none"/>
        </w:rPr>
        <w:t>in a sublingual formulation due to its extremely low oral bioavailability when swallowed.</w:t>
      </w:r>
    </w:p>
    <w:p w14:paraId="23930FF7"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설하 아세나핀은 2009년 미국 식품의약국(FDA)으로부터 조현병과 양극성장애 치료 적응증으로 승인을 받았다. 초기에는 경구 약물 복용이 어려운 환자들을 위해 사용되었지만, 빠른 흡수 특성으로 인해 급성 초조 상태에서의 활용 가능성에 대한 관심도 점차 증가하였다. 위약 대조 임상시험에서는 투여 후 약 15분 이내에 초조 증상의 감소가 관찰되었으며, 단기간 관찰 기간 동안 보고된 이상반응도 최소 수준이었다(Pratts et al., 2014). 비록 많은 국가에서 급성 초조에 대한 공식 적응증은 아직 승인되지 않았지만, 이러한 결과는 특정 임상 상황에서 잠재적인 치료적 유용성을 시사한다.</w:t>
      </w:r>
    </w:p>
    <w:p w14:paraId="5BD848ED"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Sublingual asenapine was approved by the U.S. Food and Drug Administration in 2009 for the treatment of schizophrenia and bipolar disorder. Although initially used for patients with difficulty swallowing oral medications, its rapid absorption profile has led to interest in its potential use in acute agitation. In a placebo-controlled clinical trial, reductions in agitation were observed within 15 minutes of administration, with minimal adverse events reported during short-term observation (Pratts et al., 2014). While not specifically approved for agitation in many jurisdictions, such findings suggest potential utility in selected clinical settings.</w:t>
      </w:r>
    </w:p>
    <w:p w14:paraId="13728FE8"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2D0768A9"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7-</w:t>
      </w:r>
      <w:r>
        <w:rPr>
          <w:rFonts w:asciiTheme="minorEastAsia" w:hAnsiTheme="minorEastAsia" w:cs="Batang"/>
          <w:color w:val="0432FF"/>
          <w:kern w:val="0"/>
          <w:sz w:val="20"/>
          <w:szCs w:val="20"/>
          <w14:ligatures w14:val="none"/>
        </w:rPr>
        <w:t>2-3</w:t>
      </w:r>
      <w:r w:rsidRPr="00390D97">
        <w:rPr>
          <w:rFonts w:asciiTheme="minorEastAsia" w:hAnsiTheme="minorEastAsia" w:cs="Batang" w:hint="eastAsia"/>
          <w:color w:val="0432FF"/>
          <w:kern w:val="0"/>
          <w:sz w:val="20"/>
          <w:szCs w:val="20"/>
          <w14:ligatures w14:val="none"/>
        </w:rPr>
        <w:t>. 덱스메데토미딘 설하 필름</w:t>
      </w:r>
    </w:p>
    <w:p w14:paraId="1046E9C6"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7-</w:t>
      </w:r>
      <w:r>
        <w:rPr>
          <w:rFonts w:asciiTheme="minorEastAsia" w:hAnsiTheme="minorEastAsia" w:cs="Batang"/>
          <w:color w:val="0432FF"/>
          <w:kern w:val="0"/>
          <w:sz w:val="20"/>
          <w:szCs w:val="20"/>
          <w14:ligatures w14:val="none"/>
        </w:rPr>
        <w:t>2-3</w:t>
      </w:r>
      <w:r w:rsidRPr="00390D97">
        <w:rPr>
          <w:rFonts w:asciiTheme="minorEastAsia" w:hAnsiTheme="minorEastAsia" w:cs="Batang"/>
          <w:color w:val="0432FF"/>
          <w:kern w:val="0"/>
          <w:sz w:val="20"/>
          <w:szCs w:val="20"/>
          <w14:ligatures w14:val="none"/>
        </w:rPr>
        <w:t>. Dexmedetomidine Sublingual Film</w:t>
      </w:r>
    </w:p>
    <w:p w14:paraId="0B830442"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최근에는 덱스메데토미딘(dexmedetomidine)이 급성 초조 상태의 관리에서 새로운 약물학적 접근으로 주목받고 있다. 덱스메데토미딘은 고선택적 α₂-아드레날린 수용체 작용제로, 원래 중환자실 환경에서 환자 진정을 목적으로 개발된 약물이다. 2022년에는 설하 필름 제형(IGALMI™)이 조현병 및 양극성장애와 관련된 급성 초조 상태의 치료를 적응증으로 미국 식품의약국(FDA)의 승인을 받았다.</w:t>
      </w:r>
    </w:p>
    <w:p w14:paraId="3C471BB6"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lastRenderedPageBreak/>
        <w:t>More recently, dexmedetomidine has emerged as a novel pharmacological approach to the management of acute agitation. Dexmedetomidine is a highly selective α₂-adrenergic receptor agonist originally developed for sedation in intensive care settings. In 2022,</w:t>
      </w:r>
      <w:r w:rsidRPr="00390D97">
        <w:rPr>
          <w:rFonts w:asciiTheme="minorEastAsia" w:hAnsiTheme="minorEastAsia" w:cs="Batang"/>
          <w:color w:val="0432FF"/>
          <w:kern w:val="0"/>
          <w:sz w:val="20"/>
          <w:szCs w:val="20"/>
          <w14:ligatures w14:val="none"/>
        </w:rPr>
        <w:t xml:space="preserve"> a sublingual film formulation (IGALMI™) received FDA approval for the treatment of acute agitation associated with schizophrenia and bipolar disorder.</w:t>
      </w:r>
    </w:p>
    <w:p w14:paraId="0EFEF6C1"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임상시험에서는 120 µg 또는 180 µg의 단회 투여가 위약에 비해 초조 증상을 유의하게 감소시키는 것으로 나타났으며, 약효는 투여 후 약 20분 이내에 나타나는 것으로 보고되었다. 가장 흔하게 보고된 이상반응은 경미한 졸림(somnolence)이었으며, 저혈압, 어지럼, 구강 건조 등의 부작용은 대체로 경미하고 발생 빈도도 낮았다. 특히 덱스메데토미딘은 도파민 수용체에 작용하지 않기 때문에 추체외로계 부작용(extrapyramidal side effects)을 유발하지 않는다는 점이 중요한 특징이다.</w:t>
      </w:r>
    </w:p>
    <w:p w14:paraId="664CF139"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color w:val="0432FF"/>
          <w:kern w:val="0"/>
          <w:sz w:val="20"/>
          <w:szCs w:val="20"/>
          <w14:ligatures w14:val="none"/>
        </w:rPr>
        <w:t>Clinical trials have demonstrated that single doses of 120 µg or 180 µg significantly reduce agitation compared with placebo, with onset of clinical effects observed within approximately 20 minutes. The most commonly reported adverse event is mild somnolence, while hypotension, dizziness, and dry mouth are generally mild and infrequent. Importantly, because dexmedetomidine does not act on dopamine receptors, it does not produce extrapyramidal side effects.</w:t>
      </w:r>
    </w:p>
    <w:p w14:paraId="30CF10DE" w14:textId="77777777" w:rsidR="0009494F" w:rsidRPr="00390D97"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설하 제형은 주사를 피할 수 있다는 점에서 환자의 수용도를 높일 수 있으며, 근육주사 투여와 관련하여 환자가 경험할 수 있는 강압감(coercion)의 인식을 줄일 가능성도 있다. 그러나 α₂-아드레날린 작용 기전이 정신병적 초조 상태의 근본적인 병태생리에 어느 정도까지 효과적으로 작용하는지, 그리고 향상된 안전성과 편의성이 상대적으로 높은 약가를 정당화할 수 있는지에 대해서는 여전히 추가적인 검토가 필요하다.</w:t>
      </w:r>
    </w:p>
    <w:p w14:paraId="12C6E37A"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sidRPr="00390D97">
        <w:rPr>
          <w:rFonts w:asciiTheme="minorEastAsia" w:hAnsiTheme="minorEastAsia" w:cs="Batang" w:hint="eastAsia"/>
          <w:color w:val="0432FF"/>
          <w:kern w:val="0"/>
          <w:sz w:val="20"/>
          <w:szCs w:val="20"/>
          <w14:ligatures w14:val="none"/>
        </w:rPr>
        <w:t>The sublingual formulation may also enhance patient acceptability by avoiding injections and reducing the sense of coercion sometimes associated with intramuscular medication administration. However, questions remain regarding the extent to which α₂-adrene</w:t>
      </w:r>
      <w:r w:rsidRPr="00390D97">
        <w:rPr>
          <w:rFonts w:asciiTheme="minorEastAsia" w:hAnsiTheme="minorEastAsia" w:cs="Batang"/>
          <w:color w:val="0432FF"/>
          <w:kern w:val="0"/>
          <w:sz w:val="20"/>
          <w:szCs w:val="20"/>
          <w14:ligatures w14:val="none"/>
        </w:rPr>
        <w:t>rgic mechanisms address the underlying pathophysiology of psychotic agitation, as well as whether the higher cost of the medication is justified by its clinical advantages.</w:t>
      </w:r>
    </w:p>
    <w:p w14:paraId="73117617"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7FEC4816" w14:textId="77777777" w:rsidR="0009494F" w:rsidRPr="004D208E"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r>
        <w:rPr>
          <w:rFonts w:asciiTheme="minorEastAsia" w:hAnsiTheme="minorEastAsia" w:cs="Batang" w:hint="eastAsia"/>
          <w:color w:val="0432FF"/>
          <w:kern w:val="0"/>
          <w:sz w:val="20"/>
          <w:szCs w:val="20"/>
          <w14:ligatures w14:val="none"/>
        </w:rPr>
        <w:t>7</w:t>
      </w:r>
      <w:r>
        <w:rPr>
          <w:rFonts w:asciiTheme="minorEastAsia" w:hAnsiTheme="minorEastAsia" w:cs="Batang"/>
          <w:color w:val="0432FF"/>
          <w:kern w:val="0"/>
          <w:sz w:val="20"/>
          <w:szCs w:val="20"/>
          <w14:ligatures w14:val="none"/>
        </w:rPr>
        <w:t xml:space="preserve">-3. Facilitated Access to </w:t>
      </w:r>
      <w:r w:rsidRPr="009E06FB">
        <w:rPr>
          <w:rFonts w:asciiTheme="minorEastAsia" w:hAnsiTheme="minorEastAsia" w:cs="Batang"/>
          <w:color w:val="0432FF"/>
          <w:kern w:val="0"/>
          <w:sz w:val="20"/>
          <w:szCs w:val="20"/>
          <w14:ligatures w14:val="none"/>
        </w:rPr>
        <w:t>Clozapine</w:t>
      </w:r>
    </w:p>
    <w:p w14:paraId="26967E3D" w14:textId="77777777" w:rsidR="0009494F" w:rsidRDefault="0009494F" w:rsidP="0009494F">
      <w:pPr>
        <w:jc w:val="both"/>
        <w:rPr>
          <w:rFonts w:asciiTheme="minorEastAsia" w:hAnsiTheme="minorEastAsia" w:cs="Batang"/>
          <w:color w:val="0432FF"/>
          <w:kern w:val="0"/>
          <w:sz w:val="20"/>
          <w:szCs w:val="20"/>
          <w14:ligatures w14:val="none"/>
        </w:rPr>
      </w:pPr>
      <w:r>
        <w:rPr>
          <w:rFonts w:asciiTheme="minorEastAsia" w:hAnsiTheme="minorEastAsia" w:cs="Batang" w:hint="eastAsia"/>
          <w:color w:val="0432FF"/>
          <w:kern w:val="0"/>
          <w:sz w:val="20"/>
          <w:szCs w:val="20"/>
          <w14:ligatures w14:val="none"/>
        </w:rPr>
        <w:t>7</w:t>
      </w:r>
      <w:r>
        <w:rPr>
          <w:rFonts w:asciiTheme="minorEastAsia" w:hAnsiTheme="minorEastAsia" w:cs="Batang"/>
          <w:color w:val="0432FF"/>
          <w:kern w:val="0"/>
          <w:sz w:val="20"/>
          <w:szCs w:val="20"/>
          <w14:ligatures w14:val="none"/>
        </w:rPr>
        <w:t xml:space="preserve">-3-1. </w:t>
      </w:r>
      <w:r w:rsidRPr="00903C32">
        <w:rPr>
          <w:rFonts w:asciiTheme="minorEastAsia" w:hAnsiTheme="minorEastAsia" w:cs="Batang"/>
          <w:color w:val="0432FF"/>
          <w:kern w:val="0"/>
          <w:sz w:val="20"/>
          <w:szCs w:val="20"/>
          <w14:ligatures w14:val="none"/>
        </w:rPr>
        <w:t>Clozapine in Acute Agitation and Violence</w:t>
      </w:r>
    </w:p>
    <w:p w14:paraId="7675A294" w14:textId="77777777" w:rsidR="0009494F" w:rsidRDefault="0009494F" w:rsidP="0009494F">
      <w:pPr>
        <w:jc w:val="both"/>
        <w:rPr>
          <w:rFonts w:asciiTheme="minorEastAsia" w:hAnsiTheme="minorEastAsia" w:cs="Batang"/>
          <w:color w:val="0432FF"/>
          <w:kern w:val="0"/>
          <w:sz w:val="20"/>
          <w:szCs w:val="20"/>
          <w14:ligatures w14:val="none"/>
        </w:rPr>
      </w:pPr>
      <w:r w:rsidRPr="00373CFE">
        <w:rPr>
          <w:rFonts w:asciiTheme="minorEastAsia" w:hAnsiTheme="minorEastAsia" w:cs="Batang" w:hint="eastAsia"/>
          <w:color w:val="0432FF"/>
          <w:kern w:val="0"/>
          <w:sz w:val="20"/>
          <w:szCs w:val="20"/>
          <w14:ligatures w14:val="none"/>
        </w:rPr>
        <w:t>공격성과 폭력은 정신질환과 밀접하게 연관되어 있으며, 자살 행동과 공격성</w:t>
      </w:r>
      <w:r>
        <w:rPr>
          <w:rFonts w:asciiTheme="minorEastAsia" w:hAnsiTheme="minorEastAsia" w:cs="Batang" w:hint="eastAsia"/>
          <w:color w:val="0432FF"/>
          <w:kern w:val="0"/>
          <w:sz w:val="20"/>
          <w:szCs w:val="20"/>
          <w14:ligatures w14:val="none"/>
        </w:rPr>
        <w:t xml:space="preserve">과 같은 </w:t>
      </w:r>
      <w:r w:rsidRPr="00373CFE">
        <w:rPr>
          <w:rFonts w:asciiTheme="minorEastAsia" w:hAnsiTheme="minorEastAsia" w:cs="Batang" w:hint="eastAsia"/>
          <w:color w:val="0432FF"/>
          <w:kern w:val="0"/>
          <w:sz w:val="20"/>
          <w:szCs w:val="20"/>
          <w14:ligatures w14:val="none"/>
        </w:rPr>
        <w:t xml:space="preserve">중증 정신과적 증상은 조현병, 양극성장애, 주요우울장애, 성격장애, 인지장애, 지적장애 및 물질사용장애 등 다양한 정신질환에서 </w:t>
      </w:r>
      <w:r w:rsidRPr="00373CFE">
        <w:rPr>
          <w:rFonts w:asciiTheme="minorEastAsia" w:hAnsiTheme="minorEastAsia" w:cs="Batang" w:hint="eastAsia"/>
          <w:color w:val="0432FF"/>
          <w:kern w:val="0"/>
          <w:sz w:val="20"/>
          <w:szCs w:val="20"/>
          <w14:ligatures w14:val="none"/>
        </w:rPr>
        <w:lastRenderedPageBreak/>
        <w:t>나타날 수 있다. 항정신병약물의 적응증은 특정 질환군에 제한되어 있음에도 불구하고, 고위험 상황이나 기존 치료에 반응하지 않는 경우에는 구조 약물</w:t>
      </w:r>
      <w:r>
        <w:rPr>
          <w:rFonts w:asciiTheme="minorEastAsia" w:hAnsiTheme="minorEastAsia" w:cs="Batang" w:hint="eastAsia"/>
          <w:color w:val="0432FF"/>
          <w:kern w:val="0"/>
          <w:sz w:val="20"/>
          <w:szCs w:val="20"/>
          <w14:ligatures w14:val="none"/>
        </w:rPr>
        <w:t xml:space="preserve"> </w:t>
      </w:r>
      <w:r w:rsidRPr="00373CFE">
        <w:rPr>
          <w:rFonts w:asciiTheme="minorEastAsia" w:hAnsiTheme="minorEastAsia" w:cs="Batang" w:hint="eastAsia"/>
          <w:color w:val="0432FF"/>
          <w:kern w:val="0"/>
          <w:sz w:val="20"/>
          <w:szCs w:val="20"/>
          <w14:ligatures w14:val="none"/>
        </w:rPr>
        <w:t>(rescue</w:t>
      </w:r>
      <w:r>
        <w:rPr>
          <w:rFonts w:asciiTheme="minorEastAsia" w:hAnsiTheme="minorEastAsia" w:cs="Batang"/>
          <w:color w:val="0432FF"/>
          <w:kern w:val="0"/>
          <w:sz w:val="20"/>
          <w:szCs w:val="20"/>
          <w14:ligatures w14:val="none"/>
        </w:rPr>
        <w:t xml:space="preserve"> </w:t>
      </w:r>
      <w:r w:rsidRPr="00373CFE">
        <w:rPr>
          <w:rFonts w:asciiTheme="minorEastAsia" w:hAnsiTheme="minorEastAsia" w:cs="Batang" w:hint="eastAsia"/>
          <w:color w:val="0432FF"/>
          <w:kern w:val="0"/>
          <w:sz w:val="20"/>
          <w:szCs w:val="20"/>
          <w14:ligatures w14:val="none"/>
        </w:rPr>
        <w:t>medication)로 빈번하게 사용된다.</w:t>
      </w:r>
      <w:r>
        <w:rPr>
          <w:rFonts w:asciiTheme="minorEastAsia" w:hAnsiTheme="minorEastAsia" w:cs="Batang"/>
          <w:color w:val="0432FF"/>
          <w:kern w:val="0"/>
          <w:sz w:val="20"/>
          <w:szCs w:val="20"/>
          <w14:ligatures w14:val="none"/>
        </w:rPr>
        <w:t xml:space="preserve"> </w:t>
      </w:r>
      <w:r w:rsidRPr="00373CFE">
        <w:rPr>
          <w:rFonts w:asciiTheme="minorEastAsia" w:hAnsiTheme="minorEastAsia" w:cs="Batang" w:hint="eastAsia"/>
          <w:color w:val="0432FF"/>
          <w:kern w:val="0"/>
          <w:sz w:val="20"/>
          <w:szCs w:val="20"/>
          <w14:ligatures w14:val="none"/>
        </w:rPr>
        <w:t>치료저항성 조현병</w:t>
      </w:r>
      <w:r>
        <w:rPr>
          <w:rFonts w:asciiTheme="minorEastAsia" w:hAnsiTheme="minorEastAsia" w:cs="Batang" w:hint="eastAsia"/>
          <w:color w:val="0432FF"/>
          <w:kern w:val="0"/>
          <w:sz w:val="20"/>
          <w:szCs w:val="20"/>
          <w14:ligatures w14:val="none"/>
        </w:rPr>
        <w:t xml:space="preserve"> </w:t>
      </w:r>
      <w:r w:rsidRPr="00373CFE">
        <w:rPr>
          <w:rFonts w:asciiTheme="minorEastAsia" w:hAnsiTheme="minorEastAsia" w:cs="Batang" w:hint="eastAsia"/>
          <w:color w:val="0432FF"/>
          <w:kern w:val="0"/>
          <w:sz w:val="20"/>
          <w:szCs w:val="20"/>
          <w14:ligatures w14:val="none"/>
        </w:rPr>
        <w:t xml:space="preserve">(treatment-resistant schizophrenia, TRS)의 표준 치료로 간주되는 클로자핀은 자살 행동과 공격성을 조절하는 데 </w:t>
      </w:r>
      <w:r w:rsidRPr="00653915">
        <w:rPr>
          <w:rFonts w:asciiTheme="minorEastAsia" w:hAnsiTheme="minorEastAsia" w:cs="Batang" w:hint="eastAsia"/>
          <w:color w:val="0432FF"/>
          <w:kern w:val="0"/>
          <w:sz w:val="20"/>
          <w:szCs w:val="20"/>
          <w14:ligatures w14:val="none"/>
        </w:rPr>
        <w:t>효과적이</w:t>
      </w:r>
      <w:r>
        <w:rPr>
          <w:rFonts w:asciiTheme="minorEastAsia" w:hAnsiTheme="minorEastAsia" w:cs="Batang" w:hint="eastAsia"/>
          <w:color w:val="0432FF"/>
          <w:kern w:val="0"/>
          <w:sz w:val="20"/>
          <w:szCs w:val="20"/>
          <w14:ligatures w14:val="none"/>
        </w:rPr>
        <w:t>며,</w:t>
      </w:r>
      <w:r>
        <w:rPr>
          <w:rFonts w:asciiTheme="minorEastAsia" w:hAnsiTheme="minorEastAsia" w:cs="Batang"/>
          <w:color w:val="0432FF"/>
          <w:kern w:val="0"/>
          <w:sz w:val="20"/>
          <w:szCs w:val="20"/>
          <w14:ligatures w14:val="none"/>
        </w:rPr>
        <w:t xml:space="preserve"> </w:t>
      </w:r>
      <w:r w:rsidRPr="00653915">
        <w:rPr>
          <w:rFonts w:asciiTheme="minorEastAsia" w:hAnsiTheme="minorEastAsia" w:cs="Batang" w:hint="eastAsia"/>
          <w:color w:val="0432FF"/>
          <w:kern w:val="0"/>
          <w:sz w:val="20"/>
          <w:szCs w:val="20"/>
          <w14:ligatures w14:val="none"/>
        </w:rPr>
        <w:t xml:space="preserve">이러한 항공격성 효과는 항정신병 효과와는 독립적인 라는 </w:t>
      </w:r>
      <w:r>
        <w:rPr>
          <w:rFonts w:asciiTheme="minorEastAsia" w:hAnsiTheme="minorEastAsia" w:cs="Batang" w:hint="eastAsia"/>
          <w:color w:val="0432FF"/>
          <w:kern w:val="0"/>
          <w:sz w:val="20"/>
          <w:szCs w:val="20"/>
          <w14:ligatures w14:val="none"/>
        </w:rPr>
        <w:t xml:space="preserve">것이 </w:t>
      </w:r>
      <w:r w:rsidRPr="00653915">
        <w:rPr>
          <w:rFonts w:asciiTheme="minorEastAsia" w:hAnsiTheme="minorEastAsia" w:cs="Batang" w:hint="eastAsia"/>
          <w:color w:val="0432FF"/>
          <w:kern w:val="0"/>
          <w:sz w:val="20"/>
          <w:szCs w:val="20"/>
          <w14:ligatures w14:val="none"/>
        </w:rPr>
        <w:t>다양한 임상 연구를 통해 일관되게 확인되어 왔</w:t>
      </w:r>
      <w:r>
        <w:rPr>
          <w:rFonts w:asciiTheme="minorEastAsia" w:hAnsiTheme="minorEastAsia" w:cs="Batang" w:hint="eastAsia"/>
          <w:color w:val="0432FF"/>
          <w:kern w:val="0"/>
          <w:sz w:val="20"/>
          <w:szCs w:val="20"/>
          <w14:ligatures w14:val="none"/>
        </w:rPr>
        <w:t>다.</w:t>
      </w:r>
      <w:r>
        <w:rPr>
          <w:rFonts w:asciiTheme="minorEastAsia" w:hAnsiTheme="minorEastAsia" w:cs="Batang"/>
          <w:color w:val="0432FF"/>
          <w:kern w:val="0"/>
          <w:sz w:val="20"/>
          <w:szCs w:val="20"/>
          <w14:ligatures w14:val="none"/>
        </w:rPr>
        <w:t xml:space="preserve"> (</w:t>
      </w:r>
      <w:r w:rsidRPr="00567F32">
        <w:rPr>
          <w:rFonts w:asciiTheme="minorEastAsia" w:hAnsiTheme="minorEastAsia" w:cs="Batang"/>
          <w:color w:val="7030A0"/>
          <w:kern w:val="0"/>
          <w:sz w:val="20"/>
          <w:szCs w:val="20"/>
          <w14:ligatures w14:val="none"/>
        </w:rPr>
        <w:t>Wimberley T, MacCabe JH, Laursen TM, Sørensen HJ, Astrup A, Horsdal HT, et al. Mortality and self-harm in association with clozapine in treatment-resistant schizophrenia. Am J Psychiatry 2017; 174: 990-8; Hayes RD, Downs J, Chang C-K, Jackson RG, Shetty H, Broadbent M, et al. The effect of clozapine on premature mortality: an assessment of clinical monitoring and other potential confounders. Schizophr Bull 2014; 41: 644-55</w:t>
      </w:r>
      <w:r>
        <w:rPr>
          <w:rFonts w:asciiTheme="minorEastAsia" w:hAnsiTheme="minorEastAsia" w:cs="Batang"/>
          <w:color w:val="0432FF"/>
          <w:kern w:val="0"/>
          <w:sz w:val="20"/>
          <w:szCs w:val="20"/>
          <w14:ligatures w14:val="none"/>
        </w:rPr>
        <w:t xml:space="preserve">; </w:t>
      </w:r>
      <w:r w:rsidRPr="00653915">
        <w:rPr>
          <w:rFonts w:asciiTheme="minorEastAsia" w:hAnsiTheme="minorEastAsia" w:cs="Batang"/>
          <w:color w:val="0432FF"/>
          <w:kern w:val="0"/>
          <w:sz w:val="20"/>
          <w:szCs w:val="20"/>
          <w14:ligatures w14:val="none"/>
        </w:rPr>
        <w:t>[</w:t>
      </w:r>
      <w:r w:rsidRPr="00DA5F7A">
        <w:rPr>
          <w:rFonts w:asciiTheme="minorEastAsia" w:hAnsiTheme="minorEastAsia" w:cs="Batang"/>
          <w:color w:val="7030A0"/>
          <w:kern w:val="0"/>
          <w:sz w:val="20"/>
          <w:szCs w:val="20"/>
          <w14:ligatures w14:val="none"/>
        </w:rPr>
        <w:t>Ifteni P, Szalontay AS, Teodorescu A. Am J Ther. 2017;24(2):e222-6</w:t>
      </w:r>
      <w:r>
        <w:rPr>
          <w:rFonts w:asciiTheme="minorEastAsia" w:hAnsiTheme="minorEastAsia" w:cs="Batang"/>
          <w:color w:val="0432FF"/>
          <w:kern w:val="0"/>
          <w:sz w:val="20"/>
          <w:szCs w:val="20"/>
          <w14:ligatures w14:val="none"/>
        </w:rPr>
        <w:t>)</w:t>
      </w:r>
      <w:r w:rsidRPr="00653915">
        <w:rPr>
          <w:rFonts w:asciiTheme="minorEastAsia" w:hAnsiTheme="minorEastAsia" w:cs="Batang"/>
          <w:color w:val="0432FF"/>
          <w:kern w:val="0"/>
          <w:sz w:val="20"/>
          <w:szCs w:val="20"/>
          <w14:ligatures w14:val="none"/>
        </w:rPr>
        <w:t>.</w:t>
      </w:r>
      <w:r>
        <w:rPr>
          <w:rFonts w:asciiTheme="minorEastAsia" w:hAnsiTheme="minorEastAsia" w:cs="Batang"/>
          <w:color w:val="0432FF"/>
          <w:kern w:val="0"/>
          <w:sz w:val="20"/>
          <w:szCs w:val="20"/>
          <w14:ligatures w14:val="none"/>
        </w:rPr>
        <w:t xml:space="preserve"> </w:t>
      </w:r>
      <w:r w:rsidRPr="00D70148">
        <w:rPr>
          <w:rFonts w:asciiTheme="minorEastAsia" w:hAnsiTheme="minorEastAsia" w:cs="Batang"/>
          <w:color w:val="0432FF"/>
          <w:kern w:val="0"/>
          <w:sz w:val="20"/>
          <w:szCs w:val="20"/>
          <w14:ligatures w14:val="none"/>
        </w:rPr>
        <w:t>(</w:t>
      </w:r>
      <w:r w:rsidRPr="00D70148">
        <w:rPr>
          <w:rFonts w:asciiTheme="minorEastAsia" w:hAnsiTheme="minorEastAsia" w:cs="Batang"/>
          <w:color w:val="7030A0"/>
          <w:kern w:val="0"/>
          <w:sz w:val="20"/>
          <w:szCs w:val="20"/>
          <w14:ligatures w14:val="none"/>
        </w:rPr>
        <w:t>Andreea et al., 2021</w:t>
      </w:r>
      <w:r w:rsidRPr="00D70148">
        <w:rPr>
          <w:rFonts w:asciiTheme="minorEastAsia" w:hAnsiTheme="minorEastAsia" w:cs="Batang"/>
          <w:color w:val="0432FF"/>
          <w:kern w:val="0"/>
          <w:sz w:val="20"/>
          <w:szCs w:val="20"/>
          <w14:ligatures w14:val="none"/>
        </w:rPr>
        <w:t>).</w:t>
      </w:r>
    </w:p>
    <w:p w14:paraId="19EAFF5B" w14:textId="77777777" w:rsidR="0009494F" w:rsidRDefault="0009494F" w:rsidP="0009494F">
      <w:pPr>
        <w:jc w:val="both"/>
        <w:rPr>
          <w:rFonts w:asciiTheme="minorEastAsia" w:hAnsiTheme="minorEastAsia" w:cs="Batang"/>
          <w:color w:val="0432FF"/>
          <w:kern w:val="0"/>
          <w:sz w:val="20"/>
          <w:szCs w:val="20"/>
          <w:highlight w:val="yellow"/>
          <w14:ligatures w14:val="none"/>
        </w:rPr>
      </w:pPr>
    </w:p>
    <w:p w14:paraId="6752F5A3" w14:textId="77777777" w:rsidR="0009494F" w:rsidRPr="00D70148" w:rsidRDefault="0009494F" w:rsidP="0009494F">
      <w:pPr>
        <w:jc w:val="both"/>
        <w:rPr>
          <w:rFonts w:asciiTheme="minorEastAsia" w:hAnsiTheme="minorEastAsia" w:cs="Batang"/>
          <w:color w:val="0432FF"/>
          <w:kern w:val="0"/>
          <w:sz w:val="20"/>
          <w:szCs w:val="20"/>
          <w14:ligatures w14:val="none"/>
        </w:rPr>
      </w:pPr>
      <w:r w:rsidRPr="00D70148">
        <w:rPr>
          <w:rFonts w:asciiTheme="minorEastAsia" w:hAnsiTheme="minorEastAsia" w:cs="Batang"/>
          <w:color w:val="0432FF"/>
          <w:kern w:val="0"/>
          <w:sz w:val="20"/>
          <w:szCs w:val="20"/>
          <w14:ligatures w14:val="none"/>
        </w:rPr>
        <w:t>Aggression and violence are closely associated with mental illness, and severe psychiatric symptoms such as suicidal behavior and aggression can occur across a wide range of disorders, including schizophrenia, bipolar disorder, major depressive disorder, personality disorders, cognitive disorders, intellectual disability, and substance use disorders. Although the indications for antipsychotic medications are limited to specific diagnostic groups, they are frequently used as rescue medications in high-risk situations or in cases that are unresponsive to initial treatment.</w:t>
      </w:r>
    </w:p>
    <w:p w14:paraId="74A6552A" w14:textId="77777777" w:rsidR="0009494F" w:rsidRPr="00DA5F7A" w:rsidRDefault="0009494F" w:rsidP="0009494F">
      <w:pPr>
        <w:jc w:val="both"/>
        <w:rPr>
          <w:rFonts w:asciiTheme="minorEastAsia" w:hAnsiTheme="minorEastAsia" w:cs="Batang"/>
          <w:color w:val="0432FF"/>
          <w:kern w:val="0"/>
          <w:sz w:val="20"/>
          <w:szCs w:val="20"/>
          <w14:ligatures w14:val="none"/>
        </w:rPr>
      </w:pPr>
      <w:r w:rsidRPr="00D70148">
        <w:rPr>
          <w:rFonts w:asciiTheme="minorEastAsia" w:hAnsiTheme="minorEastAsia" w:cs="Batang"/>
          <w:color w:val="0432FF"/>
          <w:kern w:val="0"/>
          <w:sz w:val="20"/>
          <w:szCs w:val="20"/>
          <w14:ligatures w14:val="none"/>
        </w:rPr>
        <w:t xml:space="preserve">Clozapine, regarded as the gold standard for treatment-resistant schizophrenia (TRS), is effective in controlling suicidal behavior and aggression. Importantly, its anti-aggressive effects are considered to be independent of its antipsychotic effects, a finding that has been consistently demonstrated across multiple clinical studies </w:t>
      </w:r>
      <w:r w:rsidRPr="00D70148">
        <w:rPr>
          <w:rFonts w:asciiTheme="minorEastAsia" w:hAnsiTheme="minorEastAsia" w:cs="Batang"/>
          <w:color w:val="7030A0"/>
          <w:kern w:val="0"/>
          <w:sz w:val="20"/>
          <w:szCs w:val="20"/>
          <w14:ligatures w14:val="none"/>
        </w:rPr>
        <w:t>(Wimberley et al., 2017; Hayes et al., 2014; Ifteni et al., 2017</w:t>
      </w:r>
      <w:r w:rsidRPr="00D70148">
        <w:rPr>
          <w:rFonts w:asciiTheme="minorEastAsia" w:hAnsiTheme="minorEastAsia" w:cs="Batang"/>
          <w:color w:val="0432FF"/>
          <w:kern w:val="0"/>
          <w:sz w:val="20"/>
          <w:szCs w:val="20"/>
          <w14:ligatures w14:val="none"/>
        </w:rPr>
        <w:t>). (</w:t>
      </w:r>
      <w:r w:rsidRPr="00D70148">
        <w:rPr>
          <w:rFonts w:asciiTheme="minorEastAsia" w:hAnsiTheme="minorEastAsia" w:cs="Batang"/>
          <w:color w:val="7030A0"/>
          <w:kern w:val="0"/>
          <w:sz w:val="20"/>
          <w:szCs w:val="20"/>
          <w14:ligatures w14:val="none"/>
        </w:rPr>
        <w:t>Andreea et al., 2021</w:t>
      </w:r>
      <w:r w:rsidRPr="00D70148">
        <w:rPr>
          <w:rFonts w:asciiTheme="minorEastAsia" w:hAnsiTheme="minorEastAsia" w:cs="Batang"/>
          <w:color w:val="0432FF"/>
          <w:kern w:val="0"/>
          <w:sz w:val="20"/>
          <w:szCs w:val="20"/>
          <w14:ligatures w14:val="none"/>
        </w:rPr>
        <w:t>).</w:t>
      </w:r>
    </w:p>
    <w:p w14:paraId="2C1E1C21" w14:textId="77777777" w:rsidR="0009494F" w:rsidRPr="00491637" w:rsidRDefault="0009494F" w:rsidP="0009494F">
      <w:pPr>
        <w:jc w:val="both"/>
        <w:rPr>
          <w:rFonts w:asciiTheme="minorEastAsia" w:hAnsiTheme="minorEastAsia" w:cs="Batang"/>
          <w:color w:val="0432FF"/>
          <w:kern w:val="0"/>
          <w:sz w:val="20"/>
          <w:szCs w:val="20"/>
          <w14:ligatures w14:val="none"/>
        </w:rPr>
      </w:pPr>
      <w:r w:rsidRPr="00491637">
        <w:rPr>
          <w:rFonts w:asciiTheme="minorEastAsia" w:hAnsiTheme="minorEastAsia" w:cs="Batang" w:hint="eastAsia"/>
          <w:color w:val="0432FF"/>
          <w:kern w:val="0"/>
          <w:sz w:val="20"/>
          <w:szCs w:val="20"/>
          <w14:ligatures w14:val="none"/>
        </w:rPr>
        <w:t>여러 연구에서 저용량(100–2</w:t>
      </w:r>
      <w:r>
        <w:rPr>
          <w:rFonts w:asciiTheme="minorEastAsia" w:hAnsiTheme="minorEastAsia" w:cs="Batang"/>
          <w:color w:val="0432FF"/>
          <w:kern w:val="0"/>
          <w:sz w:val="20"/>
          <w:szCs w:val="20"/>
          <w14:ligatures w14:val="none"/>
        </w:rPr>
        <w:t>5</w:t>
      </w:r>
      <w:r w:rsidRPr="00491637">
        <w:rPr>
          <w:rFonts w:asciiTheme="minorEastAsia" w:hAnsiTheme="minorEastAsia" w:cs="Batang" w:hint="eastAsia"/>
          <w:color w:val="0432FF"/>
          <w:kern w:val="0"/>
          <w:sz w:val="20"/>
          <w:szCs w:val="20"/>
          <w14:ligatures w14:val="none"/>
        </w:rPr>
        <w:t>0 mg/day)의 비교적 낮은 혈중 농도(&lt;350 ng/mL)</w:t>
      </w:r>
      <w:r>
        <w:rPr>
          <w:rFonts w:asciiTheme="minorEastAsia" w:hAnsiTheme="minorEastAsia" w:cs="Batang"/>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 xml:space="preserve">의 </w:t>
      </w:r>
      <w:r w:rsidRPr="00491637">
        <w:rPr>
          <w:rFonts w:asciiTheme="minorEastAsia" w:hAnsiTheme="minorEastAsia" w:cs="Batang" w:hint="eastAsia"/>
          <w:color w:val="0432FF"/>
          <w:kern w:val="0"/>
          <w:sz w:val="20"/>
          <w:szCs w:val="20"/>
          <w14:ligatures w14:val="none"/>
        </w:rPr>
        <w:t>클로자핀이 양극성장애 환자에서 자살 사고와 공격적 행동</w:t>
      </w:r>
      <w:r>
        <w:rPr>
          <w:rFonts w:asciiTheme="minorEastAsia" w:hAnsiTheme="minorEastAsia" w:cs="Batang" w:hint="eastAsia"/>
          <w:color w:val="0432FF"/>
          <w:kern w:val="0"/>
          <w:sz w:val="20"/>
          <w:szCs w:val="20"/>
          <w14:ligatures w14:val="none"/>
        </w:rPr>
        <w:t>,</w:t>
      </w:r>
      <w:r>
        <w:rPr>
          <w:rFonts w:asciiTheme="minorEastAsia" w:hAnsiTheme="minorEastAsia" w:cs="Batang"/>
          <w:color w:val="0432FF"/>
          <w:kern w:val="0"/>
          <w:sz w:val="20"/>
          <w:szCs w:val="20"/>
          <w14:ligatures w14:val="none"/>
        </w:rPr>
        <w:t xml:space="preserve"> </w:t>
      </w:r>
      <w:r w:rsidRPr="00491637">
        <w:rPr>
          <w:rFonts w:asciiTheme="minorEastAsia" w:hAnsiTheme="minorEastAsia" w:cs="Batang" w:hint="eastAsia"/>
          <w:color w:val="0432FF"/>
          <w:kern w:val="0"/>
          <w:sz w:val="20"/>
          <w:szCs w:val="20"/>
          <w14:ligatures w14:val="none"/>
        </w:rPr>
        <w:t>(Wilkowska et al., 2019) 경계선 성격장애 (Frankenburg &amp; Zanarini, 1993)</w:t>
      </w:r>
      <w:r>
        <w:rPr>
          <w:rFonts w:asciiTheme="minorEastAsia" w:hAnsiTheme="minorEastAsia" w:cs="Batang"/>
          <w:color w:val="0432FF"/>
          <w:kern w:val="0"/>
          <w:sz w:val="20"/>
          <w:szCs w:val="20"/>
          <w14:ligatures w14:val="none"/>
        </w:rPr>
        <w:t xml:space="preserve">, </w:t>
      </w:r>
      <w:r w:rsidRPr="00491637">
        <w:rPr>
          <w:rFonts w:asciiTheme="minorEastAsia" w:hAnsiTheme="minorEastAsia" w:cs="Batang" w:hint="eastAsia"/>
          <w:color w:val="0432FF"/>
          <w:kern w:val="0"/>
          <w:sz w:val="20"/>
          <w:szCs w:val="20"/>
          <w14:ligatures w14:val="none"/>
        </w:rPr>
        <w:t>공격적 행동을 보이는 지적장애 환자에서 심각한 이상반응 없이, 특히 입원 환경에서 비교적 안전한 것으로 평가되었다 (S</w:t>
      </w:r>
      <w:r w:rsidRPr="00491637">
        <w:rPr>
          <w:rFonts w:asciiTheme="minorEastAsia" w:hAnsiTheme="minorEastAsia" w:cs="Batang"/>
          <w:color w:val="0432FF"/>
          <w:kern w:val="0"/>
          <w:sz w:val="20"/>
          <w:szCs w:val="20"/>
          <w14:ligatures w14:val="none"/>
        </w:rPr>
        <w:t>chaffer et al., 2015).</w:t>
      </w:r>
    </w:p>
    <w:p w14:paraId="1A29D8CF" w14:textId="77777777" w:rsidR="0009494F" w:rsidRPr="00491637" w:rsidRDefault="0009494F" w:rsidP="0009494F">
      <w:pPr>
        <w:jc w:val="both"/>
        <w:rPr>
          <w:rFonts w:asciiTheme="minorEastAsia" w:hAnsiTheme="minorEastAsia" w:cs="Batang"/>
          <w:color w:val="0432FF"/>
          <w:kern w:val="0"/>
          <w:sz w:val="20"/>
          <w:szCs w:val="20"/>
          <w14:ligatures w14:val="none"/>
        </w:rPr>
      </w:pPr>
    </w:p>
    <w:p w14:paraId="526F473A" w14:textId="77777777" w:rsidR="0009494F" w:rsidRDefault="0009494F" w:rsidP="0009494F">
      <w:pPr>
        <w:jc w:val="both"/>
        <w:rPr>
          <w:rFonts w:asciiTheme="minorEastAsia" w:hAnsiTheme="minorEastAsia" w:cs="Batang"/>
          <w:color w:val="0432FF"/>
          <w:kern w:val="0"/>
          <w:sz w:val="20"/>
          <w:szCs w:val="20"/>
          <w14:ligatures w14:val="none"/>
        </w:rPr>
      </w:pPr>
      <w:r w:rsidRPr="00DA5F7A">
        <w:rPr>
          <w:rFonts w:asciiTheme="minorEastAsia" w:hAnsiTheme="minorEastAsia" w:cs="Batang"/>
          <w:color w:val="0432FF"/>
          <w:kern w:val="0"/>
          <w:sz w:val="20"/>
          <w:szCs w:val="20"/>
          <w14:ligatures w14:val="none"/>
        </w:rPr>
        <w:t xml:space="preserve">Several studies have reported that low doses of clozapine (100–250 mg/day) and relatively low plasma levels (&lt;350 ng/mL) are effective in reducing suicidal ideation and aggressive behavior in patients with bipolar disorder (Wilkowska et al., 2019), borderline personality disorder (Frankenburg &amp; Zanarini, 1993), </w:t>
      </w:r>
      <w:r w:rsidRPr="00DA5F7A">
        <w:rPr>
          <w:rFonts w:asciiTheme="minorEastAsia" w:hAnsiTheme="minorEastAsia" w:cs="Batang"/>
          <w:color w:val="0432FF"/>
          <w:kern w:val="0"/>
          <w:sz w:val="20"/>
          <w:szCs w:val="20"/>
          <w14:ligatures w14:val="none"/>
        </w:rPr>
        <w:lastRenderedPageBreak/>
        <w:t>and individuals with intellectual disability and aggressive behavior, without serious adverse events, and are considered relatively safe, particularly in inpatient settings (Schaffer et al., 2015)</w:t>
      </w:r>
      <w:r>
        <w:rPr>
          <w:rFonts w:asciiTheme="minorEastAsia" w:hAnsiTheme="minorEastAsia" w:cs="Batang"/>
          <w:color w:val="0432FF"/>
          <w:kern w:val="0"/>
          <w:sz w:val="20"/>
          <w:szCs w:val="20"/>
          <w14:ligatures w14:val="none"/>
        </w:rPr>
        <w:t xml:space="preserve"> </w:t>
      </w:r>
      <w:r w:rsidRPr="00D70148">
        <w:rPr>
          <w:rFonts w:asciiTheme="minorEastAsia" w:hAnsiTheme="minorEastAsia" w:cs="Batang"/>
          <w:color w:val="0432FF"/>
          <w:kern w:val="0"/>
          <w:sz w:val="20"/>
          <w:szCs w:val="20"/>
          <w14:ligatures w14:val="none"/>
        </w:rPr>
        <w:t>(</w:t>
      </w:r>
      <w:r w:rsidRPr="00D70148">
        <w:rPr>
          <w:rFonts w:asciiTheme="minorEastAsia" w:hAnsiTheme="minorEastAsia" w:cs="Batang"/>
          <w:color w:val="7030A0"/>
          <w:kern w:val="0"/>
          <w:sz w:val="20"/>
          <w:szCs w:val="20"/>
          <w14:ligatures w14:val="none"/>
        </w:rPr>
        <w:t>Andreea et al., 2021</w:t>
      </w:r>
      <w:r w:rsidRPr="00D70148">
        <w:rPr>
          <w:rFonts w:asciiTheme="minorEastAsia" w:hAnsiTheme="minorEastAsia" w:cs="Batang"/>
          <w:color w:val="0432FF"/>
          <w:kern w:val="0"/>
          <w:sz w:val="20"/>
          <w:szCs w:val="20"/>
          <w14:ligatures w14:val="none"/>
        </w:rPr>
        <w:t>).</w:t>
      </w:r>
    </w:p>
    <w:p w14:paraId="120C6798" w14:textId="77777777" w:rsidR="0009494F" w:rsidRDefault="0009494F" w:rsidP="0009494F">
      <w:pPr>
        <w:jc w:val="both"/>
        <w:rPr>
          <w:rFonts w:asciiTheme="minorEastAsia" w:hAnsiTheme="minorEastAsia" w:cs="Batang"/>
          <w:color w:val="0432FF"/>
          <w:kern w:val="0"/>
          <w:sz w:val="20"/>
          <w:szCs w:val="20"/>
          <w14:ligatures w14:val="none"/>
        </w:rPr>
      </w:pPr>
    </w:p>
    <w:p w14:paraId="00EEFECD" w14:textId="77777777" w:rsidR="0009494F" w:rsidRDefault="0009494F" w:rsidP="0009494F">
      <w:pPr>
        <w:jc w:val="both"/>
        <w:rPr>
          <w:rFonts w:asciiTheme="minorEastAsia" w:hAnsiTheme="minorEastAsia" w:cs="Batang"/>
          <w:color w:val="0432FF"/>
          <w:kern w:val="0"/>
          <w:sz w:val="20"/>
          <w:szCs w:val="20"/>
          <w14:ligatures w14:val="none"/>
        </w:rPr>
      </w:pPr>
      <w:r w:rsidRPr="00D6377F">
        <w:rPr>
          <w:rFonts w:asciiTheme="minorEastAsia" w:hAnsiTheme="minorEastAsia" w:cs="Batang" w:hint="eastAsia"/>
          <w:color w:val="0432FF"/>
          <w:kern w:val="0"/>
          <w:sz w:val="20"/>
          <w:szCs w:val="20"/>
          <w14:ligatures w14:val="none"/>
        </w:rPr>
        <w:t>그럼에도 불구하고 지금까지는 급성 상황에서 clozapine을 사용하는 것은 어렵다는 인식이 지배적이</w:t>
      </w:r>
      <w:r>
        <w:rPr>
          <w:rFonts w:asciiTheme="minorEastAsia" w:hAnsiTheme="minorEastAsia" w:cs="Batang" w:hint="eastAsia"/>
          <w:color w:val="0432FF"/>
          <w:kern w:val="0"/>
          <w:sz w:val="20"/>
          <w:szCs w:val="20"/>
          <w14:ligatures w14:val="none"/>
        </w:rPr>
        <w:t>며</w:t>
      </w:r>
      <w:r w:rsidRPr="00D6377F">
        <w:rPr>
          <w:rFonts w:asciiTheme="minorEastAsia" w:hAnsiTheme="minorEastAsia" w:cs="Batang" w:hint="eastAsia"/>
          <w:color w:val="0432FF"/>
          <w:kern w:val="0"/>
          <w:sz w:val="20"/>
          <w:szCs w:val="20"/>
          <w14:ligatures w14:val="none"/>
        </w:rPr>
        <w:t xml:space="preserve"> (정성훈, 김용식, 2025), </w:t>
      </w:r>
      <w:r w:rsidRPr="00E10B7B">
        <w:rPr>
          <w:rFonts w:asciiTheme="minorEastAsia" w:hAnsiTheme="minorEastAsia" w:cs="Batang" w:hint="eastAsia"/>
          <w:color w:val="0432FF"/>
          <w:kern w:val="0"/>
          <w:sz w:val="20"/>
          <w:szCs w:val="20"/>
          <w14:ligatures w14:val="none"/>
        </w:rPr>
        <w:t xml:space="preserve">그 주요한 이유 중 하나는 무기한 </w:t>
      </w:r>
      <w:r w:rsidRPr="003E4B98">
        <w:rPr>
          <w:rFonts w:asciiTheme="minorEastAsia" w:hAnsiTheme="minorEastAsia" w:cs="Batang"/>
          <w:color w:val="0432FF"/>
          <w:kern w:val="0"/>
          <w:sz w:val="20"/>
          <w:szCs w:val="20"/>
          <w14:ligatures w14:val="none"/>
        </w:rPr>
        <w:t xml:space="preserve">mandatory </w:t>
      </w:r>
      <w:r w:rsidRPr="00E10B7B">
        <w:rPr>
          <w:rFonts w:asciiTheme="minorEastAsia" w:hAnsiTheme="minorEastAsia" w:cs="Batang" w:hint="eastAsia"/>
          <w:color w:val="0432FF"/>
          <w:kern w:val="0"/>
          <w:sz w:val="20"/>
          <w:szCs w:val="20"/>
          <w14:ligatures w14:val="none"/>
        </w:rPr>
        <w:t>혈액 모니터링의 필요성이 initiation과 continuation</w:t>
      </w:r>
      <w:r>
        <w:rPr>
          <w:rFonts w:asciiTheme="minorEastAsia" w:hAnsiTheme="minorEastAsia" w:cs="Batang" w:hint="eastAsia"/>
          <w:color w:val="0432FF"/>
          <w:kern w:val="0"/>
          <w:sz w:val="20"/>
          <w:szCs w:val="20"/>
          <w14:ligatures w14:val="none"/>
        </w:rPr>
        <w:t xml:space="preserve">모두에서 </w:t>
      </w:r>
      <w:r w:rsidRPr="00E10B7B">
        <w:rPr>
          <w:rFonts w:asciiTheme="minorEastAsia" w:hAnsiTheme="minorEastAsia" w:cs="Batang" w:hint="eastAsia"/>
          <w:color w:val="0432FF"/>
          <w:kern w:val="0"/>
          <w:sz w:val="20"/>
          <w:szCs w:val="20"/>
          <w14:ligatures w14:val="none"/>
        </w:rPr>
        <w:t>대표적 장벽으로 인식되어 왔기 때문이다 [12</w:t>
      </w:r>
      <w:r>
        <w:rPr>
          <w:rFonts w:asciiTheme="minorEastAsia" w:hAnsiTheme="minorEastAsia" w:cs="Batang"/>
          <w:color w:val="0432FF"/>
          <w:kern w:val="0"/>
          <w:sz w:val="20"/>
          <w:szCs w:val="20"/>
          <w14:ligatures w14:val="none"/>
        </w:rPr>
        <w:t xml:space="preserve">; </w:t>
      </w:r>
      <w:r w:rsidRPr="003E4B98">
        <w:rPr>
          <w:rFonts w:asciiTheme="minorEastAsia" w:hAnsiTheme="minorEastAsia" w:cs="Batang"/>
          <w:color w:val="7030A0"/>
          <w:kern w:val="0"/>
          <w:sz w:val="20"/>
          <w:szCs w:val="20"/>
          <w14:ligatures w14:val="none"/>
        </w:rPr>
        <w:t>Parkes S, Mantell B, Oloyede E, Blackman G. Patients’ experiences of clozapine for treatment-resistant schizophrenia: a systematic review. Schizophr Bull Open 2022; 3: sgac042</w:t>
      </w:r>
      <w:r w:rsidRPr="00E10B7B">
        <w:rPr>
          <w:rFonts w:asciiTheme="minorEastAsia" w:hAnsiTheme="minorEastAsia" w:cs="Batang" w:hint="eastAsia"/>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 xml:space="preserve">최근 </w:t>
      </w:r>
      <w:r w:rsidRPr="00E10B7B">
        <w:rPr>
          <w:rFonts w:asciiTheme="minorEastAsia" w:hAnsiTheme="minorEastAsia" w:cs="Batang" w:hint="eastAsia"/>
          <w:color w:val="0432FF"/>
          <w:kern w:val="0"/>
          <w:sz w:val="20"/>
          <w:szCs w:val="20"/>
          <w14:ligatures w14:val="none"/>
        </w:rPr>
        <w:t xml:space="preserve">미국 FDA가 2025년 2월을 기점으로 clozapine의 혈액검사 및 부작용 모니터링을 강제하던 REMS를 </w:t>
      </w:r>
      <w:r>
        <w:rPr>
          <w:rFonts w:asciiTheme="minorEastAsia" w:hAnsiTheme="minorEastAsia" w:cs="Batang" w:hint="eastAsia"/>
          <w:color w:val="0432FF"/>
          <w:kern w:val="0"/>
          <w:sz w:val="20"/>
          <w:szCs w:val="20"/>
          <w14:ligatures w14:val="none"/>
        </w:rPr>
        <w:t>완화하</w:t>
      </w:r>
      <w:r w:rsidRPr="00E10B7B">
        <w:rPr>
          <w:rFonts w:asciiTheme="minorEastAsia" w:hAnsiTheme="minorEastAsia" w:cs="Batang" w:hint="eastAsia"/>
          <w:color w:val="0432FF"/>
          <w:kern w:val="0"/>
          <w:sz w:val="20"/>
          <w:szCs w:val="20"/>
          <w14:ligatures w14:val="none"/>
        </w:rPr>
        <w:t>면서, 처방자, 약국, 환자의 등록 및 ANC(절대 호중구 수) 보고 의무가 해제되었고, 이에 따라 dispensing을 위한 중앙 관리 체계가 폐지되었다 [14].</w:t>
      </w:r>
      <w:r>
        <w:rPr>
          <w:rFonts w:asciiTheme="minorEastAsia" w:hAnsiTheme="minorEastAsia" w:cs="Batang"/>
          <w:color w:val="0432FF"/>
          <w:kern w:val="0"/>
          <w:sz w:val="20"/>
          <w:szCs w:val="20"/>
          <w14:ligatures w14:val="none"/>
        </w:rPr>
        <w:t xml:space="preserve"> </w:t>
      </w:r>
      <w:r w:rsidRPr="00E10B7B">
        <w:rPr>
          <w:rFonts w:asciiTheme="minorEastAsia" w:hAnsiTheme="minorEastAsia" w:cs="Batang" w:hint="eastAsia"/>
          <w:color w:val="0432FF"/>
          <w:kern w:val="0"/>
          <w:sz w:val="20"/>
          <w:szCs w:val="20"/>
          <w14:ligatures w14:val="none"/>
        </w:rPr>
        <w:t xml:space="preserve">이로 인해 기존의 ‘No Blood, No Drug’과 같은 실질적 제약은 완화되었으며, 약국은 중앙 시스템 확인 없이도 clozapine을 조제할 수 있게 되었다. </w:t>
      </w:r>
      <w:r w:rsidRPr="004D7639">
        <w:rPr>
          <w:rFonts w:asciiTheme="minorEastAsia" w:hAnsiTheme="minorEastAsia" w:cs="Batang" w:hint="eastAsia"/>
          <w:color w:val="0432FF"/>
          <w:kern w:val="0"/>
          <w:sz w:val="20"/>
          <w:szCs w:val="20"/>
          <w14:ligatures w14:val="none"/>
        </w:rPr>
        <w:t xml:space="preserve">CIA 위험은 2–3년 이후 유의하게 감소하며, </w:t>
      </w:r>
      <w:r>
        <w:rPr>
          <w:rFonts w:asciiTheme="minorEastAsia" w:hAnsiTheme="minorEastAsia" w:cs="Batang" w:hint="eastAsia"/>
          <w:color w:val="0432FF"/>
          <w:kern w:val="0"/>
          <w:sz w:val="20"/>
          <w:szCs w:val="20"/>
          <w14:ligatures w14:val="none"/>
        </w:rPr>
        <w:t>현재</w:t>
      </w:r>
      <w:r w:rsidRPr="007708E3">
        <w:rPr>
          <w:rFonts w:asciiTheme="minorEastAsia" w:hAnsiTheme="minorEastAsia" w:cs="Batang" w:hint="eastAsia"/>
          <w:color w:val="0432FF"/>
          <w:kern w:val="0"/>
          <w:sz w:val="20"/>
          <w:szCs w:val="20"/>
          <w14:ligatures w14:val="none"/>
        </w:rPr>
        <w:t>ANC 기준과 기간 모두에서 과도하게 엄격하</w:t>
      </w:r>
      <w:r>
        <w:rPr>
          <w:rFonts w:asciiTheme="minorEastAsia" w:hAnsiTheme="minorEastAsia" w:cs="Batang" w:hint="eastAsia"/>
          <w:color w:val="0432FF"/>
          <w:kern w:val="0"/>
          <w:sz w:val="20"/>
          <w:szCs w:val="20"/>
          <w14:ligatures w14:val="none"/>
        </w:rPr>
        <w:t>며,</w:t>
      </w:r>
      <w:r>
        <w:rPr>
          <w:rFonts w:asciiTheme="minorEastAsia" w:hAnsiTheme="minorEastAsia" w:cs="Batang"/>
          <w:color w:val="0432FF"/>
          <w:kern w:val="0"/>
          <w:sz w:val="20"/>
          <w:szCs w:val="20"/>
          <w14:ligatures w14:val="none"/>
        </w:rPr>
        <w:t xml:space="preserve"> </w:t>
      </w:r>
      <w:r w:rsidRPr="00E10B7B">
        <w:rPr>
          <w:rFonts w:asciiTheme="minorEastAsia" w:hAnsiTheme="minorEastAsia" w:cs="Batang" w:hint="eastAsia"/>
          <w:color w:val="0432FF"/>
          <w:kern w:val="0"/>
          <w:sz w:val="20"/>
          <w:szCs w:val="20"/>
          <w14:ligatures w14:val="none"/>
        </w:rPr>
        <w:t>모니터링 요건이 덜 엄격한 국가일수록 clozapine 사용률은 높았</w:t>
      </w:r>
      <w:r>
        <w:rPr>
          <w:rFonts w:asciiTheme="minorEastAsia" w:hAnsiTheme="minorEastAsia" w:cs="Batang" w:hint="eastAsia"/>
          <w:color w:val="0432FF"/>
          <w:kern w:val="0"/>
          <w:sz w:val="20"/>
          <w:szCs w:val="20"/>
          <w14:ligatures w14:val="none"/>
        </w:rPr>
        <w:t>지만</w:t>
      </w:r>
      <w:r w:rsidRPr="00E10B7B">
        <w:rPr>
          <w:rFonts w:asciiTheme="minorEastAsia" w:hAnsiTheme="minorEastAsia" w:cs="Batang" w:hint="eastAsia"/>
          <w:color w:val="0432FF"/>
          <w:kern w:val="0"/>
          <w:sz w:val="20"/>
          <w:szCs w:val="20"/>
          <w14:ligatures w14:val="none"/>
        </w:rPr>
        <w:t>, 중증 호중구감소증 발생률에는 차이가 없었</w:t>
      </w:r>
      <w:r w:rsidRPr="007708E3">
        <w:rPr>
          <w:rFonts w:asciiTheme="minorEastAsia" w:hAnsiTheme="minorEastAsia" w:cs="Batang" w:hint="eastAsia"/>
          <w:color w:val="0432FF"/>
          <w:kern w:val="0"/>
          <w:sz w:val="20"/>
          <w:szCs w:val="20"/>
          <w14:ligatures w14:val="none"/>
        </w:rPr>
        <w:t>다</w:t>
      </w:r>
      <w:r>
        <w:rPr>
          <w:rFonts w:asciiTheme="minorEastAsia" w:hAnsiTheme="minorEastAsia" w:cs="Batang" w:hint="eastAsia"/>
          <w:color w:val="0432FF"/>
          <w:kern w:val="0"/>
          <w:sz w:val="20"/>
          <w:szCs w:val="20"/>
          <w14:ligatures w14:val="none"/>
        </w:rPr>
        <w:t xml:space="preserve">는 연구결과를 토대로 </w:t>
      </w:r>
      <w:r w:rsidRPr="00E10B7B">
        <w:rPr>
          <w:rFonts w:asciiTheme="minorEastAsia" w:hAnsiTheme="minorEastAsia" w:cs="Batang" w:hint="eastAsia"/>
          <w:color w:val="0432FF"/>
          <w:kern w:val="0"/>
          <w:sz w:val="20"/>
          <w:szCs w:val="20"/>
          <w14:ligatures w14:val="none"/>
        </w:rPr>
        <w:t>혈액 모니터링이 기존의 평생 의무적 관리에서 벗어나, 초기 고위험 기간 이후에는 검사 빈도를 점진적으로 줄이거나 임상의 판단에 따라 조정하는 방향으로 변화하고 있다</w:t>
      </w:r>
      <w:r>
        <w:rPr>
          <w:rFonts w:asciiTheme="minorEastAsia" w:hAnsiTheme="minorEastAsia" w:cs="Batang" w:hint="eastAsia"/>
          <w:color w:val="0432FF"/>
          <w:kern w:val="0"/>
          <w:sz w:val="20"/>
          <w:szCs w:val="20"/>
          <w14:ligatures w14:val="none"/>
        </w:rPr>
        <w:t xml:space="preserve"> </w:t>
      </w:r>
      <w:r>
        <w:rPr>
          <w:rFonts w:asciiTheme="minorEastAsia" w:hAnsiTheme="minorEastAsia" w:cs="Batang"/>
          <w:color w:val="0432FF"/>
          <w:kern w:val="0"/>
          <w:sz w:val="20"/>
          <w:szCs w:val="20"/>
          <w14:ligatures w14:val="none"/>
        </w:rPr>
        <w:t>(</w:t>
      </w:r>
      <w:r w:rsidRPr="007D2E6D">
        <w:rPr>
          <w:rFonts w:asciiTheme="minorEastAsia" w:hAnsiTheme="minorEastAsia" w:cs="Batang"/>
          <w:color w:val="7030A0"/>
          <w:kern w:val="0"/>
          <w:sz w:val="20"/>
          <w:szCs w:val="20"/>
          <w14:ligatures w14:val="none"/>
        </w:rPr>
        <w:t>Verdoux H, Lepetit A, Schulte PF. Barriers to Clozapine Use in Europe: A New Hope. Acta Psychiatrica Scandinavica. 2025 Dec;152(6):473-5</w:t>
      </w:r>
      <w:r>
        <w:rPr>
          <w:rFonts w:asciiTheme="minorEastAsia" w:hAnsiTheme="minorEastAsia" w:cs="Batang"/>
          <w:color w:val="0432FF"/>
          <w:kern w:val="0"/>
          <w:sz w:val="20"/>
          <w:szCs w:val="20"/>
          <w14:ligatures w14:val="none"/>
        </w:rPr>
        <w:t xml:space="preserve">; </w:t>
      </w:r>
      <w:r w:rsidRPr="00C146C8">
        <w:rPr>
          <w:rFonts w:asciiTheme="minorEastAsia" w:hAnsiTheme="minorEastAsia" w:cs="Batang"/>
          <w:color w:val="7030A0"/>
          <w:kern w:val="0"/>
          <w:sz w:val="20"/>
          <w:szCs w:val="20"/>
          <w14:ligatures w14:val="none"/>
        </w:rPr>
        <w:t>Fernandez-Egea E, McCutcheon RA. Clozapine monitoring requirements: is it time for an update? The British Journal of Psychiatry. 2025 Jan;226(1):1-3</w:t>
      </w:r>
      <w:r>
        <w:rPr>
          <w:rFonts w:asciiTheme="minorEastAsia" w:hAnsiTheme="minorEastAsia" w:cs="Batang"/>
          <w:color w:val="7030A0"/>
          <w:kern w:val="0"/>
          <w:sz w:val="20"/>
          <w:szCs w:val="20"/>
          <w14:ligatures w14:val="none"/>
        </w:rPr>
        <w:t>)</w:t>
      </w:r>
      <w:r w:rsidRPr="00E10B7B">
        <w:rPr>
          <w:rFonts w:asciiTheme="minorEastAsia" w:hAnsiTheme="minorEastAsia" w:cs="Batang" w:hint="eastAsia"/>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 xml:space="preserve">역사적으로 보면 </w:t>
      </w:r>
      <w:r w:rsidRPr="00C146C8">
        <w:rPr>
          <w:rFonts w:asciiTheme="minorEastAsia" w:hAnsiTheme="minorEastAsia" w:cs="Batang" w:hint="eastAsia"/>
          <w:color w:val="0432FF"/>
          <w:kern w:val="0"/>
          <w:sz w:val="20"/>
          <w:szCs w:val="20"/>
          <w14:ligatures w14:val="none"/>
        </w:rPr>
        <w:t>카르바마제핀</w:t>
      </w:r>
      <w:r>
        <w:rPr>
          <w:rFonts w:asciiTheme="minorEastAsia" w:hAnsiTheme="minorEastAsia" w:cs="Batang" w:hint="eastAsia"/>
          <w:color w:val="0432FF"/>
          <w:kern w:val="0"/>
          <w:sz w:val="20"/>
          <w:szCs w:val="20"/>
          <w14:ligatures w14:val="none"/>
        </w:rPr>
        <w:t xml:space="preserve">은 </w:t>
      </w:r>
      <w:r w:rsidRPr="00C146C8">
        <w:rPr>
          <w:rFonts w:asciiTheme="minorEastAsia" w:hAnsiTheme="minorEastAsia" w:cs="Batang" w:hint="eastAsia"/>
          <w:color w:val="0432FF"/>
          <w:kern w:val="0"/>
          <w:sz w:val="20"/>
          <w:szCs w:val="20"/>
          <w14:ligatures w14:val="none"/>
        </w:rPr>
        <w:t>무과립구증 위험이 보고된 약물임에도 불구하고 영국에서는 지난 15년간 카르바마제핀 관련 무과립구증 사망이 보고되지 않았으며, 의무적 혈액 모니터링 없이도 더 많은 환자에게 처방되고 있다</w:t>
      </w:r>
      <w:r>
        <w:rPr>
          <w:rFonts w:asciiTheme="minorEastAsia" w:hAnsiTheme="minorEastAsia" w:cs="Batang" w:hint="eastAsia"/>
          <w:color w:val="0432FF"/>
          <w:kern w:val="0"/>
          <w:sz w:val="20"/>
          <w:szCs w:val="20"/>
          <w14:ligatures w14:val="none"/>
        </w:rPr>
        <w:t>는 것이 그 한 예임을 강조하고 있다</w:t>
      </w:r>
      <w:r w:rsidRPr="00C146C8">
        <w:rPr>
          <w:rFonts w:asciiTheme="minorEastAsia" w:hAnsiTheme="minorEastAsia" w:cs="Batang" w:hint="eastAsia"/>
          <w:color w:val="0432FF"/>
          <w:kern w:val="0"/>
          <w:sz w:val="20"/>
          <w:szCs w:val="20"/>
          <w14:ligatures w14:val="none"/>
        </w:rPr>
        <w:t>.</w:t>
      </w:r>
      <w:r>
        <w:rPr>
          <w:rFonts w:asciiTheme="minorEastAsia" w:hAnsiTheme="minorEastAsia" w:cs="Batang"/>
          <w:color w:val="0432FF"/>
          <w:kern w:val="0"/>
          <w:sz w:val="20"/>
          <w:szCs w:val="20"/>
          <w14:ligatures w14:val="none"/>
        </w:rPr>
        <w:t xml:space="preserve"> </w:t>
      </w:r>
      <w:r w:rsidRPr="00C146C8">
        <w:rPr>
          <w:rFonts w:asciiTheme="minorEastAsia" w:hAnsiTheme="minorEastAsia" w:cs="Batang"/>
          <w:color w:val="0432FF"/>
          <w:kern w:val="0"/>
          <w:sz w:val="20"/>
          <w:szCs w:val="20"/>
          <w14:ligatures w14:val="none"/>
        </w:rPr>
        <w:t>(</w:t>
      </w:r>
      <w:r w:rsidRPr="00C146C8">
        <w:rPr>
          <w:rFonts w:asciiTheme="minorEastAsia" w:hAnsiTheme="minorEastAsia" w:cs="Batang"/>
          <w:color w:val="7030A0"/>
          <w:kern w:val="0"/>
          <w:sz w:val="20"/>
          <w:szCs w:val="20"/>
          <w14:ligatures w14:val="none"/>
        </w:rPr>
        <w:t>Fernandez-Egea E, McCutcheon RA. Clozapine monitoring requirements: is it time for an update? The British Journal of Psychiatry. 2025 Jan;226(1):1-3</w:t>
      </w:r>
      <w:r w:rsidRPr="00C146C8">
        <w:rPr>
          <w:rFonts w:asciiTheme="minorEastAsia" w:hAnsiTheme="minorEastAsia" w:cs="Batang"/>
          <w:color w:val="0432FF"/>
          <w:kern w:val="0"/>
          <w:sz w:val="20"/>
          <w:szCs w:val="20"/>
          <w14:ligatures w14:val="none"/>
        </w:rPr>
        <w:t>)</w:t>
      </w:r>
      <w:r>
        <w:rPr>
          <w:rFonts w:asciiTheme="minorEastAsia" w:hAnsiTheme="minorEastAsia" w:cs="Batang"/>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따라서 이러</w:t>
      </w:r>
      <w:r w:rsidRPr="00E10B7B">
        <w:rPr>
          <w:rFonts w:asciiTheme="minorEastAsia" w:hAnsiTheme="minorEastAsia" w:cs="Batang" w:hint="eastAsia"/>
          <w:color w:val="0432FF"/>
          <w:kern w:val="0"/>
          <w:sz w:val="20"/>
          <w:szCs w:val="20"/>
          <w14:ligatures w14:val="none"/>
        </w:rPr>
        <w:t>한 clozapine 혈액 모니터링</w:t>
      </w:r>
      <w:r>
        <w:rPr>
          <w:rFonts w:asciiTheme="minorEastAsia" w:hAnsiTheme="minorEastAsia" w:cs="Batang" w:hint="eastAsia"/>
          <w:color w:val="0432FF"/>
          <w:kern w:val="0"/>
          <w:sz w:val="20"/>
          <w:szCs w:val="20"/>
          <w14:ligatures w14:val="none"/>
        </w:rPr>
        <w:t xml:space="preserve">관련 규제의 </w:t>
      </w:r>
      <w:r w:rsidRPr="00E10B7B">
        <w:rPr>
          <w:rFonts w:asciiTheme="minorEastAsia" w:hAnsiTheme="minorEastAsia" w:cs="Batang" w:hint="eastAsia"/>
          <w:color w:val="0432FF"/>
          <w:kern w:val="0"/>
          <w:sz w:val="20"/>
          <w:szCs w:val="20"/>
          <w14:ligatures w14:val="none"/>
        </w:rPr>
        <w:t>변화는 의료 시스템의 부담을 줄이고 clozapine 접근성을 개선할 것으로 기대된다 [11].</w:t>
      </w:r>
      <w:r>
        <w:rPr>
          <w:rFonts w:asciiTheme="minorEastAsia" w:hAnsiTheme="minorEastAsia" w:cs="Batang"/>
          <w:color w:val="0432FF"/>
          <w:kern w:val="0"/>
          <w:sz w:val="20"/>
          <w:szCs w:val="20"/>
          <w14:ligatures w14:val="none"/>
        </w:rPr>
        <w:t xml:space="preserve"> (</w:t>
      </w:r>
      <w:r w:rsidRPr="00B7042D">
        <w:rPr>
          <w:rFonts w:asciiTheme="minorEastAsia" w:hAnsiTheme="minorEastAsia" w:cs="Batang" w:hint="eastAsia"/>
          <w:color w:val="7030A0"/>
          <w:kern w:val="0"/>
          <w:sz w:val="20"/>
          <w:szCs w:val="20"/>
          <w14:ligatures w14:val="none"/>
        </w:rPr>
        <w:t>각주</w:t>
      </w:r>
      <w:r w:rsidRPr="00B7042D">
        <w:rPr>
          <w:rFonts w:asciiTheme="minorEastAsia" w:hAnsiTheme="minorEastAsia" w:cs="Batang"/>
          <w:color w:val="7030A0"/>
          <w:kern w:val="0"/>
          <w:sz w:val="20"/>
          <w:szCs w:val="20"/>
          <w14:ligatures w14:val="none"/>
        </w:rPr>
        <w:t>;</w:t>
      </w:r>
      <w:r w:rsidRPr="00B7042D">
        <w:rPr>
          <w:rFonts w:asciiTheme="minorEastAsia" w:hAnsiTheme="minorEastAsia" w:cs="Batang" w:hint="eastAsia"/>
          <w:color w:val="7030A0"/>
          <w:kern w:val="0"/>
          <w:sz w:val="20"/>
          <w:szCs w:val="20"/>
          <w14:ligatures w14:val="none"/>
        </w:rPr>
        <w:t xml:space="preserve"> </w:t>
      </w:r>
      <w:r w:rsidRPr="00A945BB">
        <w:rPr>
          <w:rFonts w:asciiTheme="minorEastAsia" w:hAnsiTheme="minorEastAsia" w:cs="Batang" w:hint="eastAsia"/>
          <w:color w:val="0432FF"/>
          <w:kern w:val="0"/>
          <w:sz w:val="20"/>
          <w:szCs w:val="20"/>
          <w14:ligatures w14:val="none"/>
        </w:rPr>
        <w:t>모니터링을 임상적 판단에 기반하여 수행할 수 있도록 하였으며,</w:t>
      </w:r>
      <w:r w:rsidRPr="00A945BB">
        <w:rPr>
          <w:rFonts w:asciiTheme="minorEastAsia" w:hAnsiTheme="minorEastAsia" w:cs="Batang"/>
          <w:color w:val="0432FF"/>
          <w:kern w:val="0"/>
          <w:sz w:val="20"/>
          <w:szCs w:val="20"/>
          <w14:ligatures w14:val="none"/>
        </w:rPr>
        <w:t xml:space="preserve"> </w:t>
      </w:r>
      <w:r w:rsidRPr="00A945BB">
        <w:rPr>
          <w:rFonts w:asciiTheme="minorEastAsia" w:hAnsiTheme="minorEastAsia" w:cs="Batang" w:hint="eastAsia"/>
          <w:color w:val="0432FF"/>
          <w:kern w:val="0"/>
          <w:sz w:val="20"/>
          <w:szCs w:val="20"/>
          <w14:ligatures w14:val="none"/>
        </w:rPr>
        <w:t xml:space="preserve">최신 절대 호중구 수(ANC) 없이 치료를 지속하는 위험과 모니터링을 연기함으로써 얻는 이익을 비교하여 결정하도록 한 것으로 </w:t>
      </w:r>
      <w:r w:rsidRPr="00A945BB">
        <w:rPr>
          <w:rFonts w:asciiTheme="minorEastAsia" w:hAnsiTheme="minorEastAsia" w:cs="Batang"/>
          <w:color w:val="7030A0"/>
          <w:kern w:val="0"/>
          <w:sz w:val="20"/>
          <w:szCs w:val="20"/>
          <w14:ligatures w14:val="none"/>
        </w:rPr>
        <w:t>(Nichols J, Gannon JM, Conlogue J, Sarpal D, Montgomery JL, Sherwood R, et al. Ensuring care for clozapine-treated schizophrenia patients during the COVID-19 pandemic. Schizophr Res 2020; 222: 499-500)</w:t>
      </w:r>
      <w:r>
        <w:rPr>
          <w:rFonts w:asciiTheme="minorEastAsia" w:hAnsiTheme="minorEastAsia" w:cs="Batang"/>
          <w:color w:val="7030A0"/>
          <w:kern w:val="0"/>
          <w:sz w:val="20"/>
          <w:szCs w:val="20"/>
          <w14:ligatures w14:val="none"/>
        </w:rPr>
        <w:t xml:space="preserve"> </w:t>
      </w:r>
      <w:r w:rsidRPr="007C0AF1">
        <w:rPr>
          <w:rFonts w:asciiTheme="minorEastAsia" w:hAnsiTheme="minorEastAsia" w:cs="Batang" w:hint="eastAsia"/>
          <w:color w:val="0432FF"/>
          <w:kern w:val="0"/>
          <w:sz w:val="20"/>
          <w:szCs w:val="20"/>
          <w14:ligatures w14:val="none"/>
        </w:rPr>
        <w:t>ANC 모니터링 자체는 여전히 권고되고 있다.</w:t>
      </w:r>
      <w:r w:rsidRPr="007C0AF1">
        <w:rPr>
          <w:rFonts w:asciiTheme="minorEastAsia" w:hAnsiTheme="minorEastAsia" w:cs="Batang"/>
          <w:color w:val="0432FF"/>
          <w:kern w:val="0"/>
          <w:sz w:val="20"/>
          <w:szCs w:val="20"/>
          <w14:ligatures w14:val="none"/>
        </w:rPr>
        <w:t xml:space="preserve"> </w:t>
      </w:r>
      <w:r w:rsidRPr="007C0AF1">
        <w:rPr>
          <w:rFonts w:asciiTheme="minorEastAsia" w:hAnsiTheme="minorEastAsia" w:cs="Batang" w:hint="eastAsia"/>
          <w:color w:val="0432FF"/>
          <w:kern w:val="0"/>
          <w:sz w:val="20"/>
          <w:szCs w:val="20"/>
          <w14:ligatures w14:val="none"/>
        </w:rPr>
        <w:t xml:space="preserve">우리나라는 아직도 </w:t>
      </w:r>
      <w:r w:rsidRPr="007C0AF1">
        <w:rPr>
          <w:rFonts w:asciiTheme="minorEastAsia" w:hAnsiTheme="minorEastAsia" w:cs="Batang"/>
          <w:color w:val="0432FF"/>
          <w:kern w:val="0"/>
          <w:sz w:val="20"/>
          <w:szCs w:val="20"/>
          <w14:ligatures w14:val="none"/>
        </w:rPr>
        <w:t>REMS</w:t>
      </w:r>
      <w:r w:rsidRPr="007C0AF1">
        <w:rPr>
          <w:rFonts w:asciiTheme="minorEastAsia" w:hAnsiTheme="minorEastAsia" w:cs="Batang" w:hint="eastAsia"/>
          <w:color w:val="0432FF"/>
          <w:kern w:val="0"/>
          <w:sz w:val="20"/>
          <w:szCs w:val="20"/>
          <w14:ligatures w14:val="none"/>
        </w:rPr>
        <w:t xml:space="preserve"> 유지하고 있다.</w:t>
      </w:r>
      <w:r w:rsidRPr="007C0AF1">
        <w:rPr>
          <w:rFonts w:asciiTheme="minorEastAsia" w:hAnsiTheme="minorEastAsia" w:cs="Batang"/>
          <w:color w:val="0432FF"/>
          <w:kern w:val="0"/>
          <w:sz w:val="20"/>
          <w:szCs w:val="20"/>
          <w14:ligatures w14:val="none"/>
        </w:rPr>
        <w:t xml:space="preserve"> </w:t>
      </w:r>
      <w:r w:rsidRPr="004D7639">
        <w:rPr>
          <w:rFonts w:asciiTheme="minorEastAsia" w:hAnsiTheme="minorEastAsia" w:cs="Batang"/>
          <w:color w:val="0432FF"/>
          <w:kern w:val="0"/>
          <w:sz w:val="20"/>
          <w:szCs w:val="20"/>
          <w14:ligatures w14:val="none"/>
        </w:rPr>
        <w:t>(</w:t>
      </w:r>
      <w:r w:rsidRPr="004D7639">
        <w:rPr>
          <w:rFonts w:asciiTheme="minorEastAsia" w:hAnsiTheme="minorEastAsia" w:cs="Batang"/>
          <w:color w:val="7030A0"/>
          <w:kern w:val="0"/>
          <w:sz w:val="20"/>
          <w:szCs w:val="20"/>
          <w14:ligatures w14:val="none"/>
        </w:rPr>
        <w:t>Fernandez-Egea E, McCutcheon RA. Clozapine monitoring requirements: is it time for an update? The British Journal of Psychiatry. 2025 Jan;226(1):1-</w:t>
      </w:r>
      <w:r w:rsidRPr="004D7639">
        <w:rPr>
          <w:rFonts w:asciiTheme="minorEastAsia" w:hAnsiTheme="minorEastAsia" w:cs="Batang"/>
          <w:color w:val="7030A0"/>
          <w:kern w:val="0"/>
          <w:sz w:val="20"/>
          <w:szCs w:val="20"/>
          <w14:ligatures w14:val="none"/>
        </w:rPr>
        <w:lastRenderedPageBreak/>
        <w:t>3</w:t>
      </w:r>
      <w:r w:rsidRPr="004D7639">
        <w:rPr>
          <w:rFonts w:asciiTheme="minorEastAsia" w:hAnsiTheme="minorEastAsia" w:cs="Batang"/>
          <w:color w:val="0432FF"/>
          <w:kern w:val="0"/>
          <w:sz w:val="20"/>
          <w:szCs w:val="20"/>
          <w14:ligatures w14:val="none"/>
        </w:rPr>
        <w:t>)</w:t>
      </w:r>
      <w:r w:rsidRPr="004D7639">
        <w:rPr>
          <w:rFonts w:asciiTheme="minorEastAsia" w:hAnsiTheme="minorEastAsia" w:cs="Batang" w:hint="eastAsia"/>
          <w:color w:val="0432FF"/>
          <w:kern w:val="0"/>
          <w:sz w:val="20"/>
          <w:szCs w:val="20"/>
          <w14:ligatures w14:val="none"/>
        </w:rPr>
        <w:t>.</w:t>
      </w:r>
      <w:r w:rsidRPr="004D7639">
        <w:rPr>
          <w:rFonts w:asciiTheme="minorEastAsia" w:hAnsiTheme="minorEastAsia" w:cs="Batang"/>
          <w:color w:val="0432FF"/>
          <w:kern w:val="0"/>
          <w:sz w:val="20"/>
          <w:szCs w:val="20"/>
          <w14:ligatures w14:val="none"/>
        </w:rPr>
        <w:t xml:space="preserve"> </w:t>
      </w:r>
      <w:r>
        <w:rPr>
          <w:rFonts w:asciiTheme="minorEastAsia" w:hAnsiTheme="minorEastAsia" w:cs="Batang"/>
          <w:color w:val="0432FF"/>
          <w:kern w:val="0"/>
          <w:sz w:val="20"/>
          <w:szCs w:val="20"/>
          <w14:ligatures w14:val="none"/>
        </w:rPr>
        <w:t>(</w:t>
      </w:r>
      <w:r w:rsidRPr="00640D06">
        <w:rPr>
          <w:rFonts w:asciiTheme="minorEastAsia" w:hAnsiTheme="minorEastAsia" w:cs="Batang" w:hint="eastAsia"/>
          <w:color w:val="7030A0"/>
          <w:kern w:val="0"/>
          <w:sz w:val="20"/>
          <w:szCs w:val="20"/>
          <w14:ligatures w14:val="none"/>
        </w:rPr>
        <w:t>각주;</w:t>
      </w:r>
      <w:r>
        <w:rPr>
          <w:rFonts w:asciiTheme="minorEastAsia" w:hAnsiTheme="minorEastAsia" w:cs="Batang" w:hint="eastAsia"/>
          <w:color w:val="0432FF"/>
          <w:kern w:val="0"/>
          <w:sz w:val="20"/>
          <w:szCs w:val="20"/>
          <w14:ligatures w14:val="none"/>
        </w:rPr>
        <w:t xml:space="preserve"> </w:t>
      </w:r>
      <w:r w:rsidRPr="00640D06">
        <w:rPr>
          <w:rFonts w:asciiTheme="minorEastAsia" w:hAnsiTheme="minorEastAsia" w:cs="Batang" w:hint="eastAsia"/>
          <w:color w:val="7030A0"/>
          <w:kern w:val="0"/>
          <w:sz w:val="20"/>
          <w:szCs w:val="20"/>
          <w14:ligatures w14:val="none"/>
        </w:rPr>
        <w:t>네덜란드 Clozapine Collaboration Group은 2013년, 충분한 설명과 의사결정 능력이 유지된 환자가 원할 경우 clozapine 치료 6개월 이후 정기적 혈액검사 중단을 허용할 수 있다고 제안하였다. 이후 연구들에서는 혈액검사 빈도를 연 4회로 낮출 수 있다는 제안도 제시되었다(off-label)</w:t>
      </w:r>
      <w:r w:rsidRPr="00A945BB">
        <w:rPr>
          <w:rFonts w:asciiTheme="minorEastAsia" w:hAnsiTheme="minorEastAsia" w:cs="Batang" w:hint="eastAsia"/>
          <w:color w:val="0432FF"/>
          <w:kern w:val="0"/>
          <w:sz w:val="20"/>
          <w:szCs w:val="20"/>
          <w14:ligatures w14:val="none"/>
        </w:rPr>
        <w:t>.</w:t>
      </w:r>
      <w:r>
        <w:rPr>
          <w:rFonts w:asciiTheme="minorEastAsia" w:hAnsiTheme="minorEastAsia" w:cs="Batang"/>
          <w:color w:val="0432FF"/>
          <w:kern w:val="0"/>
          <w:sz w:val="20"/>
          <w:szCs w:val="20"/>
          <w14:ligatures w14:val="none"/>
        </w:rPr>
        <w:t xml:space="preserve"> </w:t>
      </w:r>
      <w:r w:rsidRPr="00A945BB">
        <w:rPr>
          <w:rFonts w:asciiTheme="minorEastAsia" w:hAnsiTheme="minorEastAsia" w:cs="Batang"/>
          <w:color w:val="0432FF"/>
          <w:kern w:val="0"/>
          <w:sz w:val="20"/>
          <w:szCs w:val="20"/>
          <w14:ligatures w14:val="none"/>
        </w:rPr>
        <w:t>(</w:t>
      </w:r>
      <w:r w:rsidRPr="00A945BB">
        <w:rPr>
          <w:rFonts w:asciiTheme="minorEastAsia" w:hAnsiTheme="minorEastAsia" w:cs="Batang"/>
          <w:color w:val="7030A0"/>
          <w:kern w:val="0"/>
          <w:sz w:val="20"/>
          <w:szCs w:val="20"/>
          <w14:ligatures w14:val="none"/>
        </w:rPr>
        <w:t>Oloyede E, Dzahini O, Abolou Z, Gee S, Whiskey E, Malhotra D, Hussain M, Osborne I, Casetta C, McGuire P, MacCabe JH. Clinical impact of reducing the frequency of clozapine monitoring: controlled mirror-image cohort study. The British Journal of Psychiatry. 2023 Aug;223(2):382-8</w:t>
      </w:r>
      <w:r>
        <w:rPr>
          <w:rFonts w:asciiTheme="minorEastAsia" w:hAnsiTheme="minorEastAsia" w:cs="Batang"/>
          <w:color w:val="7030A0"/>
          <w:kern w:val="0"/>
          <w:sz w:val="20"/>
          <w:szCs w:val="20"/>
          <w14:ligatures w14:val="none"/>
        </w:rPr>
        <w:t xml:space="preserve">; </w:t>
      </w:r>
      <w:r w:rsidRPr="00640D06">
        <w:rPr>
          <w:rFonts w:asciiTheme="minorEastAsia" w:hAnsiTheme="minorEastAsia" w:cs="Batang"/>
          <w:color w:val="7030A0"/>
          <w:kern w:val="0"/>
          <w:sz w:val="20"/>
          <w:szCs w:val="20"/>
          <w14:ligatures w14:val="none"/>
        </w:rPr>
        <w:t>Fernandez-Egea E, McCutcheon RA. Clozapine monitoring requirements: is it time for an update? The British Journal of Psychiatry. 2025 Jan;226(1):1-3</w:t>
      </w:r>
      <w:r>
        <w:rPr>
          <w:rFonts w:asciiTheme="minorEastAsia" w:hAnsiTheme="minorEastAsia" w:cs="Batang"/>
          <w:color w:val="0432FF"/>
          <w:kern w:val="0"/>
          <w:sz w:val="20"/>
          <w:szCs w:val="20"/>
          <w14:ligatures w14:val="none"/>
        </w:rPr>
        <w:t xml:space="preserve">) </w:t>
      </w:r>
    </w:p>
    <w:p w14:paraId="6BB1A402"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Nevertheless, the use of clozapine in acute clinical settings has traditionally been considered challenging (Jung &amp; Kim, 2025). One of the primary reasons is that the requirement for indefinite mandatory blood monitoring has been recognized as a major barrier to both initiation and continuation of treatment [12; Parkes et al., 2022].</w:t>
      </w:r>
    </w:p>
    <w:p w14:paraId="18EDE102"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More recently, the U.S. Food and Drug Administration (FDA) relaxed the Risk Evaluation and Mitigation Strategy (REMS) requirements for clozapine as of February 2025. This change removed the obligations for prescriber, pharmacy, and patient registration, as well as absolute neutrophil count (ANC) reporting, and led to the discontinuation of the centralized monitoring system required for dispensing [14]. As a result, the practical constraint often described as “No Blood, No Drug” has been substantially reduced, allowing pharmacies to dispense clozapine without verification through a central system.</w:t>
      </w:r>
    </w:p>
    <w:p w14:paraId="78DDC78A"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Evidence indicates that the risk of clozapine-induced agranulocytosis (CIA) decreases significantly after the first 2–3 years of treatment, and that current ANC thresholds and monitoring durations may be overly stringent. Studies have also shown that countries with less restrictive monitoring requirements have higher rates of clozapine use, without an associated increase in the incidence of severe neutropenia. Based on these findings, there has been a shift away from lifelong mandatory monitoring toward a more flexible approach, in which monitoring frequency is reduced after the initial high-risk period or adjusted according to clinical judgment.</w:t>
      </w:r>
      <w:r>
        <w:rPr>
          <w:rFonts w:asciiTheme="minorEastAsia" w:hAnsiTheme="minorEastAsia" w:cs="Batang"/>
          <w:color w:val="0432FF"/>
          <w:kern w:val="0"/>
          <w:sz w:val="20"/>
          <w:szCs w:val="20"/>
          <w14:ligatures w14:val="none"/>
        </w:rPr>
        <w:t xml:space="preserve"> (</w:t>
      </w:r>
      <w:r w:rsidRPr="007D2E6D">
        <w:rPr>
          <w:rFonts w:asciiTheme="minorEastAsia" w:hAnsiTheme="minorEastAsia" w:cs="Batang"/>
          <w:color w:val="7030A0"/>
          <w:kern w:val="0"/>
          <w:sz w:val="20"/>
          <w:szCs w:val="20"/>
          <w14:ligatures w14:val="none"/>
        </w:rPr>
        <w:t>Verdoux H, Lepetit A, Schulte PF. Barriers to Clozapine Use in Europe: A New Hope. Acta Psychiatrica Scandinavica. 2025 Dec;152(6):473-5</w:t>
      </w:r>
      <w:r>
        <w:rPr>
          <w:rFonts w:asciiTheme="minorEastAsia" w:hAnsiTheme="minorEastAsia" w:cs="Batang"/>
          <w:color w:val="0432FF"/>
          <w:kern w:val="0"/>
          <w:sz w:val="20"/>
          <w:szCs w:val="20"/>
          <w14:ligatures w14:val="none"/>
        </w:rPr>
        <w:t xml:space="preserve">; </w:t>
      </w:r>
      <w:r w:rsidRPr="00C146C8">
        <w:rPr>
          <w:rFonts w:asciiTheme="minorEastAsia" w:hAnsiTheme="minorEastAsia" w:cs="Batang"/>
          <w:color w:val="7030A0"/>
          <w:kern w:val="0"/>
          <w:sz w:val="20"/>
          <w:szCs w:val="20"/>
          <w14:ligatures w14:val="none"/>
        </w:rPr>
        <w:t>Fernandez-Egea E, McCutcheon RA. Clozapine monitoring requirements: is it time for an update? The British Journal of Psychiatry. 2025 Jan;226(1):1-3</w:t>
      </w:r>
      <w:r>
        <w:rPr>
          <w:rFonts w:asciiTheme="minorEastAsia" w:hAnsiTheme="minorEastAsia" w:cs="Batang"/>
          <w:color w:val="7030A0"/>
          <w:kern w:val="0"/>
          <w:sz w:val="20"/>
          <w:szCs w:val="20"/>
          <w14:ligatures w14:val="none"/>
        </w:rPr>
        <w:t>;</w:t>
      </w:r>
      <w:r w:rsidRPr="007D2E6D">
        <w:rPr>
          <w:rFonts w:asciiTheme="minorEastAsia" w:hAnsiTheme="minorEastAsia" w:cs="Batang"/>
          <w:color w:val="0432FF"/>
          <w:kern w:val="0"/>
          <w:sz w:val="20"/>
          <w:szCs w:val="20"/>
          <w14:ligatures w14:val="none"/>
        </w:rPr>
        <w:t xml:space="preserve"> </w:t>
      </w:r>
      <w:r w:rsidRPr="00B42DE3">
        <w:rPr>
          <w:rFonts w:asciiTheme="minorEastAsia" w:hAnsiTheme="minorEastAsia" w:cs="Batang"/>
          <w:color w:val="0432FF"/>
          <w:kern w:val="0"/>
          <w:sz w:val="20"/>
          <w:szCs w:val="20"/>
          <w14:ligatures w14:val="none"/>
        </w:rPr>
        <w:t>Fernandez-Egea &amp; McCutcheon, 2025).</w:t>
      </w:r>
    </w:p>
    <w:p w14:paraId="6F3CF3B7"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 xml:space="preserve">Historically, carbamazepine provides a relevant comparison: despite its known association with agranulocytosis, no deaths related to carbamazepine-induced agranulocytosis have been reported in </w:t>
      </w:r>
      <w:r w:rsidRPr="00B42DE3">
        <w:rPr>
          <w:rFonts w:asciiTheme="minorEastAsia" w:hAnsiTheme="minorEastAsia" w:cs="Batang"/>
          <w:color w:val="0432FF"/>
          <w:kern w:val="0"/>
          <w:sz w:val="20"/>
          <w:szCs w:val="20"/>
          <w14:ligatures w14:val="none"/>
        </w:rPr>
        <w:lastRenderedPageBreak/>
        <w:t>the United Kingdom over the past 15 years, and the drug continues to be prescribed widely without mandatory blood monitoring (Fernandez-Egea &amp; McCutcheon, 2025).</w:t>
      </w:r>
    </w:p>
    <w:p w14:paraId="105E939E"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Taken together, these regulatory and conceptual changes in clozapine monitoring are expected to reduce the burden on healthcare systems and improve access to clozapine in clinical practice [11].</w:t>
      </w:r>
    </w:p>
    <w:p w14:paraId="1751C9AD" w14:textId="77777777" w:rsidR="0009494F"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Footnote: Monitoring strategies have increasingly incorporated clinical judgment, balancing the risks of continuing treatment without recent ANC data against the risks of delaying monitoring (Nichols et al., 2020). ANC monitoring itself remains recommended, although its implementation has become more flexible. Notably, some countries, including South Korea, continue to maintain REMS-like monitoring systems (Fernandez-Egea &amp; McCutcheon, 2025). In addition, the Dutch Clozapine Collaboration Group proposed in 2013 that, with adequate patient information and preserved decision-making capacity, routine blood monitoring may be discontinued after 6 months of treatment. Subsequent studies have suggested that monitoring frequency could be reduced to as few as four times per year in selected cases (Oloyede et al., 2023; Fernandez-Egea &amp; McCutcheon, 2025).</w:t>
      </w:r>
    </w:p>
    <w:p w14:paraId="37B2AAF2" w14:textId="77777777" w:rsidR="0009494F" w:rsidRDefault="0009494F" w:rsidP="0009494F">
      <w:pPr>
        <w:jc w:val="both"/>
        <w:rPr>
          <w:rFonts w:asciiTheme="minorEastAsia" w:hAnsiTheme="minorEastAsia" w:cs="Batang"/>
          <w:color w:val="0432FF"/>
          <w:kern w:val="0"/>
          <w:sz w:val="20"/>
          <w:szCs w:val="20"/>
          <w14:ligatures w14:val="none"/>
        </w:rPr>
      </w:pPr>
    </w:p>
    <w:p w14:paraId="5C54C920" w14:textId="77777777" w:rsidR="0009494F" w:rsidRDefault="0009494F" w:rsidP="0009494F">
      <w:pPr>
        <w:jc w:val="both"/>
        <w:rPr>
          <w:rFonts w:asciiTheme="minorEastAsia" w:hAnsiTheme="minorEastAsia" w:cs="Batang"/>
          <w:color w:val="0432FF"/>
          <w:kern w:val="0"/>
          <w:sz w:val="20"/>
          <w:szCs w:val="20"/>
          <w14:ligatures w14:val="none"/>
        </w:rPr>
      </w:pPr>
      <w:r>
        <w:rPr>
          <w:rFonts w:asciiTheme="minorEastAsia" w:hAnsiTheme="minorEastAsia" w:cs="Batang" w:hint="eastAsia"/>
          <w:color w:val="0432FF"/>
          <w:kern w:val="0"/>
          <w:sz w:val="20"/>
          <w:szCs w:val="20"/>
          <w14:ligatures w14:val="none"/>
        </w:rPr>
        <w:t>7</w:t>
      </w:r>
      <w:r>
        <w:rPr>
          <w:rFonts w:asciiTheme="minorEastAsia" w:hAnsiTheme="minorEastAsia" w:cs="Batang"/>
          <w:color w:val="0432FF"/>
          <w:kern w:val="0"/>
          <w:sz w:val="20"/>
          <w:szCs w:val="20"/>
          <w14:ligatures w14:val="none"/>
        </w:rPr>
        <w:t xml:space="preserve">-3-2. </w:t>
      </w:r>
      <w:r>
        <w:rPr>
          <w:rFonts w:asciiTheme="minorEastAsia" w:hAnsiTheme="minorEastAsia" w:cs="Batang" w:hint="eastAsia"/>
          <w:color w:val="0432FF"/>
          <w:kern w:val="0"/>
          <w:sz w:val="20"/>
          <w:szCs w:val="20"/>
          <w14:ligatures w14:val="none"/>
        </w:rPr>
        <w:t xml:space="preserve">클로자핀의 </w:t>
      </w:r>
      <w:r w:rsidRPr="00390D97">
        <w:rPr>
          <w:rFonts w:asciiTheme="minorEastAsia" w:hAnsiTheme="minorEastAsia" w:cs="Batang" w:hint="eastAsia"/>
          <w:color w:val="0432FF"/>
          <w:kern w:val="0"/>
          <w:sz w:val="20"/>
          <w:szCs w:val="20"/>
          <w14:ligatures w14:val="none"/>
        </w:rPr>
        <w:t xml:space="preserve">대체적 투여 경로 (Alternative </w:t>
      </w:r>
      <w:r>
        <w:rPr>
          <w:rFonts w:asciiTheme="minorEastAsia" w:hAnsiTheme="minorEastAsia" w:cs="Batang"/>
          <w:color w:val="0432FF"/>
          <w:kern w:val="0"/>
          <w:sz w:val="20"/>
          <w:szCs w:val="20"/>
          <w14:ligatures w14:val="none"/>
        </w:rPr>
        <w:t>r</w:t>
      </w:r>
      <w:r w:rsidRPr="00390D97">
        <w:rPr>
          <w:rFonts w:asciiTheme="minorEastAsia" w:hAnsiTheme="minorEastAsia" w:cs="Batang" w:hint="eastAsia"/>
          <w:color w:val="0432FF"/>
          <w:kern w:val="0"/>
          <w:sz w:val="20"/>
          <w:szCs w:val="20"/>
          <w14:ligatures w14:val="none"/>
        </w:rPr>
        <w:t xml:space="preserve">outes of </w:t>
      </w:r>
      <w:r>
        <w:rPr>
          <w:rFonts w:asciiTheme="minorEastAsia" w:hAnsiTheme="minorEastAsia" w:cs="Batang"/>
          <w:color w:val="0432FF"/>
          <w:kern w:val="0"/>
          <w:sz w:val="20"/>
          <w:szCs w:val="20"/>
          <w14:ligatures w14:val="none"/>
        </w:rPr>
        <w:t>a</w:t>
      </w:r>
      <w:r w:rsidRPr="00390D97">
        <w:rPr>
          <w:rFonts w:asciiTheme="minorEastAsia" w:hAnsiTheme="minorEastAsia" w:cs="Batang" w:hint="eastAsia"/>
          <w:color w:val="0432FF"/>
          <w:kern w:val="0"/>
          <w:sz w:val="20"/>
          <w:szCs w:val="20"/>
          <w14:ligatures w14:val="none"/>
        </w:rPr>
        <w:t>dministration</w:t>
      </w:r>
      <w:r>
        <w:rPr>
          <w:rFonts w:asciiTheme="minorEastAsia" w:hAnsiTheme="minorEastAsia" w:cs="Batang"/>
          <w:color w:val="0432FF"/>
          <w:kern w:val="0"/>
          <w:sz w:val="20"/>
          <w:szCs w:val="20"/>
          <w14:ligatures w14:val="none"/>
        </w:rPr>
        <w:t xml:space="preserve"> of clozapine</w:t>
      </w:r>
      <w:r w:rsidRPr="00390D97">
        <w:rPr>
          <w:rFonts w:asciiTheme="minorEastAsia" w:hAnsiTheme="minorEastAsia" w:cs="Batang" w:hint="eastAsia"/>
          <w:color w:val="0432FF"/>
          <w:kern w:val="0"/>
          <w:sz w:val="20"/>
          <w:szCs w:val="20"/>
          <w14:ligatures w14:val="none"/>
        </w:rPr>
        <w:t>)</w:t>
      </w:r>
    </w:p>
    <w:p w14:paraId="3BB4A7D8" w14:textId="77777777" w:rsidR="0009494F" w:rsidRDefault="0009494F" w:rsidP="0009494F">
      <w:pPr>
        <w:jc w:val="both"/>
        <w:rPr>
          <w:rFonts w:asciiTheme="minorEastAsia" w:hAnsiTheme="minorEastAsia" w:cs="Batang"/>
          <w:color w:val="0432FF"/>
          <w:kern w:val="0"/>
          <w:sz w:val="20"/>
          <w:szCs w:val="20"/>
          <w14:ligatures w14:val="none"/>
        </w:rPr>
      </w:pPr>
      <w:r w:rsidRPr="00340381">
        <w:rPr>
          <w:rFonts w:asciiTheme="minorEastAsia" w:hAnsiTheme="minorEastAsia" w:cs="Batang" w:hint="eastAsia"/>
          <w:color w:val="0432FF"/>
          <w:kern w:val="0"/>
          <w:sz w:val="20"/>
          <w:szCs w:val="20"/>
          <w14:ligatures w14:val="none"/>
        </w:rPr>
        <w:t xml:space="preserve">클로자핀은 치료저항성 조현병뿐 아니라 난치성 양극성장애, 반복적인 자살 위험이 높은 환자, 그리고 현저한 공격성이나 충동성을 동반하는 일부 환자군에서도 중요한 치료 선택지로 활용되어 왔다. 그러나 클로자핀이 발견된 이후 60년이 넘는 기간 동안 그 효능을 모방하고자 하는 다양한 항정신병약물이 개발되었음에도 불구하고, 동일한 임상적 효과를 유지하면서 이를 대체할 수 있는 약물은 현재까지 존재하지 않는다. 이러한 특성으로 인해, 임상적으로 어려운 상황에서도 클로자핀 사용을 가능하게 하려는 </w:t>
      </w:r>
      <w:r>
        <w:rPr>
          <w:rFonts w:asciiTheme="minorEastAsia" w:hAnsiTheme="minorEastAsia" w:cs="Batang" w:hint="eastAsia"/>
          <w:color w:val="0432FF"/>
          <w:kern w:val="0"/>
          <w:sz w:val="20"/>
          <w:szCs w:val="20"/>
          <w14:ligatures w14:val="none"/>
        </w:rPr>
        <w:t xml:space="preserve">강한 </w:t>
      </w:r>
      <w:r w:rsidRPr="00340381">
        <w:rPr>
          <w:rFonts w:asciiTheme="minorEastAsia" w:hAnsiTheme="minorEastAsia" w:cs="Batang" w:hint="eastAsia"/>
          <w:color w:val="0432FF"/>
          <w:kern w:val="0"/>
          <w:sz w:val="20"/>
          <w:szCs w:val="20"/>
          <w14:ligatures w14:val="none"/>
        </w:rPr>
        <w:t>요구가 지속적으로 제기되어 왔다.</w:t>
      </w:r>
    </w:p>
    <w:p w14:paraId="1C97CD6E" w14:textId="77777777" w:rsidR="0009494F" w:rsidRDefault="0009494F" w:rsidP="0009494F">
      <w:pPr>
        <w:jc w:val="both"/>
        <w:rPr>
          <w:rFonts w:asciiTheme="minorEastAsia" w:hAnsiTheme="minorEastAsia" w:cs="Batang"/>
          <w:color w:val="0432FF"/>
          <w:kern w:val="0"/>
          <w:sz w:val="20"/>
          <w:szCs w:val="20"/>
          <w14:ligatures w14:val="none"/>
        </w:rPr>
      </w:pPr>
      <w:r w:rsidRPr="00E974DE">
        <w:rPr>
          <w:rFonts w:asciiTheme="minorEastAsia" w:hAnsiTheme="minorEastAsia" w:cs="Batang" w:hint="eastAsia"/>
          <w:color w:val="0432FF"/>
          <w:kern w:val="0"/>
          <w:sz w:val="20"/>
          <w:szCs w:val="20"/>
          <w14:ligatures w14:val="none"/>
        </w:rPr>
        <w:t>이러한 임상적 필요를 반영하여, 구강붕해정 제형</w:t>
      </w:r>
      <w:r>
        <w:rPr>
          <w:rFonts w:asciiTheme="minorEastAsia" w:hAnsiTheme="minorEastAsia" w:cs="Batang" w:hint="eastAsia"/>
          <w:color w:val="0432FF"/>
          <w:kern w:val="0"/>
          <w:sz w:val="20"/>
          <w:szCs w:val="20"/>
          <w14:ligatures w14:val="none"/>
        </w:rPr>
        <w:t xml:space="preserve">이 </w:t>
      </w:r>
      <w:r w:rsidRPr="00E974DE">
        <w:rPr>
          <w:rFonts w:asciiTheme="minorEastAsia" w:hAnsiTheme="minorEastAsia" w:cs="Batang" w:hint="eastAsia"/>
          <w:color w:val="0432FF"/>
          <w:kern w:val="0"/>
          <w:sz w:val="20"/>
          <w:szCs w:val="20"/>
          <w14:ligatures w14:val="none"/>
        </w:rPr>
        <w:t>연하 곤란이 있거나</w:t>
      </w:r>
      <w:r>
        <w:rPr>
          <w:rFonts w:asciiTheme="minorEastAsia" w:hAnsiTheme="minorEastAsia" w:cs="Batang" w:hint="eastAsia"/>
          <w:color w:val="0432FF"/>
          <w:kern w:val="0"/>
          <w:sz w:val="20"/>
          <w:szCs w:val="20"/>
          <w14:ligatures w14:val="none"/>
        </w:rPr>
        <w:t xml:space="preserve"> </w:t>
      </w:r>
      <w:r w:rsidRPr="00E974DE">
        <w:rPr>
          <w:rFonts w:asciiTheme="minorEastAsia" w:hAnsiTheme="minorEastAsia" w:cs="Batang" w:hint="eastAsia"/>
          <w:color w:val="0432FF"/>
          <w:kern w:val="0"/>
          <w:sz w:val="20"/>
          <w:szCs w:val="20"/>
          <w14:ligatures w14:val="none"/>
        </w:rPr>
        <w:t>경구 정제 복용이 어려운 환자</w:t>
      </w:r>
      <w:r>
        <w:rPr>
          <w:rFonts w:asciiTheme="minorEastAsia" w:hAnsiTheme="minorEastAsia" w:cs="Batang" w:hint="eastAsia"/>
          <w:color w:val="0432FF"/>
          <w:kern w:val="0"/>
          <w:sz w:val="20"/>
          <w:szCs w:val="20"/>
          <w14:ligatures w14:val="none"/>
        </w:rPr>
        <w:t>,</w:t>
      </w:r>
      <w:r>
        <w:rPr>
          <w:rFonts w:asciiTheme="minorEastAsia" w:hAnsiTheme="minorEastAsia" w:cs="Batang"/>
          <w:color w:val="0432FF"/>
          <w:kern w:val="0"/>
          <w:sz w:val="20"/>
          <w:szCs w:val="20"/>
          <w14:ligatures w14:val="none"/>
        </w:rPr>
        <w:t xml:space="preserve"> </w:t>
      </w:r>
      <w:r w:rsidRPr="00E974DE">
        <w:rPr>
          <w:rFonts w:asciiTheme="minorEastAsia" w:hAnsiTheme="minorEastAsia" w:cs="Batang" w:hint="eastAsia"/>
          <w:color w:val="0432FF"/>
          <w:kern w:val="0"/>
          <w:sz w:val="20"/>
          <w:szCs w:val="20"/>
          <w14:ligatures w14:val="none"/>
        </w:rPr>
        <w:t>약물의 은닉 복용</w:t>
      </w:r>
      <w:r>
        <w:rPr>
          <w:rFonts w:asciiTheme="minorEastAsia" w:hAnsiTheme="minorEastAsia" w:cs="Batang" w:hint="eastAsia"/>
          <w:color w:val="0432FF"/>
          <w:kern w:val="0"/>
          <w:sz w:val="20"/>
          <w:szCs w:val="20"/>
          <w14:ligatures w14:val="none"/>
        </w:rPr>
        <w:t>환자에 적용될 수 있</w:t>
      </w:r>
      <w:r w:rsidRPr="00E974DE">
        <w:rPr>
          <w:rFonts w:asciiTheme="minorEastAsia" w:hAnsiTheme="minorEastAsia" w:cs="Batang" w:hint="eastAsia"/>
          <w:color w:val="0432FF"/>
          <w:kern w:val="0"/>
          <w:sz w:val="20"/>
          <w:szCs w:val="20"/>
          <w14:ligatures w14:val="none"/>
        </w:rPr>
        <w:t xml:space="preserve">다. 또한 현탁액 제형은 용량 조절의 유연성을 높여, 보다 세밀한 치료적 접근을 가능하게 </w:t>
      </w:r>
      <w:r>
        <w:rPr>
          <w:rFonts w:asciiTheme="minorEastAsia" w:hAnsiTheme="minorEastAsia" w:cs="Batang" w:hint="eastAsia"/>
          <w:color w:val="0432FF"/>
          <w:kern w:val="0"/>
          <w:sz w:val="20"/>
          <w:szCs w:val="20"/>
          <w14:ligatures w14:val="none"/>
        </w:rPr>
        <w:t>한</w:t>
      </w:r>
      <w:r w:rsidRPr="00E974DE">
        <w:rPr>
          <w:rFonts w:asciiTheme="minorEastAsia" w:hAnsiTheme="minorEastAsia" w:cs="Batang" w:hint="eastAsia"/>
          <w:color w:val="0432FF"/>
          <w:kern w:val="0"/>
          <w:sz w:val="20"/>
          <w:szCs w:val="20"/>
          <w14:ligatures w14:val="none"/>
        </w:rPr>
        <w:t xml:space="preserve">다. 한편, 경구 투여가 불가능하거나 심한 초조 및 공격성이 동반된 </w:t>
      </w:r>
      <w:r w:rsidRPr="00811EE5">
        <w:rPr>
          <w:rFonts w:asciiTheme="minorEastAsia" w:hAnsiTheme="minorEastAsia" w:cs="Batang" w:hint="eastAsia"/>
          <w:color w:val="0432FF"/>
          <w:kern w:val="0"/>
          <w:sz w:val="20"/>
          <w:szCs w:val="20"/>
          <w14:ligatures w14:val="none"/>
        </w:rPr>
        <w:t>고위험 환자에서는 경장 투여 또는 최근 재도입된 근육주사 제형</w:t>
      </w:r>
      <w:r>
        <w:rPr>
          <w:rFonts w:asciiTheme="minorEastAsia" w:hAnsiTheme="minorEastAsia" w:cs="Batang" w:hint="eastAsia"/>
          <w:color w:val="0432FF"/>
          <w:kern w:val="0"/>
          <w:sz w:val="20"/>
          <w:szCs w:val="20"/>
          <w14:ligatures w14:val="none"/>
        </w:rPr>
        <w:t>이</w:t>
      </w:r>
      <w:r w:rsidRPr="00811EE5">
        <w:rPr>
          <w:rFonts w:asciiTheme="minorEastAsia" w:hAnsiTheme="minorEastAsia" w:cs="Batang" w:hint="eastAsia"/>
          <w:color w:val="0432FF"/>
          <w:kern w:val="0"/>
          <w:sz w:val="20"/>
          <w:szCs w:val="20"/>
          <w14:ligatures w14:val="none"/>
        </w:rPr>
        <w:t xml:space="preserve"> </w:t>
      </w:r>
      <w:r w:rsidRPr="00811EE5">
        <w:rPr>
          <w:rFonts w:asciiTheme="minorEastAsia" w:hAnsiTheme="minorEastAsia" w:cs="Batang"/>
          <w:color w:val="0432FF"/>
          <w:kern w:val="0"/>
          <w:sz w:val="20"/>
          <w:szCs w:val="20"/>
          <w14:ligatures w14:val="none"/>
        </w:rPr>
        <w:t>(</w:t>
      </w:r>
      <w:r w:rsidRPr="00811EE5">
        <w:rPr>
          <w:rFonts w:asciiTheme="minorEastAsia" w:hAnsiTheme="minorEastAsia" w:cs="Batang" w:hint="eastAsia"/>
          <w:color w:val="0432FF"/>
          <w:kern w:val="0"/>
          <w:sz w:val="20"/>
          <w:szCs w:val="20"/>
          <w14:ligatures w14:val="none"/>
        </w:rPr>
        <w:t>각주:</w:t>
      </w:r>
      <w:r w:rsidRPr="00811EE5">
        <w:rPr>
          <w:rFonts w:asciiTheme="minorEastAsia" w:hAnsiTheme="minorEastAsia" w:cs="Batang"/>
          <w:color w:val="0432FF"/>
          <w:kern w:val="0"/>
          <w:sz w:val="20"/>
          <w:szCs w:val="20"/>
          <w14:ligatures w14:val="none"/>
        </w:rPr>
        <w:t xml:space="preserve"> </w:t>
      </w:r>
      <w:r w:rsidRPr="00811EE5">
        <w:rPr>
          <w:rFonts w:asciiTheme="minorEastAsia" w:hAnsiTheme="minorEastAsia" w:cs="Batang" w:hint="eastAsia"/>
          <w:color w:val="0432FF"/>
          <w:kern w:val="0"/>
          <w:sz w:val="20"/>
          <w:szCs w:val="20"/>
          <w14:ligatures w14:val="none"/>
        </w:rPr>
        <w:t xml:space="preserve">1990년대 클로자핀 도입 초기에는 유럽과 이스라엘에서 근육주사제형이 사용되었지만 2005년 제조사의 상업적 이유로 시장에서 철수되면서, 조제 전문 약국을 통해서만 제한적으로 공급되었다. 최근에는 네덜란드 Apotheek A15와 시리아 El Saad Pharma에서 근육주사 제형이 다시 생산되며, 영국과 네덜란드를 중심으로 임상 경험이 점차 축적되고 있다. </w:t>
      </w:r>
      <w:r w:rsidRPr="00F02CD4">
        <w:rPr>
          <w:rFonts w:asciiTheme="minorEastAsia" w:hAnsiTheme="minorEastAsia" w:cs="Batang"/>
          <w:color w:val="0432FF"/>
          <w:kern w:val="0"/>
          <w:sz w:val="20"/>
          <w:szCs w:val="20"/>
          <w14:ligatures w14:val="none"/>
        </w:rPr>
        <w:t>(</w:t>
      </w:r>
      <w:r w:rsidRPr="00C427C4">
        <w:rPr>
          <w:rFonts w:asciiTheme="minorEastAsia" w:hAnsiTheme="minorEastAsia" w:cs="Batang"/>
          <w:color w:val="7030A0"/>
          <w:kern w:val="0"/>
          <w:sz w:val="20"/>
          <w:szCs w:val="20"/>
          <w14:ligatures w14:val="none"/>
        </w:rPr>
        <w:t>Munzar B, Nemets B. Clinical experience with intramuscular clozapine. Cureus. 2021 Sep 25;13(9):</w:t>
      </w:r>
      <w:r w:rsidRPr="00C427C4">
        <w:rPr>
          <w:rFonts w:asciiTheme="minorEastAsia" w:hAnsiTheme="minorEastAsia" w:cs="Segoe UI"/>
          <w:color w:val="7030A0"/>
          <w:sz w:val="20"/>
          <w:szCs w:val="20"/>
          <w:shd w:val="clear" w:color="auto" w:fill="FFFFFF"/>
        </w:rPr>
        <w:t xml:space="preserve"> e18267</w:t>
      </w:r>
      <w:r>
        <w:rPr>
          <w:rFonts w:asciiTheme="minorEastAsia" w:hAnsiTheme="minorEastAsia" w:cs="Segoe UI"/>
          <w:color w:val="7030A0"/>
          <w:sz w:val="20"/>
          <w:szCs w:val="20"/>
          <w:shd w:val="clear" w:color="auto" w:fill="FFFFFF"/>
        </w:rPr>
        <w:t xml:space="preserve">; </w:t>
      </w:r>
      <w:r w:rsidRPr="006F6E66">
        <w:rPr>
          <w:rFonts w:asciiTheme="minorEastAsia" w:hAnsiTheme="minorEastAsia" w:cs="Batang"/>
          <w:color w:val="7030A0"/>
          <w:kern w:val="0"/>
          <w:sz w:val="20"/>
          <w:szCs w:val="20"/>
          <w14:ligatures w14:val="none"/>
        </w:rPr>
        <w:t xml:space="preserve">Gee S, Taylor D. Alternative routes of administration of clozapine. CNS drugs. 2022 </w:t>
      </w:r>
      <w:r w:rsidRPr="006F6E66">
        <w:rPr>
          <w:rFonts w:asciiTheme="minorEastAsia" w:hAnsiTheme="minorEastAsia" w:cs="Batang"/>
          <w:color w:val="7030A0"/>
          <w:kern w:val="0"/>
          <w:sz w:val="20"/>
          <w:szCs w:val="20"/>
          <w14:ligatures w14:val="none"/>
        </w:rPr>
        <w:lastRenderedPageBreak/>
        <w:t>Feb;36(2):105-11</w:t>
      </w:r>
      <w:r>
        <w:rPr>
          <w:rFonts w:asciiTheme="minorEastAsia" w:hAnsiTheme="minorEastAsia" w:cs="Batang"/>
          <w:color w:val="0432FF"/>
          <w:kern w:val="0"/>
          <w:sz w:val="20"/>
          <w:szCs w:val="20"/>
          <w14:ligatures w14:val="none"/>
        </w:rPr>
        <w:t>)</w:t>
      </w:r>
      <w:r w:rsidRPr="00E974DE">
        <w:rPr>
          <w:rFonts w:asciiTheme="minorEastAsia" w:hAnsiTheme="minorEastAsia" w:cs="Batang" w:hint="eastAsia"/>
          <w:color w:val="0432FF"/>
          <w:kern w:val="0"/>
          <w:sz w:val="20"/>
          <w:szCs w:val="20"/>
          <w14:ligatures w14:val="none"/>
        </w:rPr>
        <w:t xml:space="preserve"> 중요한 대체 경로로 고려된다. </w:t>
      </w:r>
      <w:r>
        <w:rPr>
          <w:rFonts w:asciiTheme="minorEastAsia" w:hAnsiTheme="minorEastAsia" w:cs="Batang" w:hint="eastAsia"/>
          <w:color w:val="0432FF"/>
          <w:kern w:val="0"/>
          <w:sz w:val="20"/>
          <w:szCs w:val="20"/>
          <w14:ligatures w14:val="none"/>
        </w:rPr>
        <w:t xml:space="preserve">보고에 따르면 </w:t>
      </w:r>
      <w:r>
        <w:rPr>
          <w:rFonts w:asciiTheme="minorEastAsia" w:hAnsiTheme="minorEastAsia" w:cs="Batang"/>
          <w:color w:val="0432FF"/>
          <w:kern w:val="0"/>
          <w:sz w:val="20"/>
          <w:szCs w:val="20"/>
          <w14:ligatures w14:val="none"/>
        </w:rPr>
        <w:t>(</w:t>
      </w:r>
      <w:r w:rsidRPr="00E044C4">
        <w:rPr>
          <w:rFonts w:asciiTheme="minorEastAsia" w:hAnsiTheme="minorEastAsia" w:cs="Batang"/>
          <w:color w:val="7030A0"/>
          <w:kern w:val="0"/>
          <w:sz w:val="20"/>
          <w:szCs w:val="20"/>
          <w14:ligatures w14:val="none"/>
        </w:rPr>
        <w:t>Munzar &amp; Nemets, 2021; S. H. Gee, S. S. Shergill, and D. M. Taylor, “Patient Attitudes to Clozapine Initiation,” International Clinical Psychopharmacology 32 (2017): 337-342; M. I. Jakobsen, S. F. Austin, O. J. Storebo, et al., “Perspectives of Clozapine-­Naïve Outpatients With Treatment-­Resistant Schizophrenia on Clozapine Commencement: A Mixed-­Methods Convergent Study,” BMJ Open 15 (2025): 18; M. I. Jakobsen and J. Nielsen, “Clozapine Acceptance and Refusal Rates for Inpatients vs. Outpatients With Schizophrenia – Secondary Analyses of Real-­World Data From a Danish Quality Assurance and Improvement Audit,” Nordic Journal of Psychiatry 79</w:t>
      </w:r>
      <w:r w:rsidRPr="00E044C4">
        <w:rPr>
          <w:color w:val="7030A0"/>
        </w:rPr>
        <w:t xml:space="preserve"> </w:t>
      </w:r>
      <w:r w:rsidRPr="00E044C4">
        <w:rPr>
          <w:rFonts w:asciiTheme="minorEastAsia" w:hAnsiTheme="minorEastAsia" w:cs="Batang"/>
          <w:color w:val="7030A0"/>
          <w:kern w:val="0"/>
          <w:sz w:val="20"/>
          <w:szCs w:val="20"/>
          <w14:ligatures w14:val="none"/>
        </w:rPr>
        <w:t>(2025): 321-323</w:t>
      </w:r>
      <w:r>
        <w:rPr>
          <w:rFonts w:asciiTheme="minorEastAsia" w:hAnsiTheme="minorEastAsia" w:cs="Batang"/>
          <w:color w:val="0432FF"/>
          <w:kern w:val="0"/>
          <w:sz w:val="20"/>
          <w:szCs w:val="20"/>
          <w14:ligatures w14:val="none"/>
        </w:rPr>
        <w:t>)</w:t>
      </w:r>
      <w:r w:rsidRPr="00D13750">
        <w:rPr>
          <w:rFonts w:asciiTheme="minorEastAsia" w:hAnsiTheme="minorEastAsia" w:cs="Batang"/>
          <w:color w:val="0432FF"/>
          <w:kern w:val="0"/>
          <w:sz w:val="20"/>
          <w:szCs w:val="20"/>
          <w14:ligatures w14:val="none"/>
        </w:rPr>
        <w:t xml:space="preserve">, </w:t>
      </w:r>
      <w:r w:rsidRPr="001C0BE3">
        <w:rPr>
          <w:rFonts w:asciiTheme="minorEastAsia" w:hAnsiTheme="minorEastAsia" w:cs="Batang" w:hint="eastAsia"/>
          <w:color w:val="0432FF"/>
          <w:kern w:val="0"/>
          <w:sz w:val="20"/>
          <w:szCs w:val="20"/>
          <w14:ligatures w14:val="none"/>
        </w:rPr>
        <w:t>근육주사(IM) 클로자핀</w:t>
      </w:r>
      <w:r>
        <w:rPr>
          <w:rFonts w:asciiTheme="minorEastAsia" w:hAnsiTheme="minorEastAsia" w:cs="Batang" w:hint="eastAsia"/>
          <w:color w:val="0432FF"/>
          <w:kern w:val="0"/>
          <w:sz w:val="20"/>
          <w:szCs w:val="20"/>
          <w14:ligatures w14:val="none"/>
        </w:rPr>
        <w:t xml:space="preserve">의 투여는 </w:t>
      </w:r>
      <w:r w:rsidRPr="001C0BE3">
        <w:rPr>
          <w:rFonts w:asciiTheme="minorEastAsia" w:hAnsiTheme="minorEastAsia" w:cs="Batang" w:hint="eastAsia"/>
          <w:color w:val="0432FF"/>
          <w:kern w:val="0"/>
          <w:sz w:val="20"/>
          <w:szCs w:val="20"/>
          <w14:ligatures w14:val="none"/>
        </w:rPr>
        <w:t>대부분의 환자에서 경구 클로자핀으로의 성공적인 전환을 촉진할 수 있</w:t>
      </w:r>
      <w:r>
        <w:rPr>
          <w:rFonts w:asciiTheme="minorEastAsia" w:hAnsiTheme="minorEastAsia" w:cs="Batang" w:hint="eastAsia"/>
          <w:color w:val="0432FF"/>
          <w:kern w:val="0"/>
          <w:sz w:val="20"/>
          <w:szCs w:val="20"/>
          <w14:ligatures w14:val="none"/>
        </w:rPr>
        <w:t xml:space="preserve">어서 </w:t>
      </w:r>
      <w:r w:rsidRPr="00E974DE">
        <w:rPr>
          <w:rFonts w:asciiTheme="minorEastAsia" w:hAnsiTheme="minorEastAsia" w:cs="Batang" w:hint="eastAsia"/>
          <w:color w:val="0432FF"/>
          <w:kern w:val="0"/>
          <w:sz w:val="20"/>
          <w:szCs w:val="20"/>
          <w14:ligatures w14:val="none"/>
        </w:rPr>
        <w:t>강제 치료가 불가피한 상황에서 치료의 단절을 최소화하고, 이후 안정적인 경구 투여로의 전환을 지원함으로써 장기적인 예후 개선에 기여할 수 있다</w:t>
      </w:r>
      <w:r>
        <w:rPr>
          <w:rFonts w:asciiTheme="minorEastAsia" w:hAnsiTheme="minorEastAsia" w:cs="Batang" w:hint="eastAsia"/>
          <w:color w:val="0432FF"/>
          <w:kern w:val="0"/>
          <w:sz w:val="20"/>
          <w:szCs w:val="20"/>
          <w14:ligatures w14:val="none"/>
        </w:rPr>
        <w:t>고 보고되고 있다</w:t>
      </w:r>
      <w:r w:rsidRPr="00E974DE">
        <w:rPr>
          <w:rFonts w:asciiTheme="minorEastAsia" w:hAnsiTheme="minorEastAsia" w:cs="Batang" w:hint="eastAsia"/>
          <w:color w:val="0432FF"/>
          <w:kern w:val="0"/>
          <w:sz w:val="20"/>
          <w:szCs w:val="20"/>
          <w14:ligatures w14:val="none"/>
        </w:rPr>
        <w:t>. 아울러 비강 및 경피 투여와 같은 새로운 약물 전달 방식은 아직 상용화 단계에 이르지는 않았으나, 향후 중증 정신질환 환자에서 치료 옵션을 확장할 수 있는 잠재적 대안으로 주목받고 있다. 결국 클로자핀 투여 경로의 다양화는 단순한 제형의 문제가 아니라, 복약 거부, 신체적 제약, 약물 순응도 문제 등으로 인해 기존 치료가 어려운 환자들에게 보다 개별화된 치료 전략을 제공한다는 점에서 중요한 임상적 의미를 가진다.</w:t>
      </w:r>
      <w:r>
        <w:rPr>
          <w:rFonts w:asciiTheme="minorEastAsia" w:hAnsiTheme="minorEastAsia" w:cs="Batang"/>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물론 비</w:t>
      </w:r>
      <w:r w:rsidRPr="00F02CD4">
        <w:rPr>
          <w:rFonts w:asciiTheme="minorEastAsia" w:hAnsiTheme="minorEastAsia" w:cs="Batang" w:hint="eastAsia"/>
          <w:color w:val="0432FF"/>
          <w:kern w:val="0"/>
          <w:sz w:val="20"/>
          <w:szCs w:val="20"/>
          <w14:ligatures w14:val="none"/>
        </w:rPr>
        <w:t>허가 제형(off-label formulation, 예: 근육주사) 또는 허가된 제형을 비허가 경로로 사용하는 경우(예: 정제를 분쇄하거나 장관 영양관을 통해 투여하는 경우)</w:t>
      </w:r>
      <w:r>
        <w:rPr>
          <w:rFonts w:asciiTheme="minorEastAsia" w:hAnsiTheme="minorEastAsia" w:cs="Batang"/>
          <w:color w:val="0432FF"/>
          <w:kern w:val="0"/>
          <w:sz w:val="20"/>
          <w:szCs w:val="20"/>
          <w14:ligatures w14:val="none"/>
        </w:rPr>
        <w:t xml:space="preserve"> </w:t>
      </w:r>
      <w:r>
        <w:rPr>
          <w:rFonts w:asciiTheme="minorEastAsia" w:hAnsiTheme="minorEastAsia" w:cs="Batang" w:hint="eastAsia"/>
          <w:color w:val="0432FF"/>
          <w:kern w:val="0"/>
          <w:sz w:val="20"/>
          <w:szCs w:val="20"/>
          <w14:ligatures w14:val="none"/>
        </w:rPr>
        <w:t>경우</w:t>
      </w:r>
      <w:r w:rsidRPr="00F02CD4">
        <w:rPr>
          <w:rFonts w:asciiTheme="minorEastAsia" w:hAnsiTheme="minorEastAsia" w:cs="Batang" w:hint="eastAsia"/>
          <w:color w:val="0432FF"/>
          <w:kern w:val="0"/>
          <w:sz w:val="20"/>
          <w:szCs w:val="20"/>
          <w14:ligatures w14:val="none"/>
        </w:rPr>
        <w:t>에는, 해당 치료 및 투여 경로 선택의 치료의 정당성과 윤리적 타당성을 확보하</w:t>
      </w:r>
      <w:r>
        <w:rPr>
          <w:rFonts w:asciiTheme="minorEastAsia" w:hAnsiTheme="minorEastAsia" w:cs="Batang" w:hint="eastAsia"/>
          <w:color w:val="0432FF"/>
          <w:kern w:val="0"/>
          <w:sz w:val="20"/>
          <w:szCs w:val="20"/>
          <w14:ligatures w14:val="none"/>
        </w:rPr>
        <w:t xml:space="preserve">는 노력을 병행하는 것이 </w:t>
      </w:r>
      <w:r w:rsidRPr="00F02CD4">
        <w:rPr>
          <w:rFonts w:asciiTheme="minorEastAsia" w:hAnsiTheme="minorEastAsia" w:cs="Batang" w:hint="eastAsia"/>
          <w:color w:val="0432FF"/>
          <w:kern w:val="0"/>
          <w:sz w:val="20"/>
          <w:szCs w:val="20"/>
          <w14:ligatures w14:val="none"/>
        </w:rPr>
        <w:t>필요하다.</w:t>
      </w:r>
      <w:r w:rsidRPr="00F02CD4">
        <w:rPr>
          <w:rFonts w:asciiTheme="minorEastAsia" w:hAnsiTheme="minorEastAsia" w:cs="Batang"/>
          <w:color w:val="0432FF"/>
          <w:kern w:val="0"/>
          <w:sz w:val="20"/>
          <w:szCs w:val="20"/>
          <w14:ligatures w14:val="none"/>
        </w:rPr>
        <w:t xml:space="preserve"> </w:t>
      </w:r>
      <w:r>
        <w:rPr>
          <w:rFonts w:asciiTheme="minorEastAsia" w:hAnsiTheme="minorEastAsia" w:cs="Batang"/>
          <w:color w:val="0432FF"/>
          <w:kern w:val="0"/>
          <w:sz w:val="20"/>
          <w:szCs w:val="20"/>
          <w14:ligatures w14:val="none"/>
        </w:rPr>
        <w:t>(</w:t>
      </w:r>
      <w:r w:rsidRPr="00F02CD4">
        <w:rPr>
          <w:rFonts w:asciiTheme="minorEastAsia" w:hAnsiTheme="minorEastAsia" w:cs="Batang"/>
          <w:color w:val="0432FF"/>
          <w:kern w:val="0"/>
          <w:sz w:val="20"/>
          <w:szCs w:val="20"/>
          <w14:ligatures w14:val="none"/>
        </w:rPr>
        <w:t>(</w:t>
      </w:r>
      <w:r w:rsidRPr="00C427C4">
        <w:rPr>
          <w:rFonts w:asciiTheme="minorEastAsia" w:hAnsiTheme="minorEastAsia" w:cs="Batang"/>
          <w:color w:val="7030A0"/>
          <w:kern w:val="0"/>
          <w:sz w:val="20"/>
          <w:szCs w:val="20"/>
          <w14:ligatures w14:val="none"/>
        </w:rPr>
        <w:t>Munzar B, Nemets B. Clinical experience with intramuscular clozapine. Cureus. 2021 Sep 25;13(9):</w:t>
      </w:r>
      <w:r w:rsidRPr="00C427C4">
        <w:rPr>
          <w:rFonts w:asciiTheme="minorEastAsia" w:hAnsiTheme="minorEastAsia" w:cs="Segoe UI"/>
          <w:color w:val="7030A0"/>
          <w:sz w:val="20"/>
          <w:szCs w:val="20"/>
          <w:shd w:val="clear" w:color="auto" w:fill="FFFFFF"/>
        </w:rPr>
        <w:t xml:space="preserve"> e18267</w:t>
      </w:r>
      <w:r>
        <w:rPr>
          <w:rFonts w:asciiTheme="minorEastAsia" w:hAnsiTheme="minorEastAsia" w:cs="Segoe UI"/>
          <w:color w:val="7030A0"/>
          <w:sz w:val="20"/>
          <w:szCs w:val="20"/>
          <w:shd w:val="clear" w:color="auto" w:fill="FFFFFF"/>
        </w:rPr>
        <w:t xml:space="preserve">; </w:t>
      </w:r>
      <w:r w:rsidRPr="00F02CD4">
        <w:rPr>
          <w:rFonts w:asciiTheme="minorEastAsia" w:hAnsiTheme="minorEastAsia" w:cs="Batang"/>
          <w:color w:val="7030A0"/>
          <w:kern w:val="0"/>
          <w:sz w:val="20"/>
          <w:szCs w:val="20"/>
          <w14:ligatures w14:val="none"/>
        </w:rPr>
        <w:t>Gee &amp; Taylor, 2022</w:t>
      </w:r>
      <w:r>
        <w:rPr>
          <w:rFonts w:asciiTheme="minorEastAsia" w:hAnsiTheme="minorEastAsia" w:cs="Batang"/>
          <w:color w:val="0432FF"/>
          <w:kern w:val="0"/>
          <w:sz w:val="20"/>
          <w:szCs w:val="20"/>
          <w14:ligatures w14:val="none"/>
        </w:rPr>
        <w:t xml:space="preserve">; </w:t>
      </w:r>
      <w:r w:rsidRPr="00E974DE">
        <w:rPr>
          <w:rFonts w:asciiTheme="minorEastAsia" w:hAnsiTheme="minorEastAsia" w:cs="Batang"/>
          <w:color w:val="7030A0"/>
          <w:kern w:val="0"/>
          <w:sz w:val="20"/>
          <w:szCs w:val="20"/>
          <w14:ligatures w14:val="none"/>
        </w:rPr>
        <w:t>Gee S, Taylor D. Alternative routes of administration of clozapine. CNS drugs. 2022 Feb;36(2):105-11</w:t>
      </w:r>
      <w:r>
        <w:rPr>
          <w:rFonts w:asciiTheme="minorEastAsia" w:hAnsiTheme="minorEastAsia" w:cs="Batang"/>
          <w:color w:val="0432FF"/>
          <w:kern w:val="0"/>
          <w:sz w:val="20"/>
          <w:szCs w:val="20"/>
          <w14:ligatures w14:val="none"/>
        </w:rPr>
        <w:t>)</w:t>
      </w:r>
    </w:p>
    <w:p w14:paraId="06B0C523" w14:textId="77777777" w:rsidR="0009494F" w:rsidRDefault="0009494F" w:rsidP="0009494F">
      <w:pPr>
        <w:jc w:val="both"/>
        <w:rPr>
          <w:rFonts w:asciiTheme="minorEastAsia" w:hAnsiTheme="minorEastAsia" w:cs="Batang"/>
          <w:color w:val="0432FF"/>
          <w:kern w:val="0"/>
          <w:sz w:val="20"/>
          <w:szCs w:val="20"/>
          <w14:ligatures w14:val="none"/>
        </w:rPr>
      </w:pPr>
    </w:p>
    <w:p w14:paraId="468790D4" w14:textId="77777777" w:rsidR="0009494F" w:rsidRPr="00F02CD4" w:rsidRDefault="0009494F" w:rsidP="0009494F">
      <w:pPr>
        <w:jc w:val="both"/>
        <w:rPr>
          <w:rFonts w:asciiTheme="minorEastAsia" w:hAnsiTheme="minorEastAsia" w:cs="Batang"/>
          <w:color w:val="0432FF"/>
          <w:kern w:val="0"/>
          <w:sz w:val="20"/>
          <w:szCs w:val="20"/>
          <w14:ligatures w14:val="none"/>
        </w:rPr>
      </w:pPr>
      <w:r w:rsidRPr="00F02CD4">
        <w:rPr>
          <w:rFonts w:asciiTheme="minorEastAsia" w:hAnsiTheme="minorEastAsia" w:cs="Batang"/>
          <w:color w:val="0432FF"/>
          <w:kern w:val="0"/>
          <w:sz w:val="20"/>
          <w:szCs w:val="20"/>
          <w14:ligatures w14:val="none"/>
        </w:rPr>
        <w:t>Clozapine has been utilized not only in treatment-resistant schizophrenia but also as an important therapeutic option in refractory bipolar disorder, patients at high risk of recurrent suicidality, and certain populations characterized by prominent aggression or impulsivity. However, despite more than six decades since its discovery and the development of numerous antipsychotics aimed at replicating its efficacy, no agent has demonstrated comparable clinical effectiveness. This unique property has led to a persistent and strong impetus to enable the use of clozapine even in clinically challenging situations.</w:t>
      </w:r>
    </w:p>
    <w:p w14:paraId="59CBE8EF" w14:textId="77777777" w:rsidR="0009494F" w:rsidRPr="00F02CD4" w:rsidRDefault="0009494F" w:rsidP="0009494F">
      <w:pPr>
        <w:jc w:val="both"/>
        <w:rPr>
          <w:rFonts w:asciiTheme="minorEastAsia" w:hAnsiTheme="minorEastAsia" w:cs="Batang"/>
          <w:color w:val="0432FF"/>
          <w:kern w:val="0"/>
          <w:sz w:val="20"/>
          <w:szCs w:val="20"/>
          <w14:ligatures w14:val="none"/>
        </w:rPr>
      </w:pPr>
    </w:p>
    <w:p w14:paraId="7EB40372" w14:textId="77777777" w:rsidR="0009494F" w:rsidRPr="00811EE5" w:rsidRDefault="0009494F" w:rsidP="0009494F">
      <w:pPr>
        <w:jc w:val="both"/>
        <w:rPr>
          <w:rFonts w:asciiTheme="minorEastAsia" w:hAnsiTheme="minorEastAsia" w:cs="Batang"/>
          <w:color w:val="0432FF"/>
          <w:kern w:val="0"/>
          <w:sz w:val="20"/>
          <w:szCs w:val="20"/>
          <w14:ligatures w14:val="none"/>
        </w:rPr>
      </w:pPr>
      <w:r w:rsidRPr="00811EE5">
        <w:rPr>
          <w:rFonts w:asciiTheme="minorEastAsia" w:hAnsiTheme="minorEastAsia" w:cs="Batang"/>
          <w:color w:val="0432FF"/>
          <w:kern w:val="0"/>
          <w:sz w:val="20"/>
          <w:szCs w:val="20"/>
          <w14:ligatures w14:val="none"/>
        </w:rPr>
        <w:t>Reflecting this clinical need, orally disintegrating tablet formulations may be used in patients with dysphagia or difficulty adhering to conventional oral regimens, including those with covert non-</w:t>
      </w:r>
      <w:r w:rsidRPr="00811EE5">
        <w:rPr>
          <w:rFonts w:asciiTheme="minorEastAsia" w:hAnsiTheme="minorEastAsia" w:cs="Batang"/>
          <w:color w:val="0432FF"/>
          <w:kern w:val="0"/>
          <w:sz w:val="20"/>
          <w:szCs w:val="20"/>
          <w14:ligatures w14:val="none"/>
        </w:rPr>
        <w:lastRenderedPageBreak/>
        <w:t>adherence. Liquid or suspension formulations further allow flexible dose titration, enabling more individualized therapeutic approaches. In cases where oral administration is not feasible, particularly in high-risk patients presenting with severe agitation or aggression, enteral administration or the recently reintroduced intramuscular (IM) formulation may serve as important alternative routes. Footnote: Intramuscular clozapine was available in Europe and Israel in the early 1990s but was withdrawn in 2005 for commercial reasons, after which access was limited to compounded preparations. More recently, it has been reintroduced by manufacturers such as Apotheek A15 (the Netherlands) and El Saad Pharma (Syria), with increasing clinical experience reported particularly in the UK and the Netherlands (Munzar &amp; Nemets, 2021; Gee &amp; Taylor, 2022).</w:t>
      </w:r>
    </w:p>
    <w:p w14:paraId="5AF51876" w14:textId="77777777" w:rsidR="0009494F" w:rsidRPr="00811EE5" w:rsidRDefault="0009494F" w:rsidP="0009494F">
      <w:pPr>
        <w:jc w:val="both"/>
        <w:rPr>
          <w:rFonts w:asciiTheme="minorEastAsia" w:hAnsiTheme="minorEastAsia" w:cs="Batang"/>
          <w:color w:val="0432FF"/>
          <w:kern w:val="0"/>
          <w:sz w:val="20"/>
          <w:szCs w:val="20"/>
          <w14:ligatures w14:val="none"/>
        </w:rPr>
      </w:pPr>
    </w:p>
    <w:p w14:paraId="07B83DDD" w14:textId="77777777" w:rsidR="0009494F" w:rsidRPr="00811EE5" w:rsidRDefault="0009494F" w:rsidP="0009494F">
      <w:pPr>
        <w:jc w:val="both"/>
        <w:rPr>
          <w:rFonts w:asciiTheme="minorEastAsia" w:hAnsiTheme="minorEastAsia" w:cs="Batang"/>
          <w:color w:val="0432FF"/>
          <w:kern w:val="0"/>
          <w:sz w:val="20"/>
          <w:szCs w:val="20"/>
          <w14:ligatures w14:val="none"/>
        </w:rPr>
      </w:pPr>
      <w:r w:rsidRPr="00D13750">
        <w:rPr>
          <w:rFonts w:asciiTheme="minorEastAsia" w:hAnsiTheme="minorEastAsia" w:cs="Batang"/>
          <w:color w:val="0432FF"/>
          <w:kern w:val="0"/>
          <w:sz w:val="20"/>
          <w:szCs w:val="20"/>
          <w14:ligatures w14:val="none"/>
        </w:rPr>
        <w:t>According to available reports</w:t>
      </w:r>
      <w:r>
        <w:rPr>
          <w:rFonts w:asciiTheme="minorEastAsia" w:hAnsiTheme="minorEastAsia" w:cs="Batang"/>
          <w:color w:val="0432FF"/>
          <w:kern w:val="0"/>
          <w:sz w:val="20"/>
          <w:szCs w:val="20"/>
          <w14:ligatures w14:val="none"/>
        </w:rPr>
        <w:t xml:space="preserve"> (</w:t>
      </w:r>
      <w:r w:rsidRPr="00E044C4">
        <w:rPr>
          <w:rFonts w:asciiTheme="minorEastAsia" w:hAnsiTheme="minorEastAsia" w:cs="Batang"/>
          <w:color w:val="7030A0"/>
          <w:kern w:val="0"/>
          <w:sz w:val="20"/>
          <w:szCs w:val="20"/>
          <w14:ligatures w14:val="none"/>
        </w:rPr>
        <w:t>Munzar &amp; Nemets, 2021; S. H. Gee, S. S. Shergill, and D. M. Taylor, “Patient Attitudes to Clozapine Initiation,” International Clinical Psychopharmacology 32 (2017): 337-342; M. I. Jakobsen, S. F. Austin, O. J. Storebo, et al., “Perspectives of Clozapine-­Naïve Outpatients With Treatment-­Resistant Schizophrenia on Clozapine Commencement: A Mixed-­Methods Convergent Study,” BMJ Open 15 (2025): 18; M. I. Jakobsen and J. Nielsen, “Clozapine Acceptance and Refusal Rates for Inpatients vs. Outpatients With Schizophrenia – Secondary Analyses of Real-­World Data From a Danish Quality Assurance and Improvement Audit,” Nordic Journal of Psychiatry 79</w:t>
      </w:r>
      <w:r w:rsidRPr="00E044C4">
        <w:rPr>
          <w:color w:val="7030A0"/>
        </w:rPr>
        <w:t xml:space="preserve"> </w:t>
      </w:r>
      <w:r w:rsidRPr="00E044C4">
        <w:rPr>
          <w:rFonts w:asciiTheme="minorEastAsia" w:hAnsiTheme="minorEastAsia" w:cs="Batang"/>
          <w:color w:val="7030A0"/>
          <w:kern w:val="0"/>
          <w:sz w:val="20"/>
          <w:szCs w:val="20"/>
          <w14:ligatures w14:val="none"/>
        </w:rPr>
        <w:t>(2025): 321-323</w:t>
      </w:r>
      <w:r>
        <w:rPr>
          <w:rFonts w:asciiTheme="minorEastAsia" w:hAnsiTheme="minorEastAsia" w:cs="Batang"/>
          <w:color w:val="0432FF"/>
          <w:kern w:val="0"/>
          <w:sz w:val="20"/>
          <w:szCs w:val="20"/>
          <w14:ligatures w14:val="none"/>
        </w:rPr>
        <w:t>)</w:t>
      </w:r>
      <w:r w:rsidRPr="00D13750">
        <w:rPr>
          <w:rFonts w:asciiTheme="minorEastAsia" w:hAnsiTheme="minorEastAsia" w:cs="Batang"/>
          <w:color w:val="0432FF"/>
          <w:kern w:val="0"/>
          <w:sz w:val="20"/>
          <w:szCs w:val="20"/>
          <w14:ligatures w14:val="none"/>
        </w:rPr>
        <w:t>, the use of intramuscular (IM) clozapine may facilitate successful transition to oral clozapine in the majority of patients. By enabling treatment initiation in situations where coercive measures are unavoidable, it may minimize treatment interruption and support subsequent transition to stable oral therapy, thereby contributing to improved long-term outcomes</w:t>
      </w:r>
      <w:r w:rsidRPr="00811EE5">
        <w:rPr>
          <w:rFonts w:asciiTheme="minorEastAsia" w:hAnsiTheme="minorEastAsia" w:cs="Batang"/>
          <w:color w:val="0432FF"/>
          <w:kern w:val="0"/>
          <w:sz w:val="20"/>
          <w:szCs w:val="20"/>
          <w14:ligatures w14:val="none"/>
        </w:rPr>
        <w:t>.</w:t>
      </w:r>
    </w:p>
    <w:p w14:paraId="4229F657" w14:textId="77777777" w:rsidR="0009494F" w:rsidRPr="00F02CD4" w:rsidRDefault="0009494F" w:rsidP="0009494F">
      <w:pPr>
        <w:jc w:val="both"/>
        <w:rPr>
          <w:rFonts w:asciiTheme="minorEastAsia" w:hAnsiTheme="minorEastAsia" w:cs="Batang"/>
          <w:color w:val="0432FF"/>
          <w:kern w:val="0"/>
          <w:sz w:val="20"/>
          <w:szCs w:val="20"/>
          <w14:ligatures w14:val="none"/>
        </w:rPr>
      </w:pPr>
      <w:r w:rsidRPr="00F02CD4">
        <w:rPr>
          <w:rFonts w:asciiTheme="minorEastAsia" w:hAnsiTheme="minorEastAsia" w:cs="Batang"/>
          <w:color w:val="0432FF"/>
          <w:kern w:val="0"/>
          <w:sz w:val="20"/>
          <w:szCs w:val="20"/>
          <w14:ligatures w14:val="none"/>
        </w:rPr>
        <w:t>In addition, emerging delivery methods such as intranasal or transdermal administration, although not yet widely implemented in clinical practice, are being explored as potential options to expand treatment strategies for patients with severe psychiatric disorders. Ultimately, diversification of clozapine administration routes extends beyond a formulation issue and represents a critical strategy for delivering individualized care to patients in whom conventional treatment is limited by non-adherence, physical constraints, or other clinical barriers.</w:t>
      </w:r>
    </w:p>
    <w:p w14:paraId="5EDC4424" w14:textId="77777777" w:rsidR="0009494F" w:rsidRPr="00F02CD4" w:rsidRDefault="0009494F" w:rsidP="0009494F">
      <w:pPr>
        <w:jc w:val="both"/>
        <w:rPr>
          <w:rFonts w:asciiTheme="minorEastAsia" w:hAnsiTheme="minorEastAsia" w:cs="Batang"/>
          <w:color w:val="0432FF"/>
          <w:kern w:val="0"/>
          <w:sz w:val="20"/>
          <w:szCs w:val="20"/>
          <w14:ligatures w14:val="none"/>
        </w:rPr>
      </w:pPr>
      <w:r w:rsidRPr="00F02CD4">
        <w:rPr>
          <w:rFonts w:asciiTheme="minorEastAsia" w:hAnsiTheme="minorEastAsia" w:cs="Batang"/>
          <w:color w:val="0432FF"/>
          <w:kern w:val="0"/>
          <w:sz w:val="20"/>
          <w:szCs w:val="20"/>
          <w14:ligatures w14:val="none"/>
        </w:rPr>
        <w:t xml:space="preserve">However, the use of off-label formulations (e.g., intramuscular administration) or licensed formulations via unlicensed routes (e.g., crushing tablets or administering via enteral feeding tubes) requires clear documentation of the clinical rationale for both the treatment and the route of administration, and </w:t>
      </w:r>
      <w:r w:rsidRPr="00F02CD4">
        <w:rPr>
          <w:rFonts w:asciiTheme="minorEastAsia" w:hAnsiTheme="minorEastAsia" w:cs="Batang"/>
          <w:color w:val="0432FF"/>
          <w:kern w:val="0"/>
          <w:sz w:val="20"/>
          <w:szCs w:val="20"/>
          <w14:ligatures w14:val="none"/>
        </w:rPr>
        <w:lastRenderedPageBreak/>
        <w:t xml:space="preserve">should be accompanied by efforts to ensure ethical justification and transparency, including explanation to the patient and/or their next of kin whenever possible </w:t>
      </w:r>
      <w:r w:rsidRPr="006F6E66">
        <w:rPr>
          <w:rFonts w:asciiTheme="minorEastAsia" w:hAnsiTheme="minorEastAsia" w:cs="Batang"/>
          <w:color w:val="0432FF"/>
          <w:kern w:val="0"/>
          <w:sz w:val="20"/>
          <w:szCs w:val="20"/>
          <w14:ligatures w14:val="none"/>
        </w:rPr>
        <w:t xml:space="preserve"> (</w:t>
      </w:r>
      <w:r w:rsidRPr="00C427C4">
        <w:rPr>
          <w:rFonts w:asciiTheme="minorEastAsia" w:hAnsiTheme="minorEastAsia" w:cs="Batang"/>
          <w:color w:val="7030A0"/>
          <w:kern w:val="0"/>
          <w:sz w:val="20"/>
          <w:szCs w:val="20"/>
          <w14:ligatures w14:val="none"/>
        </w:rPr>
        <w:t>Munzar B, Nemets B. Clinical experience with intramuscular clozapine. Cureus. 2021 Sep 25;13(9):</w:t>
      </w:r>
      <w:r w:rsidRPr="00C427C4">
        <w:rPr>
          <w:rFonts w:asciiTheme="minorEastAsia" w:hAnsiTheme="minorEastAsia" w:cs="Segoe UI"/>
          <w:color w:val="7030A0"/>
          <w:sz w:val="20"/>
          <w:szCs w:val="20"/>
          <w:shd w:val="clear" w:color="auto" w:fill="FFFFFF"/>
        </w:rPr>
        <w:t xml:space="preserve"> e18267;</w:t>
      </w:r>
      <w:r w:rsidRPr="00C427C4">
        <w:rPr>
          <w:rFonts w:ascii="Segoe UI" w:hAnsi="Segoe UI" w:cs="Segoe UI"/>
          <w:color w:val="7030A0"/>
          <w:shd w:val="clear" w:color="auto" w:fill="FFFFFF"/>
        </w:rPr>
        <w:t xml:space="preserve"> </w:t>
      </w:r>
      <w:r w:rsidRPr="00C427C4">
        <w:rPr>
          <w:rFonts w:asciiTheme="minorEastAsia" w:hAnsiTheme="minorEastAsia" w:cs="Batang"/>
          <w:color w:val="7030A0"/>
          <w:kern w:val="0"/>
          <w:sz w:val="20"/>
          <w:szCs w:val="20"/>
          <w14:ligatures w14:val="none"/>
        </w:rPr>
        <w:t>Gee S, Taylor D. Alternative routes of administration of clozapine. CNS Drugs. 2022;36(2):105–11</w:t>
      </w:r>
      <w:r w:rsidRPr="006F6E66">
        <w:rPr>
          <w:rFonts w:asciiTheme="minorEastAsia" w:hAnsiTheme="minorEastAsia" w:cs="Batang"/>
          <w:color w:val="0432FF"/>
          <w:kern w:val="0"/>
          <w:sz w:val="20"/>
          <w:szCs w:val="20"/>
          <w14:ligatures w14:val="none"/>
        </w:rPr>
        <w:t>)</w:t>
      </w:r>
    </w:p>
    <w:p w14:paraId="432EFF6E" w14:textId="77777777" w:rsidR="0009494F" w:rsidRDefault="0009494F" w:rsidP="0009494F">
      <w:pPr>
        <w:jc w:val="both"/>
        <w:rPr>
          <w:rFonts w:asciiTheme="minorEastAsia" w:hAnsiTheme="minorEastAsia" w:cs="Batang"/>
          <w:color w:val="0432FF"/>
          <w:kern w:val="0"/>
          <w:sz w:val="20"/>
          <w:szCs w:val="20"/>
          <w14:ligatures w14:val="none"/>
        </w:rPr>
      </w:pPr>
      <w:r w:rsidRPr="00E10B7B">
        <w:rPr>
          <w:rFonts w:asciiTheme="minorEastAsia" w:hAnsiTheme="minorEastAsia" w:cs="Batang" w:hint="eastAsia"/>
          <w:color w:val="0432FF"/>
          <w:kern w:val="0"/>
          <w:sz w:val="20"/>
          <w:szCs w:val="20"/>
          <w14:ligatures w14:val="none"/>
        </w:rPr>
        <w:t xml:space="preserve">이러한 </w:t>
      </w:r>
      <w:r>
        <w:rPr>
          <w:rFonts w:asciiTheme="minorEastAsia" w:hAnsiTheme="minorEastAsia" w:cs="Batang" w:hint="eastAsia"/>
          <w:color w:val="0432FF"/>
          <w:kern w:val="0"/>
          <w:sz w:val="20"/>
          <w:szCs w:val="20"/>
          <w14:ligatures w14:val="none"/>
        </w:rPr>
        <w:t>배경</w:t>
      </w:r>
      <w:r w:rsidRPr="00E10B7B">
        <w:rPr>
          <w:rFonts w:asciiTheme="minorEastAsia" w:hAnsiTheme="minorEastAsia" w:cs="Batang" w:hint="eastAsia"/>
          <w:color w:val="0432FF"/>
          <w:kern w:val="0"/>
          <w:sz w:val="20"/>
          <w:szCs w:val="20"/>
          <w14:ligatures w14:val="none"/>
        </w:rPr>
        <w:t xml:space="preserve">에서 </w:t>
      </w:r>
      <w:r w:rsidRPr="00FD453D">
        <w:rPr>
          <w:rFonts w:asciiTheme="minorEastAsia" w:hAnsiTheme="minorEastAsia" w:cs="Batang" w:hint="eastAsia"/>
          <w:color w:val="0432FF"/>
          <w:kern w:val="0"/>
          <w:sz w:val="20"/>
          <w:szCs w:val="20"/>
          <w14:ligatures w14:val="none"/>
        </w:rPr>
        <w:t xml:space="preserve">Verdoux 등(2026)은 </w:t>
      </w:r>
      <w:r w:rsidRPr="00E10B7B">
        <w:rPr>
          <w:rFonts w:asciiTheme="minorEastAsia" w:hAnsiTheme="minorEastAsia" w:cs="Batang" w:hint="eastAsia"/>
          <w:color w:val="0432FF"/>
          <w:kern w:val="0"/>
          <w:sz w:val="20"/>
          <w:szCs w:val="20"/>
          <w14:ligatures w14:val="none"/>
        </w:rPr>
        <w:t>다른 치료로 충분히 조절되지 않는 중증 상태에서</w:t>
      </w:r>
      <w:r w:rsidRPr="00FD453D">
        <w:rPr>
          <w:rFonts w:asciiTheme="minorEastAsia" w:hAnsiTheme="minorEastAsia" w:cs="Batang" w:hint="eastAsia"/>
          <w:color w:val="0432FF"/>
          <w:kern w:val="0"/>
          <w:sz w:val="20"/>
          <w:szCs w:val="20"/>
          <w14:ligatures w14:val="none"/>
        </w:rPr>
        <w:t xml:space="preserve"> ‘Involuntary Clozapine Treatment’</w:t>
      </w:r>
      <w:r>
        <w:rPr>
          <w:rFonts w:asciiTheme="minorEastAsia" w:hAnsiTheme="minorEastAsia" w:cs="Batang" w:hint="eastAsia"/>
          <w:color w:val="0432FF"/>
          <w:kern w:val="0"/>
          <w:sz w:val="20"/>
          <w:szCs w:val="20"/>
          <w14:ligatures w14:val="none"/>
        </w:rPr>
        <w:t>를 제시하고 있다.</w:t>
      </w:r>
      <w:r>
        <w:rPr>
          <w:rFonts w:asciiTheme="minorEastAsia" w:hAnsiTheme="minorEastAsia" w:cs="Batang"/>
          <w:color w:val="0432FF"/>
          <w:kern w:val="0"/>
          <w:sz w:val="20"/>
          <w:szCs w:val="20"/>
          <w14:ligatures w14:val="none"/>
        </w:rPr>
        <w:t xml:space="preserve"> </w:t>
      </w:r>
      <w:r w:rsidRPr="00E10B7B">
        <w:rPr>
          <w:rFonts w:asciiTheme="minorEastAsia" w:hAnsiTheme="minorEastAsia" w:cs="Batang" w:hint="eastAsia"/>
          <w:color w:val="0432FF"/>
          <w:kern w:val="0"/>
          <w:sz w:val="20"/>
          <w:szCs w:val="20"/>
          <w14:ligatures w14:val="none"/>
        </w:rPr>
        <w:t>치료 저항성 정신병 증상으로 인한 병식 결여 또는 치료에 대한 망상적 믿음 등으로 인해 적절한 의사결정 능력이 손상된 상태</w:t>
      </w:r>
      <w:r>
        <w:rPr>
          <w:rFonts w:asciiTheme="minorEastAsia" w:hAnsiTheme="minorEastAsia" w:cs="Batang" w:hint="eastAsia"/>
          <w:color w:val="0432FF"/>
          <w:kern w:val="0"/>
          <w:sz w:val="20"/>
          <w:szCs w:val="20"/>
          <w14:ligatures w14:val="none"/>
        </w:rPr>
        <w:t xml:space="preserve">에서 </w:t>
      </w:r>
      <w:r w:rsidRPr="00E10B7B">
        <w:rPr>
          <w:rFonts w:asciiTheme="minorEastAsia" w:hAnsiTheme="minorEastAsia" w:cs="Batang" w:hint="eastAsia"/>
          <w:color w:val="0432FF"/>
          <w:kern w:val="0"/>
          <w:sz w:val="20"/>
          <w:szCs w:val="20"/>
          <w14:ligatures w14:val="none"/>
        </w:rPr>
        <w:t>만성적 공격성, 자살 경향, 자해, 자기 방임 또는 식사 거부와 같은 고위험 행동을 보</w:t>
      </w:r>
      <w:r>
        <w:rPr>
          <w:rFonts w:asciiTheme="minorEastAsia" w:hAnsiTheme="minorEastAsia" w:cs="Batang" w:hint="eastAsia"/>
          <w:color w:val="0432FF"/>
          <w:kern w:val="0"/>
          <w:sz w:val="20"/>
          <w:szCs w:val="20"/>
          <w14:ligatures w14:val="none"/>
        </w:rPr>
        <w:t xml:space="preserve">이고 이로 인하여 </w:t>
      </w:r>
      <w:r w:rsidRPr="00E10B7B">
        <w:rPr>
          <w:rFonts w:asciiTheme="minorEastAsia" w:hAnsiTheme="minorEastAsia" w:cs="Batang" w:hint="eastAsia"/>
          <w:color w:val="0432FF"/>
          <w:kern w:val="0"/>
          <w:sz w:val="20"/>
          <w:szCs w:val="20"/>
          <w14:ligatures w14:val="none"/>
        </w:rPr>
        <w:t>반복적 또는 장기간의 격리 및 신체적 강박의 병력이 흔히 동반되</w:t>
      </w:r>
      <w:r>
        <w:rPr>
          <w:rFonts w:asciiTheme="minorEastAsia" w:hAnsiTheme="minorEastAsia" w:cs="Batang" w:hint="eastAsia"/>
          <w:color w:val="0432FF"/>
          <w:kern w:val="0"/>
          <w:sz w:val="20"/>
          <w:szCs w:val="20"/>
          <w14:ligatures w14:val="none"/>
        </w:rPr>
        <w:t xml:space="preserve">는 환자들이 </w:t>
      </w:r>
      <w:r w:rsidRPr="00E10B7B">
        <w:rPr>
          <w:rFonts w:asciiTheme="minorEastAsia" w:hAnsiTheme="minorEastAsia" w:cs="Batang" w:hint="eastAsia"/>
          <w:color w:val="0432FF"/>
          <w:kern w:val="0"/>
          <w:sz w:val="20"/>
          <w:szCs w:val="20"/>
          <w14:ligatures w14:val="none"/>
        </w:rPr>
        <w:t>경구 clozapine의 시작, 재시작 또는 지속을 환자가 거부하는 상황에서 고려되었</w:t>
      </w:r>
      <w:r>
        <w:rPr>
          <w:rFonts w:asciiTheme="minorEastAsia" w:hAnsiTheme="minorEastAsia" w:cs="Batang" w:hint="eastAsia"/>
          <w:color w:val="0432FF"/>
          <w:kern w:val="0"/>
          <w:sz w:val="20"/>
          <w:szCs w:val="20"/>
          <w14:ligatures w14:val="none"/>
        </w:rPr>
        <w:t>다</w:t>
      </w:r>
      <w:r w:rsidRPr="00E10B7B">
        <w:rPr>
          <w:rFonts w:asciiTheme="minorEastAsia" w:hAnsiTheme="minorEastAsia" w:cs="Batang" w:hint="eastAsia"/>
          <w:color w:val="0432FF"/>
          <w:kern w:val="0"/>
          <w:sz w:val="20"/>
          <w:szCs w:val="20"/>
          <w14:ligatures w14:val="none"/>
        </w:rPr>
        <w:t xml:space="preserve">[11]. </w:t>
      </w:r>
      <w:r>
        <w:rPr>
          <w:rFonts w:asciiTheme="minorEastAsia" w:hAnsiTheme="minorEastAsia" w:cs="Batang" w:hint="eastAsia"/>
          <w:color w:val="0432FF"/>
          <w:kern w:val="0"/>
          <w:sz w:val="20"/>
          <w:szCs w:val="20"/>
          <w14:ligatures w14:val="none"/>
        </w:rPr>
        <w:t xml:space="preserve">그 결과로 </w:t>
      </w:r>
      <w:r w:rsidRPr="00BA124C">
        <w:rPr>
          <w:rFonts w:asciiTheme="minorEastAsia" w:hAnsiTheme="minorEastAsia" w:cs="Batang" w:hint="eastAsia"/>
          <w:color w:val="0432FF"/>
          <w:kern w:val="0"/>
          <w:sz w:val="20"/>
          <w:szCs w:val="20"/>
          <w14:ligatures w14:val="none"/>
        </w:rPr>
        <w:t>비자발적 치료를 받은 환자들은 공격성이 크게 줄어들고 증상이 호전되</w:t>
      </w:r>
      <w:r>
        <w:rPr>
          <w:rFonts w:asciiTheme="minorEastAsia" w:hAnsiTheme="minorEastAsia" w:cs="Batang" w:hint="eastAsia"/>
          <w:color w:val="0432FF"/>
          <w:kern w:val="0"/>
          <w:sz w:val="20"/>
          <w:szCs w:val="20"/>
          <w14:ligatures w14:val="none"/>
        </w:rPr>
        <w:t>었고</w:t>
      </w:r>
      <w:r w:rsidRPr="00BA124C">
        <w:rPr>
          <w:rFonts w:asciiTheme="minorEastAsia" w:hAnsiTheme="minorEastAsia" w:cs="Batang" w:hint="eastAsia"/>
          <w:color w:val="0432FF"/>
          <w:kern w:val="0"/>
          <w:sz w:val="20"/>
          <w:szCs w:val="20"/>
          <w14:ligatures w14:val="none"/>
        </w:rPr>
        <w:t>, 대부분 급성기 이후 다시 자발적인 경구 복용 상태를 유지</w:t>
      </w:r>
      <w:r w:rsidRPr="00BA124C">
        <w:rPr>
          <w:rFonts w:hint="eastAsia"/>
          <w:color w:val="0432FF"/>
          <w:sz w:val="20"/>
          <w:szCs w:val="20"/>
        </w:rPr>
        <w:t>하였음을</w:t>
      </w:r>
      <w:r w:rsidRPr="00BA124C">
        <w:rPr>
          <w:rFonts w:hint="eastAsia"/>
          <w:color w:val="0432FF"/>
          <w:sz w:val="20"/>
          <w:szCs w:val="20"/>
        </w:rPr>
        <w:t xml:space="preserve"> </w:t>
      </w:r>
      <w:r w:rsidRPr="00BA124C">
        <w:rPr>
          <w:rFonts w:asciiTheme="minorEastAsia" w:hAnsiTheme="minorEastAsia" w:cs="Batang" w:hint="eastAsia"/>
          <w:color w:val="0432FF"/>
          <w:kern w:val="0"/>
          <w:sz w:val="20"/>
          <w:szCs w:val="20"/>
          <w14:ligatures w14:val="none"/>
        </w:rPr>
        <w:t>보고하였다 [11]</w:t>
      </w:r>
      <w:r w:rsidRPr="00BA124C">
        <w:rPr>
          <w:rFonts w:asciiTheme="minorEastAsia" w:hAnsiTheme="minorEastAsia" w:cs="Batang"/>
          <w:color w:val="0432FF"/>
          <w:kern w:val="0"/>
          <w:sz w:val="20"/>
          <w:szCs w:val="20"/>
          <w14:ligatures w14:val="none"/>
        </w:rPr>
        <w:t xml:space="preserve"> (</w:t>
      </w:r>
      <w:r w:rsidRPr="00B7042D">
        <w:rPr>
          <w:rFonts w:asciiTheme="minorEastAsia" w:hAnsiTheme="minorEastAsia" w:cs="Batang" w:hint="eastAsia"/>
          <w:color w:val="7030A0"/>
          <w:kern w:val="0"/>
          <w:sz w:val="20"/>
          <w:szCs w:val="20"/>
          <w14:ligatures w14:val="none"/>
        </w:rPr>
        <w:t>각주;</w:t>
      </w:r>
      <w:r w:rsidRPr="00B7042D">
        <w:rPr>
          <w:rFonts w:asciiTheme="minorEastAsia" w:hAnsiTheme="minorEastAsia" w:cs="Batang"/>
          <w:color w:val="7030A0"/>
          <w:kern w:val="0"/>
          <w:sz w:val="20"/>
          <w:szCs w:val="20"/>
          <w14:ligatures w14:val="none"/>
        </w:rPr>
        <w:t xml:space="preserve"> </w:t>
      </w:r>
      <w:r w:rsidRPr="00B7042D">
        <w:rPr>
          <w:rFonts w:asciiTheme="minorEastAsia" w:hAnsiTheme="minorEastAsia" w:cs="Batang" w:hint="eastAsia"/>
          <w:color w:val="7030A0"/>
          <w:kern w:val="0"/>
          <w:sz w:val="20"/>
          <w:szCs w:val="20"/>
          <w14:ligatures w14:val="none"/>
        </w:rPr>
        <w:t>비자발적 투여(특히 주사제)를 결정했다는 사실만으로도, 환자의 약 50%가 결국 스스로 경구 약을 복용하기 시작하는 '수락' 단계로 넘어가는 경향이 확인되다</w:t>
      </w:r>
      <w:r w:rsidRPr="00E10B7B">
        <w:rPr>
          <w:rFonts w:asciiTheme="minorEastAsia" w:hAnsiTheme="minorEastAsia" w:cs="Batang" w:hint="eastAsia"/>
          <w:color w:val="0432FF"/>
          <w:kern w:val="0"/>
          <w:sz w:val="20"/>
          <w:szCs w:val="20"/>
          <w14:ligatures w14:val="none"/>
        </w:rPr>
        <w:t>.</w:t>
      </w:r>
      <w:r>
        <w:rPr>
          <w:rFonts w:asciiTheme="minorEastAsia" w:hAnsiTheme="minorEastAsia" w:cs="Batang"/>
          <w:color w:val="0432FF"/>
          <w:kern w:val="0"/>
          <w:sz w:val="20"/>
          <w:szCs w:val="20"/>
          <w14:ligatures w14:val="none"/>
        </w:rPr>
        <w:t>)</w:t>
      </w:r>
      <w:r w:rsidRPr="00E10B7B">
        <w:rPr>
          <w:rFonts w:asciiTheme="minorEastAsia" w:hAnsiTheme="minorEastAsia" w:cs="Batang" w:hint="eastAsia"/>
          <w:color w:val="0432FF"/>
          <w:kern w:val="0"/>
          <w:sz w:val="20"/>
          <w:szCs w:val="20"/>
          <w14:ligatures w14:val="none"/>
        </w:rPr>
        <w:t xml:space="preserve"> 이는 </w:t>
      </w:r>
      <w:r>
        <w:rPr>
          <w:rFonts w:asciiTheme="minorEastAsia" w:hAnsiTheme="minorEastAsia" w:cs="Batang" w:hint="eastAsia"/>
          <w:color w:val="0432FF"/>
          <w:kern w:val="0"/>
          <w:sz w:val="20"/>
          <w:szCs w:val="20"/>
          <w14:ligatures w14:val="none"/>
        </w:rPr>
        <w:t xml:space="preserve">투여 경로에서 </w:t>
      </w:r>
      <w:r w:rsidRPr="00BA124C">
        <w:rPr>
          <w:rFonts w:asciiTheme="minorEastAsia" w:hAnsiTheme="minorEastAsia" w:cs="Batang" w:hint="eastAsia"/>
          <w:color w:val="0432FF"/>
          <w:kern w:val="0"/>
          <w:sz w:val="20"/>
          <w:szCs w:val="20"/>
          <w14:ligatures w14:val="none"/>
        </w:rPr>
        <w:t>근육 주사(IM), 비위관(콧줄) 투여, 또는 강제적인 경구 투여 방식이 사용</w:t>
      </w:r>
      <w:r>
        <w:rPr>
          <w:rFonts w:asciiTheme="minorEastAsia" w:hAnsiTheme="minorEastAsia" w:cs="Batang" w:hint="eastAsia"/>
          <w:color w:val="0432FF"/>
          <w:kern w:val="0"/>
          <w:sz w:val="20"/>
          <w:szCs w:val="20"/>
          <w14:ligatures w14:val="none"/>
        </w:rPr>
        <w:t xml:space="preserve">되는 </w:t>
      </w:r>
      <w:r w:rsidRPr="00E10B7B">
        <w:rPr>
          <w:rFonts w:asciiTheme="minorEastAsia" w:hAnsiTheme="minorEastAsia" w:cs="Batang" w:hint="eastAsia"/>
          <w:color w:val="0432FF"/>
          <w:kern w:val="0"/>
          <w:sz w:val="20"/>
          <w:szCs w:val="20"/>
          <w14:ligatures w14:val="none"/>
        </w:rPr>
        <w:t>involuntary clozapine treatment</w:t>
      </w:r>
      <w:r>
        <w:rPr>
          <w:rFonts w:asciiTheme="minorEastAsia" w:hAnsiTheme="minorEastAsia" w:cs="Batang" w:hint="eastAsia"/>
          <w:color w:val="0432FF"/>
          <w:kern w:val="0"/>
          <w:sz w:val="20"/>
          <w:szCs w:val="20"/>
          <w14:ligatures w14:val="none"/>
        </w:rPr>
        <w:t xml:space="preserve">로 </w:t>
      </w:r>
      <w:r w:rsidRPr="0092441F">
        <w:rPr>
          <w:rFonts w:asciiTheme="minorEastAsia" w:hAnsiTheme="minorEastAsia" w:cs="Batang" w:hint="eastAsia"/>
          <w:color w:val="0432FF"/>
          <w:kern w:val="0"/>
          <w:sz w:val="20"/>
          <w:szCs w:val="20"/>
          <w14:ligatures w14:val="none"/>
        </w:rPr>
        <w:t>윤리적 및 제도적 쟁점</w:t>
      </w:r>
      <w:r>
        <w:rPr>
          <w:rFonts w:asciiTheme="minorEastAsia" w:hAnsiTheme="minorEastAsia" w:cs="Batang" w:hint="eastAsia"/>
          <w:color w:val="0432FF"/>
          <w:kern w:val="0"/>
          <w:sz w:val="20"/>
          <w:szCs w:val="20"/>
          <w14:ligatures w14:val="none"/>
        </w:rPr>
        <w:t>은 간과할 수 없</w:t>
      </w:r>
      <w:r w:rsidRPr="00E10B7B">
        <w:rPr>
          <w:rFonts w:asciiTheme="minorEastAsia" w:hAnsiTheme="minorEastAsia" w:cs="Batang" w:hint="eastAsia"/>
          <w:color w:val="0432FF"/>
          <w:kern w:val="0"/>
          <w:sz w:val="20"/>
          <w:szCs w:val="20"/>
          <w14:ligatures w14:val="none"/>
        </w:rPr>
        <w:t xml:space="preserve">지만, </w:t>
      </w:r>
      <w:r w:rsidRPr="0092441F">
        <w:rPr>
          <w:rFonts w:asciiTheme="minorEastAsia" w:hAnsiTheme="minorEastAsia" w:cs="Batang"/>
          <w:color w:val="0432FF"/>
          <w:kern w:val="0"/>
          <w:sz w:val="20"/>
          <w:szCs w:val="20"/>
          <w14:ligatures w14:val="none"/>
        </w:rPr>
        <w:t xml:space="preserve">Accelerated </w:t>
      </w:r>
      <w:r>
        <w:rPr>
          <w:rFonts w:asciiTheme="minorEastAsia" w:hAnsiTheme="minorEastAsia" w:cs="Batang"/>
          <w:color w:val="0432FF"/>
          <w:kern w:val="0"/>
          <w:sz w:val="20"/>
          <w:szCs w:val="20"/>
          <w14:ligatures w14:val="none"/>
        </w:rPr>
        <w:t xml:space="preserve">Access to </w:t>
      </w:r>
      <w:r w:rsidRPr="009E06FB">
        <w:rPr>
          <w:rFonts w:asciiTheme="minorEastAsia" w:hAnsiTheme="minorEastAsia" w:cs="Batang"/>
          <w:color w:val="0432FF"/>
          <w:kern w:val="0"/>
          <w:sz w:val="20"/>
          <w:szCs w:val="20"/>
          <w14:ligatures w14:val="none"/>
        </w:rPr>
        <w:t xml:space="preserve">Clozapine </w:t>
      </w:r>
      <w:r>
        <w:rPr>
          <w:rFonts w:asciiTheme="minorEastAsia" w:hAnsiTheme="minorEastAsia" w:cs="Batang" w:hint="eastAsia"/>
          <w:color w:val="0432FF"/>
          <w:kern w:val="0"/>
          <w:sz w:val="20"/>
          <w:szCs w:val="20"/>
          <w14:ligatures w14:val="none"/>
        </w:rPr>
        <w:t xml:space="preserve">을 통하여 </w:t>
      </w:r>
      <w:r w:rsidRPr="00BA124C">
        <w:rPr>
          <w:rFonts w:asciiTheme="minorEastAsia" w:hAnsiTheme="minorEastAsia" w:cs="Batang" w:hint="eastAsia"/>
          <w:color w:val="0432FF"/>
          <w:kern w:val="0"/>
          <w:sz w:val="20"/>
          <w:szCs w:val="20"/>
          <w14:ligatures w14:val="none"/>
        </w:rPr>
        <w:t xml:space="preserve">치료가 불가능해 보이는 중증 환자들에게 생명 구조와 회복을 위한 강력하고 </w:t>
      </w:r>
      <w:r>
        <w:rPr>
          <w:rFonts w:asciiTheme="minorEastAsia" w:hAnsiTheme="minorEastAsia" w:cs="Batang" w:hint="eastAsia"/>
          <w:color w:val="0432FF"/>
          <w:kern w:val="0"/>
          <w:sz w:val="20"/>
          <w:szCs w:val="20"/>
          <w14:ligatures w14:val="none"/>
        </w:rPr>
        <w:t xml:space="preserve">효과적인 </w:t>
      </w:r>
      <w:r w:rsidRPr="00BA124C">
        <w:rPr>
          <w:rFonts w:asciiTheme="minorEastAsia" w:hAnsiTheme="minorEastAsia" w:cs="Batang" w:hint="eastAsia"/>
          <w:color w:val="0432FF"/>
          <w:kern w:val="0"/>
          <w:sz w:val="20"/>
          <w:szCs w:val="20"/>
          <w14:ligatures w14:val="none"/>
        </w:rPr>
        <w:t>수단</w:t>
      </w:r>
      <w:r>
        <w:rPr>
          <w:rFonts w:asciiTheme="minorEastAsia" w:hAnsiTheme="minorEastAsia" w:cs="Batang" w:hint="eastAsia"/>
          <w:color w:val="0432FF"/>
          <w:kern w:val="0"/>
          <w:sz w:val="20"/>
          <w:szCs w:val="20"/>
          <w14:ligatures w14:val="none"/>
        </w:rPr>
        <w:t xml:space="preserve">으로 </w:t>
      </w:r>
      <w:r w:rsidRPr="00B7042D">
        <w:rPr>
          <w:rFonts w:asciiTheme="minorEastAsia" w:hAnsiTheme="minorEastAsia" w:cs="Batang" w:hint="eastAsia"/>
          <w:color w:val="0432FF"/>
          <w:kern w:val="0"/>
          <w:sz w:val="20"/>
          <w:szCs w:val="20"/>
          <w14:ligatures w14:val="none"/>
        </w:rPr>
        <w:t xml:space="preserve">윤리적 선택이 될 </w:t>
      </w:r>
      <w:r>
        <w:rPr>
          <w:rFonts w:asciiTheme="minorEastAsia" w:hAnsiTheme="minorEastAsia" w:cs="Batang" w:hint="eastAsia"/>
          <w:color w:val="0432FF"/>
          <w:kern w:val="0"/>
          <w:sz w:val="20"/>
          <w:szCs w:val="20"/>
          <w14:ligatures w14:val="none"/>
        </w:rPr>
        <w:t xml:space="preserve">수 </w:t>
      </w:r>
      <w:r w:rsidRPr="00BA124C">
        <w:rPr>
          <w:rFonts w:asciiTheme="minorEastAsia" w:hAnsiTheme="minorEastAsia" w:cs="Batang" w:hint="eastAsia"/>
          <w:color w:val="0432FF"/>
          <w:kern w:val="0"/>
          <w:sz w:val="20"/>
          <w:szCs w:val="20"/>
          <w14:ligatures w14:val="none"/>
        </w:rPr>
        <w:t>있</w:t>
      </w:r>
      <w:r>
        <w:rPr>
          <w:rFonts w:asciiTheme="minorEastAsia" w:hAnsiTheme="minorEastAsia" w:cs="Batang" w:hint="eastAsia"/>
          <w:color w:val="0432FF"/>
          <w:kern w:val="0"/>
          <w:sz w:val="20"/>
          <w:szCs w:val="20"/>
          <w14:ligatures w14:val="none"/>
        </w:rPr>
        <w:t xml:space="preserve">음으로 </w:t>
      </w:r>
      <w:r w:rsidRPr="00BA124C">
        <w:rPr>
          <w:rFonts w:asciiTheme="minorEastAsia" w:hAnsiTheme="minorEastAsia" w:cs="Batang" w:hint="eastAsia"/>
          <w:color w:val="0432FF"/>
          <w:kern w:val="0"/>
          <w:sz w:val="20"/>
          <w:szCs w:val="20"/>
          <w14:ligatures w14:val="none"/>
        </w:rPr>
        <w:t>이를 위한 법적·제도적 보완이 필요함을 역설</w:t>
      </w:r>
      <w:r>
        <w:rPr>
          <w:rFonts w:asciiTheme="minorEastAsia" w:hAnsiTheme="minorEastAsia" w:cs="Batang" w:hint="eastAsia"/>
          <w:color w:val="0432FF"/>
          <w:kern w:val="0"/>
          <w:sz w:val="20"/>
          <w:szCs w:val="20"/>
          <w14:ligatures w14:val="none"/>
        </w:rPr>
        <w:t>되</w:t>
      </w:r>
      <w:r w:rsidRPr="00BA124C">
        <w:rPr>
          <w:rFonts w:asciiTheme="minorEastAsia" w:hAnsiTheme="minorEastAsia" w:cs="Batang" w:hint="eastAsia"/>
          <w:color w:val="0432FF"/>
          <w:kern w:val="0"/>
          <w:sz w:val="20"/>
          <w:szCs w:val="20"/>
          <w14:ligatures w14:val="none"/>
        </w:rPr>
        <w:t>고 있다 (p. 13).</w:t>
      </w:r>
      <w:r>
        <w:rPr>
          <w:rFonts w:asciiTheme="minorEastAsia" w:hAnsiTheme="minorEastAsia" w:cs="Batang"/>
          <w:color w:val="0432FF"/>
          <w:kern w:val="0"/>
          <w:sz w:val="20"/>
          <w:szCs w:val="20"/>
          <w14:ligatures w14:val="none"/>
        </w:rPr>
        <w:t xml:space="preserve"> </w:t>
      </w:r>
      <w:r w:rsidRPr="00FD453D">
        <w:rPr>
          <w:rFonts w:asciiTheme="minorEastAsia" w:hAnsiTheme="minorEastAsia" w:cs="Batang" w:hint="eastAsia"/>
          <w:color w:val="0432FF"/>
          <w:kern w:val="0"/>
          <w:sz w:val="20"/>
          <w:szCs w:val="20"/>
          <w14:ligatures w14:val="none"/>
        </w:rPr>
        <w:t>[11].</w:t>
      </w:r>
      <w:r>
        <w:rPr>
          <w:rFonts w:asciiTheme="minorEastAsia" w:hAnsiTheme="minorEastAsia" w:cs="Batang"/>
          <w:color w:val="0432FF"/>
          <w:kern w:val="0"/>
          <w:sz w:val="20"/>
          <w:szCs w:val="20"/>
          <w14:ligatures w14:val="none"/>
        </w:rPr>
        <w:t xml:space="preserve"> </w:t>
      </w:r>
    </w:p>
    <w:p w14:paraId="7D09FD71" w14:textId="77777777" w:rsidR="0009494F" w:rsidRDefault="0009494F" w:rsidP="0009494F">
      <w:pPr>
        <w:jc w:val="both"/>
        <w:rPr>
          <w:rFonts w:asciiTheme="minorEastAsia" w:hAnsiTheme="minorEastAsia" w:cs="Batang"/>
          <w:color w:val="0432FF"/>
          <w:kern w:val="0"/>
          <w:sz w:val="20"/>
          <w:szCs w:val="20"/>
          <w14:ligatures w14:val="none"/>
        </w:rPr>
      </w:pPr>
    </w:p>
    <w:p w14:paraId="034CDA21"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In this context, Verdoux et al. (2026) proposed the concept of “involuntary clozapine treatment” for patients with severe conditions that are insufficiently controlled by other therapeutic approaches. This approach has been considered in patients with treatment-resistant psychotic symptoms whose decision-making capacity is impaired due to lack of insight or delusional beliefs about treatment, and who exhibit high-risk behaviors such as persistent aggression, suicidality, self-harm, self-neglect, or refusal to eat. These patients often have a history of repeated or prolonged seclusion and physical restraint, and may refuse initiation, re-initiation, or continuation of oral clozapine [11].</w:t>
      </w:r>
    </w:p>
    <w:p w14:paraId="3658E40E"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t>In reported cases, patients who received involuntary treatment showed marked reductions in aggression and overall symptom improvement, and most were able to resume voluntary oral clozapine treatment after the acute phase [11]. Notably, it has been observed that the decision to initiate involuntary administration—particularly with injectable formulations—may itself facilitate a transition to voluntary oral adherence in approximately half of patients.</w:t>
      </w:r>
    </w:p>
    <w:p w14:paraId="0B31AC2E" w14:textId="77777777" w:rsidR="0009494F" w:rsidRPr="00B42DE3" w:rsidRDefault="0009494F" w:rsidP="0009494F">
      <w:pPr>
        <w:jc w:val="both"/>
        <w:rPr>
          <w:rFonts w:asciiTheme="minorEastAsia" w:hAnsiTheme="minorEastAsia" w:cs="Batang"/>
          <w:color w:val="0432FF"/>
          <w:kern w:val="0"/>
          <w:sz w:val="20"/>
          <w:szCs w:val="20"/>
          <w14:ligatures w14:val="none"/>
        </w:rPr>
      </w:pPr>
      <w:r w:rsidRPr="00B42DE3">
        <w:rPr>
          <w:rFonts w:asciiTheme="minorEastAsia" w:hAnsiTheme="minorEastAsia" w:cs="Batang"/>
          <w:color w:val="0432FF"/>
          <w:kern w:val="0"/>
          <w:sz w:val="20"/>
          <w:szCs w:val="20"/>
          <w14:ligatures w14:val="none"/>
        </w:rPr>
        <w:lastRenderedPageBreak/>
        <w:t>Although involuntary clozapine treatment—delivered via intramuscular injection, nasogastric administration, or enforced oral intake—raises important ethical and legal concerns, it may represent a viable option in otherwise treatment-refractory, life-threatening conditions. From this perspective, “accelerated access to clozapine” has been suggested as a potentially life-saving and recovery-enabling strategy for severely ill patients, underscoring the need for appropriate legal and institutional frameworks to support its implementation (p. 13) [11].</w:t>
      </w:r>
    </w:p>
    <w:p w14:paraId="0BA728F2" w14:textId="77777777" w:rsidR="0009494F" w:rsidRPr="00B42DE3" w:rsidRDefault="0009494F" w:rsidP="0009494F">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B42DE3">
        <w:rPr>
          <w:rFonts w:ascii="Apple Color Emoji" w:hAnsi="Apple Color Emoji" w:cs="Apple Color Emoji"/>
          <w:color w:val="7030A0"/>
          <w:kern w:val="0"/>
          <w:sz w:val="20"/>
          <w:szCs w:val="20"/>
          <w:highlight w:val="yellow"/>
          <w14:ligatures w14:val="none"/>
        </w:rPr>
        <w:t>✔</w:t>
      </w:r>
      <w:r w:rsidRPr="00B42DE3">
        <w:rPr>
          <w:rFonts w:asciiTheme="minorEastAsia" w:hAnsiTheme="minorEastAsia" w:cs="Batang"/>
          <w:color w:val="7030A0"/>
          <w:kern w:val="0"/>
          <w:sz w:val="20"/>
          <w:szCs w:val="20"/>
          <w:highlight w:val="yellow"/>
          <w14:ligatures w14:val="none"/>
        </w:rPr>
        <w:t xml:space="preserve"> References (Vancouver)</w:t>
      </w:r>
    </w:p>
    <w:p w14:paraId="26DA834A" w14:textId="77777777" w:rsidR="0009494F" w:rsidRPr="00B42DE3" w:rsidRDefault="0009494F" w:rsidP="0009494F">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B42DE3">
        <w:rPr>
          <w:rFonts w:asciiTheme="minorEastAsia" w:hAnsiTheme="minorEastAsia" w:cs="Batang"/>
          <w:color w:val="7030A0"/>
          <w:kern w:val="0"/>
          <w:sz w:val="20"/>
          <w:szCs w:val="20"/>
          <w:highlight w:val="yellow"/>
          <w14:ligatures w14:val="none"/>
        </w:rPr>
        <w:t>8. Frogley C, Taylor D, Dickens G, Picchioni M. A systematic review of the evidence of clozapine’s anti-aggressive effects. Int J Neuropsychopharmacol. 2012;15(9):1351–1371.</w:t>
      </w:r>
    </w:p>
    <w:p w14:paraId="27EB6A47" w14:textId="77777777" w:rsidR="0009494F" w:rsidRPr="00B42DE3" w:rsidRDefault="0009494F" w:rsidP="0009494F">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B42DE3">
        <w:rPr>
          <w:rFonts w:asciiTheme="minorEastAsia" w:hAnsiTheme="minorEastAsia" w:cs="Batang"/>
          <w:color w:val="7030A0"/>
          <w:kern w:val="0"/>
          <w:sz w:val="20"/>
          <w:szCs w:val="20"/>
          <w:highlight w:val="yellow"/>
          <w14:ligatures w14:val="none"/>
        </w:rPr>
        <w:t>9. Meltzer HY, Alphs L, Green AI, Altamura AC, Anand R, Bertoldi A, et al. Clozapine treatment for suicidality in schizophrenia: International Suicide Prevention Trial (InterSePT). Arch Gen Psychiatry. 2003;60(1):82–91.</w:t>
      </w:r>
    </w:p>
    <w:p w14:paraId="0D58E8B5" w14:textId="77777777" w:rsidR="0009494F" w:rsidRPr="00B42DE3" w:rsidRDefault="0009494F" w:rsidP="0009494F">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B42DE3">
        <w:rPr>
          <w:rFonts w:asciiTheme="minorEastAsia" w:hAnsiTheme="minorEastAsia" w:cs="Batang"/>
          <w:color w:val="7030A0"/>
          <w:kern w:val="0"/>
          <w:sz w:val="20"/>
          <w:szCs w:val="20"/>
          <w:highlight w:val="yellow"/>
          <w14:ligatures w14:val="none"/>
        </w:rPr>
        <w:t>10. Fernández-Egea E, Flanagan RJ, Taylor D, Gaughran F, Lawrie SM, Jenkins C, et al. Mortality associated with clozapine: what is the evidence. Br J Psychiatry. 2024;</w:t>
      </w:r>
    </w:p>
    <w:p w14:paraId="26E42319" w14:textId="77777777" w:rsidR="0009494F" w:rsidRPr="00B42DE3" w:rsidRDefault="0009494F" w:rsidP="0009494F">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B42DE3">
        <w:rPr>
          <w:rFonts w:asciiTheme="minorEastAsia" w:hAnsiTheme="minorEastAsia" w:cs="Batang"/>
          <w:color w:val="7030A0"/>
          <w:kern w:val="0"/>
          <w:sz w:val="20"/>
          <w:szCs w:val="20"/>
          <w:highlight w:val="yellow"/>
          <w14:ligatures w14:val="none"/>
        </w:rPr>
        <w:t>11. Verdoux H, Lepetit A, Schulte PF. Involuntary clozapine treatment: A systematic review. Acta Psychiatr Scand. 2026 Feb 12. [Epub ahead of print].</w:t>
      </w:r>
    </w:p>
    <w:p w14:paraId="19234A87" w14:textId="77777777" w:rsidR="0009494F" w:rsidRPr="00B42DE3" w:rsidRDefault="0009494F" w:rsidP="0009494F">
      <w:pPr>
        <w:spacing w:before="100" w:beforeAutospacing="1" w:after="100" w:afterAutospacing="1" w:line="240" w:lineRule="auto"/>
        <w:jc w:val="both"/>
        <w:rPr>
          <w:rFonts w:asciiTheme="minorEastAsia" w:hAnsiTheme="minorEastAsia" w:cs="Batang"/>
          <w:color w:val="7030A0"/>
          <w:kern w:val="0"/>
          <w:sz w:val="20"/>
          <w:szCs w:val="20"/>
          <w:highlight w:val="yellow"/>
          <w14:ligatures w14:val="none"/>
        </w:rPr>
      </w:pPr>
      <w:r w:rsidRPr="00B42DE3">
        <w:rPr>
          <w:rFonts w:asciiTheme="minorEastAsia" w:hAnsiTheme="minorEastAsia" w:cs="Batang"/>
          <w:color w:val="7030A0"/>
          <w:kern w:val="0"/>
          <w:sz w:val="20"/>
          <w:szCs w:val="20"/>
          <w:highlight w:val="yellow"/>
          <w14:ligatures w14:val="none"/>
        </w:rPr>
        <w:t>12. U.S. Food and Drug Administration. Information on Clozapine and the REMS Program Changes. Available from: https://www.fda.gov</w:t>
      </w:r>
    </w:p>
    <w:p w14:paraId="79EEEBB7" w14:textId="77777777" w:rsidR="0009494F" w:rsidRPr="00B42DE3" w:rsidRDefault="0009494F" w:rsidP="0009494F">
      <w:pPr>
        <w:spacing w:before="100" w:beforeAutospacing="1" w:after="100" w:afterAutospacing="1" w:line="240" w:lineRule="auto"/>
        <w:jc w:val="both"/>
        <w:rPr>
          <w:rFonts w:asciiTheme="minorEastAsia" w:hAnsiTheme="minorEastAsia" w:cs="Batang"/>
          <w:color w:val="7030A0"/>
          <w:kern w:val="0"/>
          <w:sz w:val="20"/>
          <w:szCs w:val="20"/>
          <w14:ligatures w14:val="none"/>
        </w:rPr>
      </w:pPr>
      <w:r w:rsidRPr="00B42DE3">
        <w:rPr>
          <w:rFonts w:asciiTheme="minorEastAsia" w:hAnsiTheme="minorEastAsia" w:cs="Batang"/>
          <w:color w:val="7030A0"/>
          <w:kern w:val="0"/>
          <w:sz w:val="20"/>
          <w:szCs w:val="20"/>
          <w:highlight w:val="yellow"/>
          <w14:ligatures w14:val="none"/>
        </w:rPr>
        <w:t>14. European Clozapine Task Force. Call for pragmatic and evidence-based clozapine monitoring guidelines. 2024/2025.</w:t>
      </w:r>
    </w:p>
    <w:p w14:paraId="5DD5C10B" w14:textId="77777777" w:rsidR="0009494F" w:rsidRDefault="0009494F" w:rsidP="0009494F">
      <w:pPr>
        <w:spacing w:before="100" w:beforeAutospacing="1" w:after="100" w:afterAutospacing="1" w:line="240" w:lineRule="auto"/>
        <w:jc w:val="both"/>
        <w:rPr>
          <w:rFonts w:asciiTheme="minorEastAsia" w:hAnsiTheme="minorEastAsia" w:cs="Batang"/>
          <w:color w:val="0432FF"/>
          <w:kern w:val="0"/>
          <w:sz w:val="20"/>
          <w:szCs w:val="20"/>
          <w14:ligatures w14:val="none"/>
        </w:rPr>
      </w:pPr>
    </w:p>
    <w:p w14:paraId="53291237" w14:textId="77777777" w:rsidR="00636438" w:rsidRDefault="00636438"/>
    <w:sectPr w:rsidR="006364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28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4F"/>
    <w:rsid w:val="000012A1"/>
    <w:rsid w:val="0002548B"/>
    <w:rsid w:val="00031B68"/>
    <w:rsid w:val="0003424B"/>
    <w:rsid w:val="000527B9"/>
    <w:rsid w:val="00053F06"/>
    <w:rsid w:val="00054757"/>
    <w:rsid w:val="00055973"/>
    <w:rsid w:val="000605BC"/>
    <w:rsid w:val="00062A18"/>
    <w:rsid w:val="00074664"/>
    <w:rsid w:val="00080F61"/>
    <w:rsid w:val="00092DD2"/>
    <w:rsid w:val="0009494F"/>
    <w:rsid w:val="00097D79"/>
    <w:rsid w:val="000A3C5E"/>
    <w:rsid w:val="000A5995"/>
    <w:rsid w:val="000C4C3D"/>
    <w:rsid w:val="000C6E68"/>
    <w:rsid w:val="000D4CE6"/>
    <w:rsid w:val="000E67A9"/>
    <w:rsid w:val="000F28C3"/>
    <w:rsid w:val="000F39D6"/>
    <w:rsid w:val="000F5894"/>
    <w:rsid w:val="00101822"/>
    <w:rsid w:val="0011431F"/>
    <w:rsid w:val="00121380"/>
    <w:rsid w:val="00123895"/>
    <w:rsid w:val="00130DC8"/>
    <w:rsid w:val="00162719"/>
    <w:rsid w:val="00174DB1"/>
    <w:rsid w:val="001752EF"/>
    <w:rsid w:val="00183069"/>
    <w:rsid w:val="001922AD"/>
    <w:rsid w:val="00196926"/>
    <w:rsid w:val="001A3245"/>
    <w:rsid w:val="001A351A"/>
    <w:rsid w:val="001A7A80"/>
    <w:rsid w:val="001B0FB7"/>
    <w:rsid w:val="001D6ED5"/>
    <w:rsid w:val="001E54F1"/>
    <w:rsid w:val="001F2B9C"/>
    <w:rsid w:val="001F4D9A"/>
    <w:rsid w:val="00203531"/>
    <w:rsid w:val="00204C2C"/>
    <w:rsid w:val="002068D0"/>
    <w:rsid w:val="002111B3"/>
    <w:rsid w:val="0021598D"/>
    <w:rsid w:val="00217269"/>
    <w:rsid w:val="00225ED0"/>
    <w:rsid w:val="00232764"/>
    <w:rsid w:val="00235894"/>
    <w:rsid w:val="002374F3"/>
    <w:rsid w:val="002429C2"/>
    <w:rsid w:val="002446E4"/>
    <w:rsid w:val="00246E2C"/>
    <w:rsid w:val="00247D30"/>
    <w:rsid w:val="00251A58"/>
    <w:rsid w:val="00274729"/>
    <w:rsid w:val="002756F4"/>
    <w:rsid w:val="002A4A47"/>
    <w:rsid w:val="002B214D"/>
    <w:rsid w:val="002B500F"/>
    <w:rsid w:val="002C1E3C"/>
    <w:rsid w:val="002C5DA7"/>
    <w:rsid w:val="002C78C6"/>
    <w:rsid w:val="002E1A8B"/>
    <w:rsid w:val="00306FF2"/>
    <w:rsid w:val="00322A79"/>
    <w:rsid w:val="00330129"/>
    <w:rsid w:val="003509E1"/>
    <w:rsid w:val="003542B2"/>
    <w:rsid w:val="00356504"/>
    <w:rsid w:val="00364183"/>
    <w:rsid w:val="0036615D"/>
    <w:rsid w:val="00372402"/>
    <w:rsid w:val="00382032"/>
    <w:rsid w:val="0039652B"/>
    <w:rsid w:val="00397E2C"/>
    <w:rsid w:val="003D6AB3"/>
    <w:rsid w:val="003D71D5"/>
    <w:rsid w:val="003E50F5"/>
    <w:rsid w:val="004041BF"/>
    <w:rsid w:val="00411DC6"/>
    <w:rsid w:val="00430A35"/>
    <w:rsid w:val="004338CB"/>
    <w:rsid w:val="004338E0"/>
    <w:rsid w:val="00447E82"/>
    <w:rsid w:val="004645AE"/>
    <w:rsid w:val="00465BE0"/>
    <w:rsid w:val="00480613"/>
    <w:rsid w:val="00490E24"/>
    <w:rsid w:val="004A4A77"/>
    <w:rsid w:val="004A5875"/>
    <w:rsid w:val="004A6D6D"/>
    <w:rsid w:val="004B2877"/>
    <w:rsid w:val="004B6283"/>
    <w:rsid w:val="004D2515"/>
    <w:rsid w:val="004F1BA6"/>
    <w:rsid w:val="004F547A"/>
    <w:rsid w:val="004F66ED"/>
    <w:rsid w:val="00515205"/>
    <w:rsid w:val="00517190"/>
    <w:rsid w:val="0051780F"/>
    <w:rsid w:val="00522851"/>
    <w:rsid w:val="0052320F"/>
    <w:rsid w:val="00541574"/>
    <w:rsid w:val="00544C4B"/>
    <w:rsid w:val="005515A2"/>
    <w:rsid w:val="00553D46"/>
    <w:rsid w:val="00573438"/>
    <w:rsid w:val="005802C3"/>
    <w:rsid w:val="00581337"/>
    <w:rsid w:val="00584FCA"/>
    <w:rsid w:val="00592970"/>
    <w:rsid w:val="005A02C0"/>
    <w:rsid w:val="005A0F16"/>
    <w:rsid w:val="005B730D"/>
    <w:rsid w:val="005C447E"/>
    <w:rsid w:val="005D62AE"/>
    <w:rsid w:val="005E3237"/>
    <w:rsid w:val="005E6C66"/>
    <w:rsid w:val="005F14FC"/>
    <w:rsid w:val="00612990"/>
    <w:rsid w:val="0062212D"/>
    <w:rsid w:val="00631C50"/>
    <w:rsid w:val="00634FBC"/>
    <w:rsid w:val="00636438"/>
    <w:rsid w:val="00640A0D"/>
    <w:rsid w:val="00641BA0"/>
    <w:rsid w:val="006421F4"/>
    <w:rsid w:val="0067354C"/>
    <w:rsid w:val="00675DAC"/>
    <w:rsid w:val="006953F6"/>
    <w:rsid w:val="00696551"/>
    <w:rsid w:val="006A5078"/>
    <w:rsid w:val="006C5049"/>
    <w:rsid w:val="006E0387"/>
    <w:rsid w:val="006E1A47"/>
    <w:rsid w:val="006E303B"/>
    <w:rsid w:val="006E582A"/>
    <w:rsid w:val="006E7F2A"/>
    <w:rsid w:val="00702229"/>
    <w:rsid w:val="0072489B"/>
    <w:rsid w:val="00726745"/>
    <w:rsid w:val="007311D8"/>
    <w:rsid w:val="007322DA"/>
    <w:rsid w:val="00754461"/>
    <w:rsid w:val="00754CF0"/>
    <w:rsid w:val="007622EC"/>
    <w:rsid w:val="00766CF0"/>
    <w:rsid w:val="00776831"/>
    <w:rsid w:val="00791A22"/>
    <w:rsid w:val="00792173"/>
    <w:rsid w:val="0079259D"/>
    <w:rsid w:val="007A5EF9"/>
    <w:rsid w:val="007C2187"/>
    <w:rsid w:val="007C4543"/>
    <w:rsid w:val="007D0B73"/>
    <w:rsid w:val="007E1F66"/>
    <w:rsid w:val="007E24AA"/>
    <w:rsid w:val="007F493C"/>
    <w:rsid w:val="007F71F2"/>
    <w:rsid w:val="00804012"/>
    <w:rsid w:val="0082062E"/>
    <w:rsid w:val="00822812"/>
    <w:rsid w:val="0082328D"/>
    <w:rsid w:val="00823BC6"/>
    <w:rsid w:val="00833A30"/>
    <w:rsid w:val="00860204"/>
    <w:rsid w:val="00883906"/>
    <w:rsid w:val="008845AB"/>
    <w:rsid w:val="00897692"/>
    <w:rsid w:val="008B0E29"/>
    <w:rsid w:val="008B56B9"/>
    <w:rsid w:val="008D2E95"/>
    <w:rsid w:val="008D35EC"/>
    <w:rsid w:val="008D3A62"/>
    <w:rsid w:val="008D4721"/>
    <w:rsid w:val="008E4753"/>
    <w:rsid w:val="008F3BA4"/>
    <w:rsid w:val="008F5F1F"/>
    <w:rsid w:val="008F7131"/>
    <w:rsid w:val="00905159"/>
    <w:rsid w:val="0091055B"/>
    <w:rsid w:val="0091711C"/>
    <w:rsid w:val="00954294"/>
    <w:rsid w:val="00957432"/>
    <w:rsid w:val="00965F48"/>
    <w:rsid w:val="009723BC"/>
    <w:rsid w:val="00974461"/>
    <w:rsid w:val="0098388F"/>
    <w:rsid w:val="00992243"/>
    <w:rsid w:val="0099555A"/>
    <w:rsid w:val="00996C65"/>
    <w:rsid w:val="0099711E"/>
    <w:rsid w:val="009A0CB9"/>
    <w:rsid w:val="009A7CC4"/>
    <w:rsid w:val="009B6C7F"/>
    <w:rsid w:val="009D3382"/>
    <w:rsid w:val="009D63E8"/>
    <w:rsid w:val="009E0502"/>
    <w:rsid w:val="009F0298"/>
    <w:rsid w:val="00A05088"/>
    <w:rsid w:val="00A109D1"/>
    <w:rsid w:val="00A1489D"/>
    <w:rsid w:val="00A21C24"/>
    <w:rsid w:val="00A310E9"/>
    <w:rsid w:val="00A31E78"/>
    <w:rsid w:val="00A35C21"/>
    <w:rsid w:val="00A51D3B"/>
    <w:rsid w:val="00A63AD5"/>
    <w:rsid w:val="00A70923"/>
    <w:rsid w:val="00A72C98"/>
    <w:rsid w:val="00A74179"/>
    <w:rsid w:val="00A76D0C"/>
    <w:rsid w:val="00A8603E"/>
    <w:rsid w:val="00A91A2E"/>
    <w:rsid w:val="00A968F2"/>
    <w:rsid w:val="00AA2BC5"/>
    <w:rsid w:val="00AC09A5"/>
    <w:rsid w:val="00AC2238"/>
    <w:rsid w:val="00AC24C0"/>
    <w:rsid w:val="00AC2FF0"/>
    <w:rsid w:val="00AC62D6"/>
    <w:rsid w:val="00AE683C"/>
    <w:rsid w:val="00AF2B23"/>
    <w:rsid w:val="00AF7487"/>
    <w:rsid w:val="00B14CA8"/>
    <w:rsid w:val="00B15F86"/>
    <w:rsid w:val="00B1645B"/>
    <w:rsid w:val="00B17895"/>
    <w:rsid w:val="00B45C57"/>
    <w:rsid w:val="00B46947"/>
    <w:rsid w:val="00B514EA"/>
    <w:rsid w:val="00B65875"/>
    <w:rsid w:val="00B67C06"/>
    <w:rsid w:val="00B7037D"/>
    <w:rsid w:val="00B832A8"/>
    <w:rsid w:val="00B9055F"/>
    <w:rsid w:val="00BA3062"/>
    <w:rsid w:val="00BA60D6"/>
    <w:rsid w:val="00BC6589"/>
    <w:rsid w:val="00BD118A"/>
    <w:rsid w:val="00BD39D3"/>
    <w:rsid w:val="00BF21F1"/>
    <w:rsid w:val="00BF47C8"/>
    <w:rsid w:val="00C128D4"/>
    <w:rsid w:val="00C37264"/>
    <w:rsid w:val="00C37D08"/>
    <w:rsid w:val="00C55111"/>
    <w:rsid w:val="00C61FFD"/>
    <w:rsid w:val="00C76EEA"/>
    <w:rsid w:val="00C772CB"/>
    <w:rsid w:val="00C83612"/>
    <w:rsid w:val="00C862A7"/>
    <w:rsid w:val="00C87241"/>
    <w:rsid w:val="00C9372F"/>
    <w:rsid w:val="00CA3EF8"/>
    <w:rsid w:val="00CD047F"/>
    <w:rsid w:val="00CD1758"/>
    <w:rsid w:val="00D0392D"/>
    <w:rsid w:val="00D04352"/>
    <w:rsid w:val="00D0444A"/>
    <w:rsid w:val="00D14CD7"/>
    <w:rsid w:val="00D14EB7"/>
    <w:rsid w:val="00D1783B"/>
    <w:rsid w:val="00D20E4F"/>
    <w:rsid w:val="00D243E2"/>
    <w:rsid w:val="00D243E8"/>
    <w:rsid w:val="00D27CED"/>
    <w:rsid w:val="00D361FD"/>
    <w:rsid w:val="00D3688A"/>
    <w:rsid w:val="00D46B2C"/>
    <w:rsid w:val="00D50156"/>
    <w:rsid w:val="00D64098"/>
    <w:rsid w:val="00D67C6F"/>
    <w:rsid w:val="00D72B03"/>
    <w:rsid w:val="00D809D3"/>
    <w:rsid w:val="00D835D2"/>
    <w:rsid w:val="00D92C0A"/>
    <w:rsid w:val="00D9574F"/>
    <w:rsid w:val="00DB14CB"/>
    <w:rsid w:val="00DB1A87"/>
    <w:rsid w:val="00DB46B1"/>
    <w:rsid w:val="00DB6FF3"/>
    <w:rsid w:val="00DD0B3C"/>
    <w:rsid w:val="00DD2C75"/>
    <w:rsid w:val="00DD4535"/>
    <w:rsid w:val="00DD5561"/>
    <w:rsid w:val="00DD5845"/>
    <w:rsid w:val="00DE355A"/>
    <w:rsid w:val="00DE4CE9"/>
    <w:rsid w:val="00DF642F"/>
    <w:rsid w:val="00E039B3"/>
    <w:rsid w:val="00E048D0"/>
    <w:rsid w:val="00E1183D"/>
    <w:rsid w:val="00E136BF"/>
    <w:rsid w:val="00E33B7D"/>
    <w:rsid w:val="00E35083"/>
    <w:rsid w:val="00E3603D"/>
    <w:rsid w:val="00E401BA"/>
    <w:rsid w:val="00E57D87"/>
    <w:rsid w:val="00E65BA1"/>
    <w:rsid w:val="00E71575"/>
    <w:rsid w:val="00E73E76"/>
    <w:rsid w:val="00E77786"/>
    <w:rsid w:val="00E86991"/>
    <w:rsid w:val="00E9402A"/>
    <w:rsid w:val="00EB0604"/>
    <w:rsid w:val="00EB1EF4"/>
    <w:rsid w:val="00EB633D"/>
    <w:rsid w:val="00EE2019"/>
    <w:rsid w:val="00EE315F"/>
    <w:rsid w:val="00EE4596"/>
    <w:rsid w:val="00EF31DF"/>
    <w:rsid w:val="00EF4D85"/>
    <w:rsid w:val="00EF72C8"/>
    <w:rsid w:val="00F4185A"/>
    <w:rsid w:val="00F446D3"/>
    <w:rsid w:val="00F616A0"/>
    <w:rsid w:val="00F630D0"/>
    <w:rsid w:val="00F66F61"/>
    <w:rsid w:val="00F75940"/>
    <w:rsid w:val="00F8263A"/>
    <w:rsid w:val="00F83C4D"/>
    <w:rsid w:val="00FA5288"/>
    <w:rsid w:val="00FA7011"/>
    <w:rsid w:val="00FB5833"/>
    <w:rsid w:val="00FC0DE1"/>
    <w:rsid w:val="00FC23ED"/>
    <w:rsid w:val="00FD0CE9"/>
    <w:rsid w:val="00FD6D8F"/>
    <w:rsid w:val="00FD6F8E"/>
    <w:rsid w:val="00FE2A9F"/>
    <w:rsid w:val="00FE69BF"/>
    <w:rsid w:val="00FF428B"/>
    <w:rsid w:val="00FF5B1B"/>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9526"/>
  <w15:chartTrackingRefBased/>
  <w15:docId w15:val="{A9DA6F00-0D20-104F-80A9-FDBBD022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94F"/>
    <w:rPr>
      <w:lang w:val="en-US"/>
    </w:rPr>
  </w:style>
  <w:style w:type="paragraph" w:styleId="Heading1">
    <w:name w:val="heading 1"/>
    <w:basedOn w:val="Normal"/>
    <w:next w:val="Normal"/>
    <w:link w:val="Heading1Char"/>
    <w:uiPriority w:val="9"/>
    <w:qFormat/>
    <w:rsid w:val="0009494F"/>
    <w:pPr>
      <w:keepNext/>
      <w:keepLines/>
      <w:spacing w:before="360" w:after="80"/>
      <w:outlineLvl w:val="0"/>
    </w:pPr>
    <w:rPr>
      <w:rFonts w:asciiTheme="majorHAnsi" w:eastAsiaTheme="majorEastAsia" w:hAnsiTheme="majorHAnsi" w:cstheme="majorBidi"/>
      <w:color w:val="0F4761" w:themeColor="accent1" w:themeShade="BF"/>
      <w:sz w:val="40"/>
      <w:szCs w:val="40"/>
      <w:lang w:val="en-KR"/>
    </w:rPr>
  </w:style>
  <w:style w:type="paragraph" w:styleId="Heading2">
    <w:name w:val="heading 2"/>
    <w:basedOn w:val="Normal"/>
    <w:next w:val="Normal"/>
    <w:link w:val="Heading2Char"/>
    <w:uiPriority w:val="9"/>
    <w:semiHidden/>
    <w:unhideWhenUsed/>
    <w:qFormat/>
    <w:rsid w:val="0009494F"/>
    <w:pPr>
      <w:keepNext/>
      <w:keepLines/>
      <w:spacing w:before="160" w:after="80"/>
      <w:outlineLvl w:val="1"/>
    </w:pPr>
    <w:rPr>
      <w:rFonts w:asciiTheme="majorHAnsi" w:eastAsiaTheme="majorEastAsia" w:hAnsiTheme="majorHAnsi" w:cstheme="majorBidi"/>
      <w:color w:val="0F4761" w:themeColor="accent1" w:themeShade="BF"/>
      <w:sz w:val="32"/>
      <w:szCs w:val="32"/>
      <w:lang w:val="en-KR"/>
    </w:rPr>
  </w:style>
  <w:style w:type="paragraph" w:styleId="Heading3">
    <w:name w:val="heading 3"/>
    <w:basedOn w:val="Normal"/>
    <w:next w:val="Normal"/>
    <w:link w:val="Heading3Char"/>
    <w:uiPriority w:val="9"/>
    <w:semiHidden/>
    <w:unhideWhenUsed/>
    <w:qFormat/>
    <w:rsid w:val="0009494F"/>
    <w:pPr>
      <w:keepNext/>
      <w:keepLines/>
      <w:spacing w:before="160" w:after="80"/>
      <w:outlineLvl w:val="2"/>
    </w:pPr>
    <w:rPr>
      <w:rFonts w:eastAsiaTheme="majorEastAsia" w:cstheme="majorBidi"/>
      <w:color w:val="0F4761" w:themeColor="accent1" w:themeShade="BF"/>
      <w:sz w:val="28"/>
      <w:szCs w:val="28"/>
      <w:lang w:val="en-KR"/>
    </w:rPr>
  </w:style>
  <w:style w:type="paragraph" w:styleId="Heading4">
    <w:name w:val="heading 4"/>
    <w:basedOn w:val="Normal"/>
    <w:next w:val="Normal"/>
    <w:link w:val="Heading4Char"/>
    <w:uiPriority w:val="9"/>
    <w:semiHidden/>
    <w:unhideWhenUsed/>
    <w:qFormat/>
    <w:rsid w:val="0009494F"/>
    <w:pPr>
      <w:keepNext/>
      <w:keepLines/>
      <w:spacing w:before="80" w:after="40"/>
      <w:outlineLvl w:val="3"/>
    </w:pPr>
    <w:rPr>
      <w:rFonts w:eastAsiaTheme="majorEastAsia" w:cstheme="majorBidi"/>
      <w:i/>
      <w:iCs/>
      <w:color w:val="0F4761" w:themeColor="accent1" w:themeShade="BF"/>
      <w:lang w:val="en-KR"/>
    </w:rPr>
  </w:style>
  <w:style w:type="paragraph" w:styleId="Heading5">
    <w:name w:val="heading 5"/>
    <w:basedOn w:val="Normal"/>
    <w:next w:val="Normal"/>
    <w:link w:val="Heading5Char"/>
    <w:uiPriority w:val="9"/>
    <w:semiHidden/>
    <w:unhideWhenUsed/>
    <w:qFormat/>
    <w:rsid w:val="0009494F"/>
    <w:pPr>
      <w:keepNext/>
      <w:keepLines/>
      <w:spacing w:before="80" w:after="40"/>
      <w:outlineLvl w:val="4"/>
    </w:pPr>
    <w:rPr>
      <w:rFonts w:eastAsiaTheme="majorEastAsia" w:cstheme="majorBidi"/>
      <w:color w:val="0F4761" w:themeColor="accent1" w:themeShade="BF"/>
      <w:lang w:val="en-KR"/>
    </w:rPr>
  </w:style>
  <w:style w:type="paragraph" w:styleId="Heading6">
    <w:name w:val="heading 6"/>
    <w:basedOn w:val="Normal"/>
    <w:next w:val="Normal"/>
    <w:link w:val="Heading6Char"/>
    <w:uiPriority w:val="9"/>
    <w:semiHidden/>
    <w:unhideWhenUsed/>
    <w:qFormat/>
    <w:rsid w:val="0009494F"/>
    <w:pPr>
      <w:keepNext/>
      <w:keepLines/>
      <w:spacing w:before="40" w:after="0"/>
      <w:outlineLvl w:val="5"/>
    </w:pPr>
    <w:rPr>
      <w:rFonts w:eastAsiaTheme="majorEastAsia" w:cstheme="majorBidi"/>
      <w:i/>
      <w:iCs/>
      <w:color w:val="595959" w:themeColor="text1" w:themeTint="A6"/>
      <w:lang w:val="en-KR"/>
    </w:rPr>
  </w:style>
  <w:style w:type="paragraph" w:styleId="Heading7">
    <w:name w:val="heading 7"/>
    <w:basedOn w:val="Normal"/>
    <w:next w:val="Normal"/>
    <w:link w:val="Heading7Char"/>
    <w:uiPriority w:val="9"/>
    <w:semiHidden/>
    <w:unhideWhenUsed/>
    <w:qFormat/>
    <w:rsid w:val="0009494F"/>
    <w:pPr>
      <w:keepNext/>
      <w:keepLines/>
      <w:spacing w:before="40" w:after="0"/>
      <w:outlineLvl w:val="6"/>
    </w:pPr>
    <w:rPr>
      <w:rFonts w:eastAsiaTheme="majorEastAsia" w:cstheme="majorBidi"/>
      <w:color w:val="595959" w:themeColor="text1" w:themeTint="A6"/>
      <w:lang w:val="en-KR"/>
    </w:rPr>
  </w:style>
  <w:style w:type="paragraph" w:styleId="Heading8">
    <w:name w:val="heading 8"/>
    <w:basedOn w:val="Normal"/>
    <w:next w:val="Normal"/>
    <w:link w:val="Heading8Char"/>
    <w:uiPriority w:val="9"/>
    <w:semiHidden/>
    <w:unhideWhenUsed/>
    <w:qFormat/>
    <w:rsid w:val="0009494F"/>
    <w:pPr>
      <w:keepNext/>
      <w:keepLines/>
      <w:spacing w:after="0"/>
      <w:outlineLvl w:val="7"/>
    </w:pPr>
    <w:rPr>
      <w:rFonts w:eastAsiaTheme="majorEastAsia" w:cstheme="majorBidi"/>
      <w:i/>
      <w:iCs/>
      <w:color w:val="272727" w:themeColor="text1" w:themeTint="D8"/>
      <w:lang w:val="en-KR"/>
    </w:rPr>
  </w:style>
  <w:style w:type="paragraph" w:styleId="Heading9">
    <w:name w:val="heading 9"/>
    <w:basedOn w:val="Normal"/>
    <w:next w:val="Normal"/>
    <w:link w:val="Heading9Char"/>
    <w:uiPriority w:val="9"/>
    <w:semiHidden/>
    <w:unhideWhenUsed/>
    <w:qFormat/>
    <w:rsid w:val="0009494F"/>
    <w:pPr>
      <w:keepNext/>
      <w:keepLines/>
      <w:spacing w:after="0"/>
      <w:outlineLvl w:val="8"/>
    </w:pPr>
    <w:rPr>
      <w:rFonts w:eastAsiaTheme="majorEastAsia" w:cstheme="majorBidi"/>
      <w:color w:val="272727" w:themeColor="text1" w:themeTint="D8"/>
      <w:lang w:val="en-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4F"/>
    <w:rPr>
      <w:rFonts w:eastAsiaTheme="majorEastAsia" w:cstheme="majorBidi"/>
      <w:color w:val="272727" w:themeColor="text1" w:themeTint="D8"/>
    </w:rPr>
  </w:style>
  <w:style w:type="paragraph" w:styleId="Title">
    <w:name w:val="Title"/>
    <w:basedOn w:val="Normal"/>
    <w:next w:val="Normal"/>
    <w:link w:val="TitleChar"/>
    <w:uiPriority w:val="10"/>
    <w:qFormat/>
    <w:rsid w:val="0009494F"/>
    <w:pPr>
      <w:spacing w:after="80" w:line="240" w:lineRule="auto"/>
      <w:contextualSpacing/>
    </w:pPr>
    <w:rPr>
      <w:rFonts w:asciiTheme="majorHAnsi" w:eastAsiaTheme="majorEastAsia" w:hAnsiTheme="majorHAnsi" w:cstheme="majorBidi"/>
      <w:spacing w:val="-10"/>
      <w:kern w:val="28"/>
      <w:sz w:val="56"/>
      <w:szCs w:val="56"/>
      <w:lang w:val="en-KR"/>
    </w:rPr>
  </w:style>
  <w:style w:type="character" w:customStyle="1" w:styleId="TitleChar">
    <w:name w:val="Title Char"/>
    <w:basedOn w:val="DefaultParagraphFont"/>
    <w:link w:val="Title"/>
    <w:uiPriority w:val="10"/>
    <w:rsid w:val="00094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4F"/>
    <w:pPr>
      <w:numPr>
        <w:ilvl w:val="1"/>
      </w:numPr>
    </w:pPr>
    <w:rPr>
      <w:rFonts w:eastAsiaTheme="majorEastAsia" w:cstheme="majorBidi"/>
      <w:color w:val="595959" w:themeColor="text1" w:themeTint="A6"/>
      <w:spacing w:val="15"/>
      <w:sz w:val="28"/>
      <w:szCs w:val="28"/>
      <w:lang w:val="en-KR"/>
    </w:rPr>
  </w:style>
  <w:style w:type="character" w:customStyle="1" w:styleId="SubtitleChar">
    <w:name w:val="Subtitle Char"/>
    <w:basedOn w:val="DefaultParagraphFont"/>
    <w:link w:val="Subtitle"/>
    <w:uiPriority w:val="11"/>
    <w:rsid w:val="00094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4F"/>
    <w:pPr>
      <w:spacing w:before="160"/>
      <w:jc w:val="center"/>
    </w:pPr>
    <w:rPr>
      <w:i/>
      <w:iCs/>
      <w:color w:val="404040" w:themeColor="text1" w:themeTint="BF"/>
      <w:lang w:val="en-KR"/>
    </w:rPr>
  </w:style>
  <w:style w:type="character" w:customStyle="1" w:styleId="QuoteChar">
    <w:name w:val="Quote Char"/>
    <w:basedOn w:val="DefaultParagraphFont"/>
    <w:link w:val="Quote"/>
    <w:uiPriority w:val="29"/>
    <w:rsid w:val="0009494F"/>
    <w:rPr>
      <w:i/>
      <w:iCs/>
      <w:color w:val="404040" w:themeColor="text1" w:themeTint="BF"/>
    </w:rPr>
  </w:style>
  <w:style w:type="paragraph" w:styleId="ListParagraph">
    <w:name w:val="List Paragraph"/>
    <w:basedOn w:val="Normal"/>
    <w:uiPriority w:val="34"/>
    <w:qFormat/>
    <w:rsid w:val="0009494F"/>
    <w:pPr>
      <w:ind w:left="720"/>
      <w:contextualSpacing/>
    </w:pPr>
    <w:rPr>
      <w:lang w:val="en-KR"/>
    </w:rPr>
  </w:style>
  <w:style w:type="character" w:styleId="IntenseEmphasis">
    <w:name w:val="Intense Emphasis"/>
    <w:basedOn w:val="DefaultParagraphFont"/>
    <w:uiPriority w:val="21"/>
    <w:qFormat/>
    <w:rsid w:val="0009494F"/>
    <w:rPr>
      <w:i/>
      <w:iCs/>
      <w:color w:val="0F4761" w:themeColor="accent1" w:themeShade="BF"/>
    </w:rPr>
  </w:style>
  <w:style w:type="paragraph" w:styleId="IntenseQuote">
    <w:name w:val="Intense Quote"/>
    <w:basedOn w:val="Normal"/>
    <w:next w:val="Normal"/>
    <w:link w:val="IntenseQuoteChar"/>
    <w:uiPriority w:val="30"/>
    <w:qFormat/>
    <w:rsid w:val="00094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KR"/>
    </w:rPr>
  </w:style>
  <w:style w:type="character" w:customStyle="1" w:styleId="IntenseQuoteChar">
    <w:name w:val="Intense Quote Char"/>
    <w:basedOn w:val="DefaultParagraphFont"/>
    <w:link w:val="IntenseQuote"/>
    <w:uiPriority w:val="30"/>
    <w:rsid w:val="0009494F"/>
    <w:rPr>
      <w:i/>
      <w:iCs/>
      <w:color w:val="0F4761" w:themeColor="accent1" w:themeShade="BF"/>
    </w:rPr>
  </w:style>
  <w:style w:type="character" w:styleId="IntenseReference">
    <w:name w:val="Intense Reference"/>
    <w:basedOn w:val="DefaultParagraphFont"/>
    <w:uiPriority w:val="32"/>
    <w:qFormat/>
    <w:rsid w:val="00094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5887</Words>
  <Characters>32319</Characters>
  <Application>Microsoft Office Word</Application>
  <DocSecurity>0</DocSecurity>
  <Lines>520</Lines>
  <Paragraphs>111</Paragraphs>
  <ScaleCrop>false</ScaleCrop>
  <Company/>
  <LinksUpToDate>false</LinksUpToDate>
  <CharactersWithSpaces>38059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정성훈</dc:creator>
  <cp:keywords/>
  <dc:description/>
  <cp:lastModifiedBy>정성훈</cp:lastModifiedBy>
  <cp:revision>1</cp:revision>
  <dcterms:created xsi:type="dcterms:W3CDTF">2026-04-14T02:10:00Z</dcterms:created>
  <dcterms:modified xsi:type="dcterms:W3CDTF">2026-04-14T02:10:00Z</dcterms:modified>
</cp:coreProperties>
</file>