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3444F" w14:textId="77777777" w:rsidR="00E50D3B" w:rsidRPr="00355799" w:rsidRDefault="00E50D3B" w:rsidP="00E50D3B">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355799">
        <w:rPr>
          <w:rFonts w:asciiTheme="minorEastAsia" w:hAnsiTheme="minorEastAsia" w:cs="Batang"/>
          <w:color w:val="0432FF"/>
          <w:kern w:val="0"/>
          <w:sz w:val="20"/>
          <w:szCs w:val="20"/>
          <w:highlight w:val="yellow"/>
          <w14:ligatures w14:val="none"/>
        </w:rPr>
        <w:t>7-4</w:t>
      </w:r>
      <w:r w:rsidRPr="00355799">
        <w:rPr>
          <w:rFonts w:asciiTheme="minorEastAsia" w:hAnsiTheme="minorEastAsia" w:cs="Batang" w:hint="eastAsia"/>
          <w:color w:val="0432FF"/>
          <w:kern w:val="0"/>
          <w:sz w:val="20"/>
          <w:szCs w:val="20"/>
          <w:highlight w:val="yellow"/>
          <w14:ligatures w14:val="none"/>
        </w:rPr>
        <w:t xml:space="preserve">. 임상적 함의 </w:t>
      </w:r>
      <w:r w:rsidRPr="00355799">
        <w:rPr>
          <w:rFonts w:asciiTheme="minorEastAsia" w:hAnsiTheme="minorEastAsia" w:cs="Batang"/>
          <w:color w:val="0432FF"/>
          <w:kern w:val="0"/>
          <w:sz w:val="20"/>
          <w:szCs w:val="20"/>
          <w:highlight w:val="yellow"/>
          <w14:ligatures w14:val="none"/>
        </w:rPr>
        <w:t>(</w:t>
      </w:r>
      <w:r w:rsidRPr="00355799">
        <w:rPr>
          <w:rFonts w:asciiTheme="minorEastAsia" w:hAnsiTheme="minorEastAsia" w:cs="Batang" w:hint="eastAsia"/>
          <w:color w:val="0432FF"/>
          <w:kern w:val="0"/>
          <w:sz w:val="20"/>
          <w:szCs w:val="20"/>
          <w:highlight w:val="yellow"/>
          <w14:ligatures w14:val="none"/>
        </w:rPr>
        <w:t>필요 없는 것일지도 모르겠습니다.</w:t>
      </w:r>
      <w:r w:rsidRPr="00355799">
        <w:rPr>
          <w:rFonts w:asciiTheme="minorEastAsia" w:hAnsiTheme="minorEastAsia" w:cs="Batang"/>
          <w:color w:val="0432FF"/>
          <w:kern w:val="0"/>
          <w:sz w:val="20"/>
          <w:szCs w:val="20"/>
          <w:highlight w:val="yellow"/>
          <w14:ligatures w14:val="none"/>
        </w:rPr>
        <w:t xml:space="preserve"> </w:t>
      </w:r>
      <w:r w:rsidRPr="00355799">
        <w:rPr>
          <w:rFonts w:asciiTheme="minorEastAsia" w:hAnsiTheme="minorEastAsia" w:cs="Batang" w:hint="eastAsia"/>
          <w:color w:val="0432FF"/>
          <w:kern w:val="0"/>
          <w:sz w:val="20"/>
          <w:szCs w:val="20"/>
          <w:highlight w:val="yellow"/>
          <w14:ligatures w14:val="none"/>
        </w:rPr>
        <w:t>중언 부언?</w:t>
      </w:r>
      <w:r w:rsidRPr="00355799">
        <w:rPr>
          <w:rFonts w:asciiTheme="minorEastAsia" w:hAnsiTheme="minorEastAsia" w:cs="Batang"/>
          <w:color w:val="0432FF"/>
          <w:kern w:val="0"/>
          <w:sz w:val="20"/>
          <w:szCs w:val="20"/>
          <w:highlight w:val="yellow"/>
          <w14:ligatures w14:val="none"/>
        </w:rPr>
        <w:t xml:space="preserve">?) </w:t>
      </w:r>
    </w:p>
    <w:p w14:paraId="215055C8" w14:textId="77777777" w:rsidR="00E50D3B" w:rsidRPr="00355799" w:rsidRDefault="00E50D3B" w:rsidP="00E50D3B">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355799">
        <w:rPr>
          <w:rFonts w:asciiTheme="minorEastAsia" w:hAnsiTheme="minorEastAsia" w:cs="Batang"/>
          <w:color w:val="0432FF"/>
          <w:kern w:val="0"/>
          <w:sz w:val="20"/>
          <w:szCs w:val="20"/>
          <w:highlight w:val="yellow"/>
          <w14:ligatures w14:val="none"/>
        </w:rPr>
        <w:t>7-4. Clinical Implications</w:t>
      </w:r>
    </w:p>
    <w:p w14:paraId="21F78D49" w14:textId="77777777" w:rsidR="00E50D3B" w:rsidRPr="00355799" w:rsidRDefault="00E50D3B" w:rsidP="00E50D3B">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355799">
        <w:rPr>
          <w:rFonts w:asciiTheme="minorEastAsia" w:hAnsiTheme="minorEastAsia" w:cs="Batang" w:hint="eastAsia"/>
          <w:color w:val="0432FF"/>
          <w:kern w:val="0"/>
          <w:sz w:val="20"/>
          <w:szCs w:val="20"/>
          <w:highlight w:val="yellow"/>
          <w14:ligatures w14:val="none"/>
        </w:rPr>
        <w:t>이러한 발전을 종합해 보면, 급성 초조 상태의 약물학적 관리 방식이 정신의학적 임상 실천에서 보다 광범위한 변화를 겪고 있음을 알 수 있다. 과거에는 행동 이상을 신속히 억제하기 위해 근육주사를 통한 진정(intramuscular sedation)에 의존하는 경우가 많았으며, 이러한 개입은 때때로 강압적으로 인식될 수 있는 상황에서 이루어지기도 하였다. 이에 비해 최근의 연구들은 신속한 진정 효과를 유지하면서도 침습성을 줄이고 환자의 수용도를 높일 수 있는 치료 전략을 점점 더 강조하고 있다.</w:t>
      </w:r>
    </w:p>
    <w:p w14:paraId="30F3E2C4" w14:textId="77777777" w:rsidR="00E50D3B" w:rsidRPr="00355799" w:rsidRDefault="00E50D3B" w:rsidP="00E50D3B">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355799">
        <w:rPr>
          <w:rFonts w:asciiTheme="minorEastAsia" w:hAnsiTheme="minorEastAsia" w:cs="Batang"/>
          <w:color w:val="0432FF"/>
          <w:kern w:val="0"/>
          <w:sz w:val="20"/>
          <w:szCs w:val="20"/>
          <w:highlight w:val="yellow"/>
          <w14:ligatures w14:val="none"/>
        </w:rPr>
        <w:t>Taken together, recent developments in the pharmacological management of acute agitation illustrate a broader transformation in psychiatric practice. Earlier approaches frequently relied on intramuscular sedation to rapidly suppress behavioral disturbance, sometimes in circumstances that were perceived as coercive. In contrast, contemporary research increasingly emphasizes treatment strategies that maintain rapid calming effects while reducing invasiveness and improving patient acceptability.</w:t>
      </w:r>
    </w:p>
    <w:p w14:paraId="174F4A5A" w14:textId="77777777" w:rsidR="00E50D3B" w:rsidRPr="00355799" w:rsidRDefault="00E50D3B" w:rsidP="00E50D3B">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355799">
        <w:rPr>
          <w:rFonts w:asciiTheme="minorEastAsia" w:hAnsiTheme="minorEastAsia" w:cs="Batang" w:hint="eastAsia"/>
          <w:color w:val="0432FF"/>
          <w:kern w:val="0"/>
          <w:sz w:val="20"/>
          <w:szCs w:val="20"/>
          <w:highlight w:val="yellow"/>
          <w14:ligatures w14:val="none"/>
        </w:rPr>
        <w:t>흡입, 비강, 설하 제형과 같은 약물 전달 방식의 등장은 현대 정신의학에서 중요한 두 가지 목표를 조화시키려는 지속적인 노력을 반영한다. 즉, 심한 행동 이상 상황에서 환자와 주변의 안전을 확보하는 동시에 강압적 개입을 최소화하고 환자의 자율성을 보존하려는 것이다. 이러한 발전은 약리학과 약물 전달 기술의 진보가 물리적으로 강압적인 개입의 필요성을 줄이는 데 기여할 수 있음을 보여준다.</w:t>
      </w:r>
    </w:p>
    <w:p w14:paraId="57E42DAB" w14:textId="77777777" w:rsidR="00E50D3B" w:rsidRPr="00355799" w:rsidRDefault="00E50D3B" w:rsidP="00E50D3B">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355799">
        <w:rPr>
          <w:rFonts w:asciiTheme="minorEastAsia" w:hAnsiTheme="minorEastAsia" w:cs="Batang"/>
          <w:color w:val="0432FF"/>
          <w:kern w:val="0"/>
          <w:sz w:val="20"/>
          <w:szCs w:val="20"/>
          <w:highlight w:val="yellow"/>
          <w14:ligatures w14:val="none"/>
        </w:rPr>
        <w:t>The emergence of inhaled, intranasal, and sublingual formulations reflects ongoing efforts to reconcile two important goals in modern psychiatry: ensuring safety in situations of severe behavioral disturbance while minimizing coercion and preserving patient autonomy. These developments demonstrate how advances in pharmacology and drug delivery technologies may help reduce the need for physically coercive interventions.</w:t>
      </w:r>
    </w:p>
    <w:p w14:paraId="67B8E431" w14:textId="77777777" w:rsidR="00E50D3B" w:rsidRPr="00355799" w:rsidRDefault="00E50D3B" w:rsidP="00E50D3B">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355799">
        <w:rPr>
          <w:rFonts w:asciiTheme="minorEastAsia" w:hAnsiTheme="minorEastAsia" w:cs="Batang" w:hint="eastAsia"/>
          <w:color w:val="0432FF"/>
          <w:kern w:val="0"/>
          <w:sz w:val="20"/>
          <w:szCs w:val="20"/>
          <w:highlight w:val="yellow"/>
          <w14:ligatures w14:val="none"/>
        </w:rPr>
        <w:t>한편, 초기 진정제, 바르비투르산염, 그리고 공격적인 용량 전략과 관련된 역사적 경험은 약물학적 혁신이 종종 예상하지 못한 위험과 윤리적 논쟁을 동반해 왔음을 상기시킨다. 이러한 경험은 정신과 약물 치료에 대한 사회적 불신과 낙인이 형성되는 데 기여하였다. 이러한 우려는 일정 부분 환자를 보호하려는 사회적 반응으로 이해될 수 있지만, 동시에 과거의 역사적 경험이 오늘날의 임상 실천에 대한 해석에 여전히 강하게 영향을 미치는 결과를 낳기도 한다.</w:t>
      </w:r>
    </w:p>
    <w:p w14:paraId="3B171B4B" w14:textId="77777777" w:rsidR="00E50D3B" w:rsidRPr="00355799" w:rsidRDefault="00E50D3B" w:rsidP="00E50D3B">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355799">
        <w:rPr>
          <w:rFonts w:asciiTheme="minorEastAsia" w:hAnsiTheme="minorEastAsia" w:cs="Batang"/>
          <w:color w:val="0432FF"/>
          <w:kern w:val="0"/>
          <w:sz w:val="20"/>
          <w:szCs w:val="20"/>
          <w:highlight w:val="yellow"/>
          <w14:ligatures w14:val="none"/>
        </w:rPr>
        <w:t xml:space="preserve">At the same time, the historical experience of earlier sedative agents, barbiturates, and aggressive dosing strategies reminds us that pharmacological innovations have often been accompanied by unintended risks and ethical controversies. Such experiences contributed to the development of social distrust and stigma toward psychiatric pharmacotherapy. While these concerns may partly represent </w:t>
      </w:r>
      <w:r w:rsidRPr="00355799">
        <w:rPr>
          <w:rFonts w:asciiTheme="minorEastAsia" w:hAnsiTheme="minorEastAsia" w:cs="Batang"/>
          <w:color w:val="0432FF"/>
          <w:kern w:val="0"/>
          <w:sz w:val="20"/>
          <w:szCs w:val="20"/>
          <w:highlight w:val="yellow"/>
          <w14:ligatures w14:val="none"/>
        </w:rPr>
        <w:lastRenderedPageBreak/>
        <w:t>protective societal responses, they may also lead to interpretations of contemporary practice that remain strongly influenced by historical experiences.</w:t>
      </w:r>
    </w:p>
    <w:p w14:paraId="007EF0E1" w14:textId="77777777" w:rsidR="00E50D3B" w:rsidRPr="00355799" w:rsidRDefault="00E50D3B" w:rsidP="00E50D3B">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p>
    <w:p w14:paraId="20EB990B" w14:textId="77777777" w:rsidR="00E50D3B" w:rsidRPr="00355799" w:rsidRDefault="00E50D3B" w:rsidP="00E50D3B">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355799">
        <w:rPr>
          <w:rFonts w:asciiTheme="minorEastAsia" w:hAnsiTheme="minorEastAsia" w:cs="Batang" w:hint="eastAsia"/>
          <w:color w:val="0432FF"/>
          <w:kern w:val="0"/>
          <w:sz w:val="20"/>
          <w:szCs w:val="20"/>
          <w:highlight w:val="yellow"/>
          <w14:ligatures w14:val="none"/>
        </w:rPr>
        <w:t>현대 정신약리학과 급성 초조 상태 관리 전략은 안전성, 모니터링 체계, 그리고 치료적 정교함 측면에서 과거에 비해 상당한 수준의 향상을 이루어 왔다. 그러나 윤리적 논의와 사회적 인식은 항상 임상 실천의 변화와 동일한 속도로 발전하는 것은 아니다. 그 결과 정책적 논의와 일상적인 임상 의사결정 사이에 일정한 개념적 간극이 발생할 수 있다.</w:t>
      </w:r>
    </w:p>
    <w:p w14:paraId="095B0268" w14:textId="77777777" w:rsidR="00E50D3B" w:rsidRPr="00355799" w:rsidRDefault="00E50D3B" w:rsidP="00E50D3B">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355799">
        <w:rPr>
          <w:rFonts w:asciiTheme="minorEastAsia" w:hAnsiTheme="minorEastAsia" w:cs="Batang"/>
          <w:color w:val="0432FF"/>
          <w:kern w:val="0"/>
          <w:sz w:val="20"/>
          <w:szCs w:val="20"/>
          <w:highlight w:val="yellow"/>
          <w14:ligatures w14:val="none"/>
        </w:rPr>
        <w:t>Modern psychopharmacology and current strategies for managing acute agitation have achieved substantially improved levels of safety, monitoring, and therapeutic precision. Nevertheless, ethical debates and social perceptions do not always evolve at the same pace as clinical practice. As a result, a conceptual gap may emerge between policy discussions and everyday clinical decision-making.</w:t>
      </w:r>
    </w:p>
    <w:p w14:paraId="037812BC" w14:textId="77777777" w:rsidR="00E50D3B" w:rsidRPr="00355799" w:rsidRDefault="00E50D3B" w:rsidP="00E50D3B">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355799">
        <w:rPr>
          <w:rFonts w:asciiTheme="minorEastAsia" w:hAnsiTheme="minorEastAsia" w:cs="Batang" w:hint="eastAsia"/>
          <w:color w:val="0432FF"/>
          <w:kern w:val="0"/>
          <w:sz w:val="20"/>
          <w:szCs w:val="20"/>
          <w:highlight w:val="yellow"/>
          <w14:ligatures w14:val="none"/>
        </w:rPr>
        <w:t>이러한 이유로 chemical restraint에 대한 현대적 논의는 역사적 경험에서 얻은 교훈과 함께 현대 임상 실천이 이루어 온 상당한 발전을 동시에 고려할 필요가 있다. 역사적 성찰은 여전히 중요하지만, 오늘날의 정신과 진료는 과거의 개념적 틀만으로 충분히 이해될 수는 없다. 따라서 현재의 임상 실천은 역사적 인식, 환자 보호를 위한 윤리적 장치, 그리고 현대 정신약리학의 발전 사이에서 균형을 모색하는 지속적인 과정으로 이해될 필요가 있다.</w:t>
      </w:r>
    </w:p>
    <w:p w14:paraId="307361F2" w14:textId="77777777" w:rsidR="00E50D3B" w:rsidRPr="00355799" w:rsidRDefault="00E50D3B" w:rsidP="00E50D3B">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55799">
        <w:rPr>
          <w:rFonts w:asciiTheme="minorEastAsia" w:hAnsiTheme="minorEastAsia" w:cs="Batang"/>
          <w:color w:val="0432FF"/>
          <w:kern w:val="0"/>
          <w:sz w:val="20"/>
          <w:szCs w:val="20"/>
          <w:highlight w:val="yellow"/>
          <w14:ligatures w14:val="none"/>
        </w:rPr>
        <w:t>For this reason, contemporary discussions of chemical restraint should consider both the lessons of historical experience and the substantial evolution of modern clinical practice. Although historical reflection remains essential, present-day psychiatric care cannot be fully understood solely through conceptual frameworks derived from earlier periods. Current clinical practice should therefore be viewed as an ongoing effort to balance historical awareness, ethical safeguards for patients, and the advances achieved in modern psychopharmacology.</w:t>
      </w:r>
    </w:p>
    <w:p w14:paraId="5581401D" w14:textId="77777777" w:rsidR="00E50D3B" w:rsidRPr="00355799" w:rsidRDefault="00E50D3B" w:rsidP="00E50D3B">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599564FB" w14:textId="77777777" w:rsidR="00E50D3B" w:rsidRDefault="00E50D3B" w:rsidP="000713C6">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383AAAB2" w14:textId="77777777" w:rsidR="00E50D3B" w:rsidRDefault="00E50D3B" w:rsidP="000713C6">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0AF8637B" w14:textId="534FD211" w:rsidR="000713C6" w:rsidRDefault="000713C6" w:rsidP="000713C6">
      <w:pPr>
        <w:spacing w:before="100" w:beforeAutospacing="1" w:after="100" w:afterAutospacing="1" w:line="240" w:lineRule="auto"/>
        <w:jc w:val="both"/>
        <w:rPr>
          <w:rFonts w:asciiTheme="minorEastAsia" w:hAnsiTheme="minorEastAsia" w:cs="Batang"/>
          <w:color w:val="0432FF"/>
          <w:kern w:val="0"/>
          <w:sz w:val="20"/>
          <w:szCs w:val="20"/>
          <w14:ligatures w14:val="none"/>
        </w:rPr>
      </w:pPr>
      <w:r>
        <w:rPr>
          <w:rFonts w:asciiTheme="minorEastAsia" w:hAnsiTheme="minorEastAsia" w:cs="Batang"/>
          <w:color w:val="0432FF"/>
          <w:kern w:val="0"/>
          <w:sz w:val="20"/>
          <w:szCs w:val="20"/>
          <w14:ligatures w14:val="none"/>
        </w:rPr>
        <w:t xml:space="preserve">8. </w:t>
      </w:r>
      <w:r w:rsidRPr="000555A8">
        <w:rPr>
          <w:rFonts w:asciiTheme="minorEastAsia" w:hAnsiTheme="minorEastAsia" w:cs="Batang" w:hint="eastAsia"/>
          <w:color w:val="0432FF"/>
          <w:kern w:val="0"/>
          <w:sz w:val="20"/>
          <w:szCs w:val="20"/>
          <w14:ligatures w14:val="none"/>
        </w:rPr>
        <w:t>급성 초조 및 폭력 관리에서 환자의 존엄성과 자율성 침해를 최소화하기 위한 최근의 노력</w:t>
      </w:r>
    </w:p>
    <w:p w14:paraId="760D2419" w14:textId="77777777" w:rsidR="000713C6" w:rsidRDefault="000713C6" w:rsidP="000713C6">
      <w:pPr>
        <w:rPr>
          <w:rFonts w:ascii="Malgun Gothic" w:eastAsia="Malgun Gothic" w:hAnsi="Malgun Gothic" w:cs="Times New Roman"/>
          <w:color w:val="0432FF"/>
          <w:sz w:val="20"/>
          <w:szCs w:val="20"/>
        </w:rPr>
      </w:pPr>
      <w:r>
        <w:rPr>
          <w:rFonts w:ascii="Malgun Gothic" w:eastAsia="Malgun Gothic" w:hAnsi="Malgun Gothic" w:cs="Times New Roman"/>
          <w:color w:val="0432FF"/>
          <w:sz w:val="20"/>
          <w:szCs w:val="20"/>
        </w:rPr>
        <w:t xml:space="preserve">8. </w:t>
      </w:r>
      <w:r w:rsidRPr="000555A8">
        <w:rPr>
          <w:rFonts w:ascii="Malgun Gothic" w:eastAsia="Malgun Gothic" w:hAnsi="Malgun Gothic" w:cs="Times New Roman"/>
          <w:color w:val="0432FF"/>
          <w:sz w:val="20"/>
          <w:szCs w:val="20"/>
        </w:rPr>
        <w:t>Recent Efforts to Minimize Violations of Patient Dignity and Autonomy in the Management of Acute Agitation and Violence</w:t>
      </w:r>
      <w:r>
        <w:rPr>
          <w:rFonts w:ascii="Malgun Gothic" w:eastAsia="Malgun Gothic" w:hAnsi="Malgun Gothic" w:cs="Times New Roman"/>
          <w:color w:val="0432FF"/>
          <w:sz w:val="20"/>
          <w:szCs w:val="20"/>
        </w:rPr>
        <w:t xml:space="preserve"> </w:t>
      </w:r>
    </w:p>
    <w:p w14:paraId="712EB8AF" w14:textId="77777777" w:rsidR="000713C6" w:rsidRPr="00A90116" w:rsidRDefault="000713C6" w:rsidP="000713C6">
      <w:pPr>
        <w:jc w:val="both"/>
        <w:rPr>
          <w:rFonts w:ascii="Malgun Gothic" w:eastAsia="Malgun Gothic" w:hAnsi="Malgun Gothic" w:cs="Times New Roman"/>
          <w:color w:val="0432FF"/>
          <w:sz w:val="20"/>
          <w:szCs w:val="20"/>
        </w:rPr>
      </w:pPr>
      <w:r w:rsidRPr="00A90116">
        <w:rPr>
          <w:rFonts w:ascii="Malgun Gothic" w:eastAsia="Malgun Gothic" w:hAnsi="Malgun Gothic" w:cs="Times New Roman" w:hint="eastAsia"/>
          <w:color w:val="0432FF"/>
          <w:sz w:val="20"/>
          <w:szCs w:val="20"/>
        </w:rPr>
        <w:lastRenderedPageBreak/>
        <w:t>급성기 정신과 병동에서의 격리와 강박이 단순히 환자의 증상에 의해 결정되는 것이 아니라 병동의 물리적 환경과 의료진과의 상호작용 등 환경적·조직적 요인에 의해 크게 영향을 받는다는 것은 잘 알려진 사실이다. 이러한 점은 격리와 강박을 줄이기 위해서는 병동 구조의 개선과 의료진의 의사소통 및 대응 역량 강화가 환자의 존엄성과 자율성에 대한 침해를 최소화하는 데 선행되어야 함을 시사한다</w:t>
      </w:r>
      <w:r>
        <w:rPr>
          <w:rFonts w:ascii="Malgun Gothic" w:eastAsia="Malgun Gothic" w:hAnsi="Malgun Gothic" w:cs="Times New Roman" w:hint="eastAsia"/>
          <w:color w:val="0432FF"/>
          <w:sz w:val="20"/>
          <w:szCs w:val="20"/>
        </w:rPr>
        <w:t xml:space="preserve"> </w:t>
      </w:r>
      <w:r>
        <w:rPr>
          <w:rFonts w:ascii="Malgun Gothic" w:eastAsia="Malgun Gothic" w:hAnsi="Malgun Gothic" w:cs="Times New Roman"/>
          <w:color w:val="0432FF"/>
          <w:sz w:val="20"/>
          <w:szCs w:val="20"/>
        </w:rPr>
        <w:t>(</w:t>
      </w:r>
      <w:r w:rsidRPr="00FF43C2">
        <w:rPr>
          <w:rFonts w:ascii="Malgun Gothic" w:eastAsia="Malgun Gothic" w:hAnsi="Malgun Gothic" w:cs="Times New Roman"/>
          <w:color w:val="7030A0"/>
          <w:sz w:val="20"/>
          <w:szCs w:val="20"/>
        </w:rPr>
        <w:t xml:space="preserve">Daguman IV E, Taylor A, Flowers M, et al. Drivers of seclusion and physical restraint in an acute mental health unit. Issues Ment Health Nurs. 2025;46(9):937-947; </w:t>
      </w:r>
      <w:r w:rsidRPr="0075280E">
        <w:rPr>
          <w:rFonts w:ascii="Malgun Gothic" w:eastAsia="Malgun Gothic" w:hAnsi="Malgun Gothic" w:cs="Times New Roman"/>
          <w:color w:val="7030A0"/>
          <w:sz w:val="20"/>
          <w:szCs w:val="20"/>
        </w:rPr>
        <w:t>Daguman EI, Yoxall J, Lakeman R, Hutchinson M. Functional, Contextual, and Interventional Drivers of Formal Coercion in Acute Mental Health Units: A Feature Analysis. International Journal of Mental Health Nursing. 2026 Feb;35(1):e70240</w:t>
      </w:r>
      <w:r>
        <w:rPr>
          <w:rFonts w:ascii="Malgun Gothic" w:eastAsia="Malgun Gothic" w:hAnsi="Malgun Gothic" w:cs="Times New Roman"/>
          <w:color w:val="0432FF"/>
          <w:sz w:val="20"/>
          <w:szCs w:val="20"/>
        </w:rPr>
        <w:t>)</w:t>
      </w:r>
      <w:r w:rsidRPr="00A90116">
        <w:rPr>
          <w:rFonts w:ascii="Malgun Gothic" w:eastAsia="Malgun Gothic" w:hAnsi="Malgun Gothic" w:cs="Times New Roman" w:hint="eastAsia"/>
          <w:color w:val="0432FF"/>
          <w:sz w:val="20"/>
          <w:szCs w:val="20"/>
        </w:rPr>
        <w:t>. 본 논문에서는 화학적 억제(chemical restraint)에 초점을 두고 논의를 전개하고자 하므로, 이에 대한 상세한 논의는 다음 기회로 미루고자 한다.</w:t>
      </w:r>
    </w:p>
    <w:p w14:paraId="286FF71B" w14:textId="77777777" w:rsidR="000713C6" w:rsidRPr="00A90116" w:rsidRDefault="000713C6" w:rsidP="000713C6">
      <w:pPr>
        <w:jc w:val="both"/>
        <w:rPr>
          <w:rFonts w:ascii="Malgun Gothic" w:eastAsia="Malgun Gothic" w:hAnsi="Malgun Gothic" w:cs="Times New Roman"/>
          <w:color w:val="0432FF"/>
          <w:sz w:val="20"/>
          <w:szCs w:val="20"/>
        </w:rPr>
      </w:pPr>
      <w:r w:rsidRPr="0075280E">
        <w:rPr>
          <w:rFonts w:ascii="Malgun Gothic" w:eastAsia="Malgun Gothic" w:hAnsi="Malgun Gothic" w:cs="Times New Roman"/>
          <w:color w:val="0432FF"/>
          <w:sz w:val="20"/>
          <w:szCs w:val="20"/>
        </w:rPr>
        <w:t xml:space="preserve">The use of seclusion and physical restraint in acute psychiatric wards is not determined solely by patients’ symptoms but is also substantially influenced by environmental and organizational factors, including the physical ward setting and interactions with healthcare staff. This suggests that efforts to reduce seclusion and restraint should extend beyond pharmacological management and prioritize structural improvements in the ward environment as well as the enhancement of clinicians’ communication and response skills, in order to minimize infringements on patients’ dignity and autonomy. </w:t>
      </w:r>
      <w:r>
        <w:rPr>
          <w:rFonts w:ascii="Malgun Gothic" w:eastAsia="Malgun Gothic" w:hAnsi="Malgun Gothic" w:cs="Times New Roman"/>
          <w:color w:val="0432FF"/>
          <w:sz w:val="20"/>
          <w:szCs w:val="20"/>
        </w:rPr>
        <w:t>(</w:t>
      </w:r>
      <w:r w:rsidRPr="00FF43C2">
        <w:rPr>
          <w:rFonts w:ascii="Malgun Gothic" w:eastAsia="Malgun Gothic" w:hAnsi="Malgun Gothic" w:cs="Times New Roman"/>
          <w:color w:val="7030A0"/>
          <w:sz w:val="20"/>
          <w:szCs w:val="20"/>
        </w:rPr>
        <w:t>Daguman IV E, Taylor A, Flowers M, et al. Drivers of seclusion and physical restraint in an acute mental health unit. Issues Ment Health Nurs. 2025;46(9):937-947; Daguman EI, Yoxall J, Lakeman R, Hutchinson M. Functional, Contextual, and Interventional Drivers of Formal Coercion in Acute Mental Health Units: A Feature Analysis. International Journal of Mental Health Nursing. 2026 Feb;35(1):e70240</w:t>
      </w:r>
      <w:r>
        <w:rPr>
          <w:rFonts w:ascii="Malgun Gothic" w:eastAsia="Malgun Gothic" w:hAnsi="Malgun Gothic" w:cs="Times New Roman"/>
          <w:color w:val="0432FF"/>
          <w:sz w:val="20"/>
          <w:szCs w:val="20"/>
        </w:rPr>
        <w:t>)</w:t>
      </w:r>
      <w:r w:rsidRPr="00A90116">
        <w:rPr>
          <w:rFonts w:ascii="Malgun Gothic" w:eastAsia="Malgun Gothic" w:hAnsi="Malgun Gothic" w:cs="Times New Roman" w:hint="eastAsia"/>
          <w:color w:val="0432FF"/>
          <w:sz w:val="20"/>
          <w:szCs w:val="20"/>
        </w:rPr>
        <w:t xml:space="preserve">. </w:t>
      </w:r>
      <w:r w:rsidRPr="0075280E">
        <w:rPr>
          <w:rFonts w:ascii="Malgun Gothic" w:eastAsia="Malgun Gothic" w:hAnsi="Malgun Gothic" w:cs="Times New Roman"/>
          <w:color w:val="0432FF"/>
          <w:sz w:val="20"/>
          <w:szCs w:val="20"/>
        </w:rPr>
        <w:t>However, as the present paper focuses on chemical restraint, a detailed discussion of these issues is beyond its scope and will be addressed elsewhere.</w:t>
      </w:r>
    </w:p>
    <w:p w14:paraId="6A677F14" w14:textId="77777777" w:rsidR="000713C6" w:rsidRDefault="000713C6" w:rsidP="000713C6">
      <w:pPr>
        <w:jc w:val="both"/>
        <w:rPr>
          <w:rFonts w:ascii="Malgun Gothic" w:eastAsia="Malgun Gothic" w:hAnsi="Malgun Gothic" w:cs="Times New Roman"/>
          <w:color w:val="0432FF"/>
          <w:sz w:val="20"/>
          <w:szCs w:val="20"/>
        </w:rPr>
      </w:pPr>
      <w:r>
        <w:rPr>
          <w:rFonts w:ascii="Malgun Gothic" w:eastAsia="Malgun Gothic" w:hAnsi="Malgun Gothic" w:cs="Times New Roman" w:hint="eastAsia"/>
          <w:color w:val="0432FF"/>
          <w:sz w:val="20"/>
          <w:szCs w:val="20"/>
        </w:rPr>
        <w:t>실</w:t>
      </w:r>
      <w:r w:rsidRPr="0075280E">
        <w:rPr>
          <w:rFonts w:ascii="Malgun Gothic" w:eastAsia="Malgun Gothic" w:hAnsi="Malgun Gothic" w:cs="Times New Roman" w:hint="eastAsia"/>
          <w:color w:val="0432FF"/>
          <w:sz w:val="20"/>
          <w:szCs w:val="20"/>
        </w:rPr>
        <w:t>제 임상에서는 의료진이 응급 상황에 아무리 신속하게 대응하더라도, 초조와 폭력은 갑작스럽게 발생하기보다는 사소한 유발 요인에서 점진적으로 고조되는 경향이 있으므로, 이론적으로는 이러한 cascade가 시작하기 전에 이를 인식하고 대응하는 것은 환자의 존엄성과 자율성에 대한 침해를 최소화하는 데 중요하다. 그러나 현실에서는 격리와 강박 중심의 관리가 지속되어 온 역사적 맥락을 고려할 때, 주체–대리인 관계(principal–agent relationship)와 제도적 유인</w:t>
      </w:r>
      <w:r>
        <w:rPr>
          <w:rFonts w:ascii="Malgun Gothic" w:eastAsia="Malgun Gothic" w:hAnsi="Malgun Gothic" w:cs="Times New Roman" w:hint="eastAsia"/>
          <w:color w:val="0432FF"/>
          <w:sz w:val="20"/>
          <w:szCs w:val="20"/>
        </w:rPr>
        <w:t>이</w:t>
      </w:r>
      <w:r w:rsidRPr="0075280E">
        <w:rPr>
          <w:rFonts w:ascii="Malgun Gothic" w:eastAsia="Malgun Gothic" w:hAnsi="Malgun Gothic" w:cs="Times New Roman" w:hint="eastAsia"/>
          <w:color w:val="0432FF"/>
          <w:sz w:val="20"/>
          <w:szCs w:val="20"/>
        </w:rPr>
        <w:t xml:space="preserve"> 충분히 고려</w:t>
      </w:r>
      <w:r>
        <w:rPr>
          <w:rFonts w:ascii="Malgun Gothic" w:eastAsia="Malgun Gothic" w:hAnsi="Malgun Gothic" w:cs="Times New Roman" w:hint="eastAsia"/>
          <w:color w:val="0432FF"/>
          <w:sz w:val="20"/>
          <w:szCs w:val="20"/>
        </w:rPr>
        <w:t>되</w:t>
      </w:r>
      <w:r w:rsidRPr="0075280E">
        <w:rPr>
          <w:rFonts w:ascii="Malgun Gothic" w:eastAsia="Malgun Gothic" w:hAnsi="Malgun Gothic" w:cs="Times New Roman" w:hint="eastAsia"/>
          <w:color w:val="0432FF"/>
          <w:sz w:val="20"/>
          <w:szCs w:val="20"/>
        </w:rPr>
        <w:t>지 않는 현실에서 이러한 접근이 임상 현장에서 이루어지기는 쉽지 않다</w:t>
      </w:r>
      <w:r>
        <w:rPr>
          <w:rFonts w:ascii="Malgun Gothic" w:eastAsia="Malgun Gothic" w:hAnsi="Malgun Gothic" w:cs="Times New Roman" w:hint="eastAsia"/>
          <w:color w:val="0432FF"/>
          <w:sz w:val="20"/>
          <w:szCs w:val="20"/>
        </w:rPr>
        <w:t xml:space="preserve"> </w:t>
      </w:r>
      <w:r>
        <w:rPr>
          <w:rFonts w:ascii="Malgun Gothic" w:eastAsia="Malgun Gothic" w:hAnsi="Malgun Gothic" w:cs="Times New Roman"/>
          <w:color w:val="0432FF"/>
          <w:sz w:val="20"/>
          <w:szCs w:val="20"/>
        </w:rPr>
        <w:t>(</w:t>
      </w:r>
      <w:r w:rsidRPr="00E36FB3">
        <w:rPr>
          <w:rFonts w:ascii="Malgun Gothic" w:eastAsia="Malgun Gothic" w:hAnsi="Malgun Gothic" w:cs="Times New Roman"/>
          <w:color w:val="7030A0"/>
          <w:sz w:val="20"/>
          <w:szCs w:val="20"/>
        </w:rPr>
        <w:t xml:space="preserve">McAfee RP, McMillan J. Bidding for contracts: a principal-agent analysis. RAND J Econ. 1986;17(3):326-38; Song H, Yu S, Sun T. Reducing the quality risk of elderly care services in government procurement from market-oriented private providers through ex ante policy design: lessons from the principal-agent theory analysis. BMC Health Services Research. </w:t>
      </w:r>
      <w:r w:rsidRPr="00E36FB3">
        <w:rPr>
          <w:rFonts w:ascii="Malgun Gothic" w:eastAsia="Malgun Gothic" w:hAnsi="Malgun Gothic" w:cs="Times New Roman"/>
          <w:color w:val="7030A0"/>
          <w:sz w:val="20"/>
          <w:szCs w:val="20"/>
        </w:rPr>
        <w:lastRenderedPageBreak/>
        <w:t>2020 Dec 10;20(1):1135</w:t>
      </w:r>
      <w:r>
        <w:rPr>
          <w:rFonts w:ascii="Malgun Gothic" w:eastAsia="Malgun Gothic" w:hAnsi="Malgun Gothic" w:cs="Times New Roman"/>
          <w:color w:val="7030A0"/>
          <w:sz w:val="20"/>
          <w:szCs w:val="20"/>
        </w:rPr>
        <w:t xml:space="preserve">; </w:t>
      </w:r>
      <w:r w:rsidRPr="00A55295">
        <w:rPr>
          <w:rFonts w:ascii="Malgun Gothic" w:eastAsia="Malgun Gothic" w:hAnsi="Malgun Gothic" w:cs="Times New Roman"/>
          <w:color w:val="7030A0"/>
          <w:sz w:val="20"/>
          <w:szCs w:val="20"/>
        </w:rPr>
        <w:t>Hayward BA. Principals, agents, and the moral hazard of chemical restraint regulation in Australian disability services. Research and Practice in Intellectual and Developmental Disabilities. 2025 Jul 3;12(2):179-91</w:t>
      </w:r>
      <w:r>
        <w:rPr>
          <w:rFonts w:ascii="Malgun Gothic" w:eastAsia="Malgun Gothic" w:hAnsi="Malgun Gothic" w:cs="Times New Roman"/>
          <w:color w:val="0432FF"/>
          <w:sz w:val="20"/>
          <w:szCs w:val="20"/>
        </w:rPr>
        <w:t>).</w:t>
      </w:r>
    </w:p>
    <w:p w14:paraId="1F830BEB" w14:textId="77777777" w:rsidR="000713C6" w:rsidRDefault="000713C6" w:rsidP="000713C6">
      <w:pPr>
        <w:jc w:val="both"/>
        <w:rPr>
          <w:rFonts w:asciiTheme="minorEastAsia" w:hAnsiTheme="minorEastAsia" w:cs="Batang"/>
          <w:color w:val="0432FF"/>
          <w:kern w:val="0"/>
          <w:sz w:val="20"/>
          <w:szCs w:val="20"/>
          <w14:ligatures w14:val="none"/>
        </w:rPr>
      </w:pPr>
      <w:r w:rsidRPr="00E70710">
        <w:rPr>
          <w:rFonts w:asciiTheme="minorEastAsia" w:hAnsiTheme="minorEastAsia" w:cs="Batang"/>
          <w:color w:val="0432FF"/>
          <w:kern w:val="0"/>
          <w:sz w:val="20"/>
          <w:szCs w:val="20"/>
          <w14:ligatures w14:val="none"/>
        </w:rPr>
        <w:t>No matter how quickly medical staff respond to emergency situations, intervention typically begins only after an incident has already occurred. Since agitation and violence tend to escalate gradually from minor triggers rather than occurring suddenly, recognizing and responding to these changes at an earlier stage is essential for minimizing violations of patient dignity and autonomy. However, given the historical reliance on seclusion and restraint, such an approach remains difficult to implement in real-world clinical practice.</w:t>
      </w:r>
    </w:p>
    <w:p w14:paraId="016CEE32" w14:textId="77777777" w:rsidR="000713C6" w:rsidRPr="0019432A" w:rsidRDefault="000713C6" w:rsidP="000713C6">
      <w:pPr>
        <w:jc w:val="both"/>
        <w:rPr>
          <w:rFonts w:ascii="Malgun Gothic" w:eastAsia="Malgun Gothic" w:hAnsi="Malgun Gothic" w:cs="Times New Roman"/>
          <w:color w:val="0432FF"/>
          <w:sz w:val="20"/>
          <w:szCs w:val="20"/>
        </w:rPr>
      </w:pPr>
      <w:r w:rsidRPr="00FF43C2">
        <w:rPr>
          <w:rFonts w:asciiTheme="minorEastAsia" w:hAnsiTheme="minorEastAsia" w:cs="Batang"/>
          <w:color w:val="0432FF"/>
          <w:kern w:val="0"/>
          <w:sz w:val="20"/>
          <w:szCs w:val="20"/>
          <w14:ligatures w14:val="none"/>
        </w:rPr>
        <w:t>In real-world clinical practice, even when healthcare staff respond as rapidly as possible in emergency situations, agitation and violence tend to escalate progressively from minor triggers rather than occurring abruptly. Therefore, in theory, recognizing and intervening before such a cascade begins is important for minimizing infringements on patients’ dignity and autonomy. However, in practice, given the historical reliance on seclusion- and restraint-centered management, and in the absence of sufficient consideration of principal–agent relationships and institutional incentives, implementing such an approach in clinical settings is not straightforward</w:t>
      </w:r>
      <w:r>
        <w:rPr>
          <w:rFonts w:asciiTheme="minorEastAsia" w:hAnsiTheme="minorEastAsia" w:cs="Batang"/>
          <w:color w:val="0432FF"/>
          <w:kern w:val="0"/>
          <w:sz w:val="20"/>
          <w:szCs w:val="20"/>
          <w14:ligatures w14:val="none"/>
        </w:rPr>
        <w:t xml:space="preserve"> </w:t>
      </w:r>
      <w:r>
        <w:rPr>
          <w:rFonts w:ascii="Malgun Gothic" w:eastAsia="Malgun Gothic" w:hAnsi="Malgun Gothic" w:cs="Times New Roman"/>
          <w:color w:val="0432FF"/>
          <w:sz w:val="20"/>
          <w:szCs w:val="20"/>
        </w:rPr>
        <w:t>(</w:t>
      </w:r>
      <w:r w:rsidRPr="00E36FB3">
        <w:rPr>
          <w:rFonts w:ascii="Malgun Gothic" w:eastAsia="Malgun Gothic" w:hAnsi="Malgun Gothic" w:cs="Times New Roman"/>
          <w:color w:val="7030A0"/>
          <w:sz w:val="20"/>
          <w:szCs w:val="20"/>
        </w:rPr>
        <w:t>McAfee RP, McMillan J. Bidding for contracts: a principal-agent analysis. RAND J Econ. 1986;17(3):326-38; Song H, Yu S, Sun T. Reducing the quality risk of elderly care services in government procurement from market-oriented private providers through ex ante policy design: lessons from the principal-agent theory analysis. BMC Health Services Research. 2020 Dec 10;20(1):1135</w:t>
      </w:r>
      <w:r>
        <w:rPr>
          <w:rFonts w:ascii="Malgun Gothic" w:eastAsia="Malgun Gothic" w:hAnsi="Malgun Gothic" w:cs="Times New Roman"/>
          <w:color w:val="7030A0"/>
          <w:sz w:val="20"/>
          <w:szCs w:val="20"/>
        </w:rPr>
        <w:t xml:space="preserve">; </w:t>
      </w:r>
      <w:r w:rsidRPr="00A55295">
        <w:rPr>
          <w:rFonts w:ascii="Malgun Gothic" w:eastAsia="Malgun Gothic" w:hAnsi="Malgun Gothic" w:cs="Times New Roman"/>
          <w:color w:val="7030A0"/>
          <w:sz w:val="20"/>
          <w:szCs w:val="20"/>
        </w:rPr>
        <w:t>Hayward BA. Principals, agents, and the moral hazard of chemical restraint regulation in Australian disability services. Research and Practice in Intellectual and Developmental Disabilities. 2025 Jul 3;12(2):179-91</w:t>
      </w:r>
      <w:r>
        <w:rPr>
          <w:rFonts w:ascii="Malgun Gothic" w:eastAsia="Malgun Gothic" w:hAnsi="Malgun Gothic" w:cs="Times New Roman"/>
          <w:color w:val="0432FF"/>
          <w:sz w:val="20"/>
          <w:szCs w:val="20"/>
        </w:rPr>
        <w:t>)</w:t>
      </w:r>
      <w:r>
        <w:rPr>
          <w:rFonts w:ascii="Malgun Gothic" w:eastAsia="Malgun Gothic" w:hAnsi="Malgun Gothic" w:cs="Times New Roman" w:hint="eastAsia"/>
          <w:color w:val="0432FF"/>
          <w:sz w:val="20"/>
          <w:szCs w:val="20"/>
        </w:rPr>
        <w:t>.</w:t>
      </w:r>
    </w:p>
    <w:p w14:paraId="4AFAB401" w14:textId="77777777" w:rsidR="000713C6" w:rsidRDefault="000713C6" w:rsidP="000713C6">
      <w:pPr>
        <w:jc w:val="both"/>
        <w:rPr>
          <w:rFonts w:asciiTheme="minorEastAsia" w:hAnsiTheme="minorEastAsia" w:cs="Batang"/>
          <w:color w:val="0432FF"/>
          <w:kern w:val="0"/>
          <w:sz w:val="20"/>
          <w:szCs w:val="20"/>
          <w14:ligatures w14:val="none"/>
        </w:rPr>
      </w:pPr>
    </w:p>
    <w:p w14:paraId="0ED85AEA" w14:textId="77777777" w:rsidR="000713C6" w:rsidRPr="00E70710" w:rsidRDefault="000713C6" w:rsidP="000713C6">
      <w:pPr>
        <w:jc w:val="both"/>
        <w:rPr>
          <w:rFonts w:asciiTheme="minorEastAsia" w:hAnsiTheme="minorEastAsia" w:cs="Batang"/>
          <w:b/>
          <w:bCs/>
          <w:color w:val="7030A0"/>
          <w:kern w:val="0"/>
          <w:sz w:val="20"/>
          <w:szCs w:val="20"/>
          <w:highlight w:val="yellow"/>
          <w14:ligatures w14:val="none"/>
        </w:rPr>
      </w:pPr>
      <w:r w:rsidRPr="00E70710">
        <w:rPr>
          <w:rFonts w:asciiTheme="minorEastAsia" w:hAnsiTheme="minorEastAsia" w:cs="Batang" w:hint="eastAsia"/>
          <w:b/>
          <w:bCs/>
          <w:color w:val="7030A0"/>
          <w:kern w:val="0"/>
          <w:sz w:val="20"/>
          <w:szCs w:val="20"/>
          <w:highlight w:val="yellow"/>
          <w14:ligatures w14:val="none"/>
        </w:rPr>
        <w:t xml:space="preserve">참고 문헌 </w:t>
      </w:r>
      <w:r w:rsidRPr="00E70710">
        <w:rPr>
          <w:rFonts w:asciiTheme="minorEastAsia" w:hAnsiTheme="minorEastAsia" w:cs="Batang"/>
          <w:b/>
          <w:bCs/>
          <w:color w:val="7030A0"/>
          <w:kern w:val="0"/>
          <w:sz w:val="20"/>
          <w:szCs w:val="20"/>
          <w:highlight w:val="yellow"/>
          <w14:ligatures w14:val="none"/>
        </w:rPr>
        <w:t xml:space="preserve">– </w:t>
      </w:r>
      <w:r w:rsidRPr="00E70710">
        <w:rPr>
          <w:rFonts w:asciiTheme="minorEastAsia" w:hAnsiTheme="minorEastAsia" w:cs="Batang" w:hint="eastAsia"/>
          <w:b/>
          <w:bCs/>
          <w:color w:val="7030A0"/>
          <w:kern w:val="0"/>
          <w:sz w:val="20"/>
          <w:szCs w:val="20"/>
          <w:highlight w:val="yellow"/>
          <w14:ligatures w14:val="none"/>
        </w:rPr>
        <w:t>확인 필요 합니다.</w:t>
      </w:r>
      <w:r w:rsidRPr="00E70710">
        <w:rPr>
          <w:rFonts w:asciiTheme="minorEastAsia" w:hAnsiTheme="minorEastAsia" w:cs="Batang"/>
          <w:b/>
          <w:bCs/>
          <w:color w:val="7030A0"/>
          <w:kern w:val="0"/>
          <w:sz w:val="20"/>
          <w:szCs w:val="20"/>
          <w:highlight w:val="yellow"/>
          <w14:ligatures w14:val="none"/>
        </w:rPr>
        <w:t xml:space="preserve"> </w:t>
      </w:r>
    </w:p>
    <w:p w14:paraId="1D248C11" w14:textId="77777777" w:rsidR="000713C6" w:rsidRPr="00E70710" w:rsidRDefault="000713C6" w:rsidP="000713C6">
      <w:pPr>
        <w:jc w:val="both"/>
        <w:rPr>
          <w:rFonts w:asciiTheme="minorEastAsia" w:hAnsiTheme="minorEastAsia" w:cs="Batang"/>
          <w:color w:val="7030A0"/>
          <w:kern w:val="0"/>
          <w:sz w:val="20"/>
          <w:szCs w:val="20"/>
          <w:highlight w:val="yellow"/>
          <w14:ligatures w14:val="none"/>
        </w:rPr>
      </w:pPr>
      <w:r w:rsidRPr="00E70710">
        <w:rPr>
          <w:rFonts w:asciiTheme="minorEastAsia" w:hAnsiTheme="minorEastAsia" w:cs="Batang"/>
          <w:color w:val="7030A0"/>
          <w:kern w:val="0"/>
          <w:sz w:val="20"/>
          <w:szCs w:val="20"/>
          <w:highlight w:val="yellow"/>
          <w14:ligatures w14:val="none"/>
        </w:rPr>
        <w:t>American Psychiatric Association. Resource document on seclusion or restraint. APA; 2022.</w:t>
      </w:r>
    </w:p>
    <w:p w14:paraId="1E1E1F7A" w14:textId="77777777" w:rsidR="000713C6" w:rsidRPr="00E70710" w:rsidRDefault="000713C6" w:rsidP="000713C6">
      <w:pPr>
        <w:jc w:val="both"/>
        <w:rPr>
          <w:rFonts w:asciiTheme="minorEastAsia" w:hAnsiTheme="minorEastAsia" w:cs="Batang"/>
          <w:color w:val="7030A0"/>
          <w:kern w:val="0"/>
          <w:sz w:val="20"/>
          <w:szCs w:val="20"/>
          <w:highlight w:val="yellow"/>
          <w14:ligatures w14:val="none"/>
        </w:rPr>
      </w:pPr>
      <w:r w:rsidRPr="00E70710">
        <w:rPr>
          <w:rFonts w:asciiTheme="minorEastAsia" w:hAnsiTheme="minorEastAsia" w:cs="Batang"/>
          <w:color w:val="7030A0"/>
          <w:kern w:val="0"/>
          <w:sz w:val="20"/>
          <w:szCs w:val="20"/>
          <w:highlight w:val="yellow"/>
          <w14:ligatures w14:val="none"/>
        </w:rPr>
        <w:t>Knox DK, Holloman GH. Use and avoidance of seclusion and restraint: Project BETA. West J Emerg Med. 2012;13(1):35–40.</w:t>
      </w:r>
    </w:p>
    <w:p w14:paraId="04AA40C0" w14:textId="77777777" w:rsidR="000713C6" w:rsidRPr="00E70710" w:rsidRDefault="000713C6" w:rsidP="000713C6">
      <w:pPr>
        <w:jc w:val="both"/>
        <w:rPr>
          <w:rFonts w:asciiTheme="minorEastAsia" w:hAnsiTheme="minorEastAsia" w:cs="Batang"/>
          <w:color w:val="7030A0"/>
          <w:kern w:val="0"/>
          <w:sz w:val="20"/>
          <w:szCs w:val="20"/>
          <w14:ligatures w14:val="none"/>
        </w:rPr>
      </w:pPr>
      <w:r w:rsidRPr="00E70710">
        <w:rPr>
          <w:rFonts w:asciiTheme="minorEastAsia" w:hAnsiTheme="minorEastAsia" w:cs="Batang"/>
          <w:color w:val="7030A0"/>
          <w:kern w:val="0"/>
          <w:sz w:val="20"/>
          <w:szCs w:val="20"/>
          <w:highlight w:val="yellow"/>
          <w14:ligatures w14:val="none"/>
        </w:rPr>
        <w:t>Daguman IV E, Taylor A, Flowers M, et al. Drivers of seclusion and physical restraint in an acute mental health unit. Issues Ment Health Nurs. 2025;46(9):937–947.</w:t>
      </w:r>
    </w:p>
    <w:p w14:paraId="1282A66C" w14:textId="77777777" w:rsidR="000713C6" w:rsidRDefault="000713C6" w:rsidP="000713C6">
      <w:pPr>
        <w:jc w:val="both"/>
        <w:rPr>
          <w:rFonts w:ascii="Malgun Gothic" w:eastAsia="Malgun Gothic" w:hAnsi="Malgun Gothic" w:cs="Times New Roman"/>
          <w:color w:val="0432FF"/>
          <w:sz w:val="20"/>
          <w:szCs w:val="20"/>
        </w:rPr>
      </w:pPr>
      <w:r w:rsidRPr="00854D84">
        <w:rPr>
          <w:rFonts w:ascii="Malgun Gothic" w:eastAsia="Malgun Gothic" w:hAnsi="Malgun Gothic" w:cs="Times New Roman" w:hint="eastAsia"/>
          <w:color w:val="0432FF"/>
          <w:sz w:val="20"/>
          <w:szCs w:val="20"/>
        </w:rPr>
        <w:lastRenderedPageBreak/>
        <w:t>폭력 사건을 사전에 예측하기 위해 Brøset Violence Checklist(BVC)나 Dynamic Appraisal of Situational Aggression(DAMA)와 같은 평가 도구들이 널리 사용되어 왔다. 이러한 도구들은 단기적 폭력 위험을 평가하는 데 일정한 유용성을 가지지만, 의료진이 다수의 환자를 대상으로 반복적으로 평가해야 한다는 점에서 실행 가능성과 수용성에 한계가 있으며, 평가자에 따라 결과가 달라질 수 있어 해석의 신뢰도를 일관되게 확보하기 어렵다는 문제가 지적되어 왔다</w:t>
      </w:r>
      <w:r w:rsidRPr="009B0720">
        <w:rPr>
          <w:rFonts w:ascii="Malgun Gothic" w:eastAsia="Malgun Gothic" w:hAnsi="Malgun Gothic" w:cs="Times New Roman" w:hint="eastAsia"/>
          <w:color w:val="0432FF"/>
          <w:sz w:val="20"/>
          <w:szCs w:val="20"/>
        </w:rPr>
        <w:t>.</w:t>
      </w:r>
      <w:r w:rsidRPr="009B0720">
        <w:rPr>
          <w:rFonts w:ascii="Malgun Gothic" w:eastAsia="Malgun Gothic" w:hAnsi="Malgun Gothic" w:cs="Times New Roman"/>
          <w:color w:val="0432FF"/>
          <w:sz w:val="20"/>
          <w:szCs w:val="20"/>
        </w:rPr>
        <w:t xml:space="preserve"> </w:t>
      </w:r>
      <w:r w:rsidRPr="009B0720">
        <w:rPr>
          <w:rFonts w:ascii="Malgun Gothic" w:eastAsia="Malgun Gothic" w:hAnsi="Malgun Gothic" w:cs="Times New Roman"/>
          <w:color w:val="0432FF"/>
          <w:sz w:val="20"/>
          <w:szCs w:val="20"/>
        </w:rPr>
        <w:fldChar w:fldCharType="begin">
          <w:fldData xml:space="preserve">PEVuZE5vdGU+PENpdGU+PEF1dGhvcj5EaWNrZW5zPC9BdXRob3I+PFllYXI+MjAyMDwvWWVhcj48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</w:fldData>
        </w:fldChar>
      </w:r>
      <w:r w:rsidRPr="009B0720">
        <w:rPr>
          <w:rFonts w:ascii="Malgun Gothic" w:eastAsia="Malgun Gothic" w:hAnsi="Malgun Gothic" w:cs="Times New Roman"/>
          <w:color w:val="0432FF"/>
          <w:sz w:val="20"/>
          <w:szCs w:val="20"/>
        </w:rPr>
        <w:instrText xml:space="preserve"> ADDIN EN.JS.CITE </w:instrText>
      </w:r>
      <w:r w:rsidRPr="009B0720">
        <w:rPr>
          <w:rFonts w:ascii="Malgun Gothic" w:eastAsia="Malgun Gothic" w:hAnsi="Malgun Gothic" w:cs="Times New Roman"/>
          <w:color w:val="0432FF"/>
          <w:sz w:val="20"/>
          <w:szCs w:val="20"/>
        </w:rPr>
      </w:r>
      <w:r w:rsidRPr="009B0720">
        <w:rPr>
          <w:rFonts w:ascii="Malgun Gothic" w:eastAsia="Malgun Gothic" w:hAnsi="Malgun Gothic" w:cs="Times New Roman"/>
          <w:color w:val="0432FF"/>
          <w:sz w:val="20"/>
          <w:szCs w:val="20"/>
        </w:rPr>
        <w:fldChar w:fldCharType="separate"/>
      </w:r>
      <w:r w:rsidRPr="009B0720">
        <w:rPr>
          <w:rFonts w:ascii="Malgun Gothic" w:eastAsia="Malgun Gothic" w:hAnsi="Malgun Gothic" w:cs="Courier New"/>
          <w:noProof/>
          <w:color w:val="0432FF"/>
          <w:sz w:val="20"/>
          <w:szCs w:val="20"/>
          <w:vertAlign w:val="superscript"/>
        </w:rPr>
        <w:t>83</w:t>
      </w:r>
      <w:r w:rsidRPr="009B0720">
        <w:rPr>
          <w:rFonts w:ascii="Malgun Gothic" w:eastAsia="Malgun Gothic" w:hAnsi="Malgun Gothic" w:cs="Times New Roman"/>
          <w:color w:val="0432FF"/>
          <w:sz w:val="20"/>
          <w:szCs w:val="20"/>
        </w:rPr>
        <w:fldChar w:fldCharType="end"/>
      </w:r>
      <w:r w:rsidRPr="00854D84">
        <w:rPr>
          <w:rFonts w:ascii="Malgun Gothic" w:eastAsia="Malgun Gothic" w:hAnsi="Malgun Gothic" w:cs="Times New Roman" w:hint="eastAsia"/>
          <w:color w:val="0432FF"/>
          <w:sz w:val="20"/>
          <w:szCs w:val="20"/>
        </w:rPr>
        <w:t xml:space="preserve"> (Abderhalden et al., 2006; Almvik et al., 2000; Hvidhjelm et al., 2014)</w:t>
      </w:r>
    </w:p>
    <w:p w14:paraId="39373834" w14:textId="77777777" w:rsidR="000713C6" w:rsidRDefault="000713C6" w:rsidP="000713C6">
      <w:pPr>
        <w:jc w:val="both"/>
        <w:rPr>
          <w:rFonts w:ascii="Malgun Gothic" w:eastAsia="Malgun Gothic" w:hAnsi="Malgun Gothic" w:cs="Times New Roman"/>
          <w:color w:val="0432FF"/>
          <w:sz w:val="20"/>
          <w:szCs w:val="20"/>
        </w:rPr>
      </w:pPr>
      <w:r w:rsidRPr="0048688C">
        <w:rPr>
          <w:rFonts w:ascii="Malgun Gothic" w:eastAsia="Malgun Gothic" w:hAnsi="Malgun Gothic" w:cs="Times New Roman"/>
          <w:color w:val="0432FF"/>
          <w:sz w:val="20"/>
          <w:szCs w:val="20"/>
        </w:rPr>
        <w:t>To predict violent incidents in advance, assessment tools such as the Brøset Violence Checklist (BVC) and the Dynamic Appraisal of Situational Aggression (DAMA) have been widely used. Although these tools have demonstrated some utility in assessing short-term risk of violence, they have limitations in terms of feasibility and acceptability, as healthcare staff are required to repeatedly assess multiple patients. In addition, variability between evaluators may affect the results, making it difficult to ensure consistent reliability in interpretation</w:t>
      </w:r>
      <w:r>
        <w:rPr>
          <w:rFonts w:ascii="Malgun Gothic" w:eastAsia="Malgun Gothic" w:hAnsi="Malgun Gothic" w:cs="Times New Roman"/>
          <w:color w:val="0432FF"/>
          <w:sz w:val="20"/>
          <w:szCs w:val="20"/>
        </w:rPr>
        <w:t xml:space="preserve"> </w:t>
      </w:r>
      <w:r w:rsidRPr="0048688C">
        <w:rPr>
          <w:rFonts w:ascii="Malgun Gothic" w:eastAsia="Malgun Gothic" w:hAnsi="Malgun Gothic" w:cs="Times New Roman"/>
          <w:color w:val="0432FF"/>
          <w:sz w:val="20"/>
          <w:szCs w:val="20"/>
          <w:vertAlign w:val="superscript"/>
        </w:rPr>
        <w:t xml:space="preserve">83 </w:t>
      </w:r>
      <w:r w:rsidRPr="0048688C">
        <w:rPr>
          <w:rFonts w:ascii="Malgun Gothic" w:eastAsia="Malgun Gothic" w:hAnsi="Malgun Gothic" w:cs="Times New Roman"/>
          <w:color w:val="0432FF"/>
          <w:sz w:val="20"/>
          <w:szCs w:val="20"/>
        </w:rPr>
        <w:t>(Abderhalden et al., 2006; Almvik et al., 2000; Hvidhjelm et al., 2014)</w:t>
      </w:r>
    </w:p>
    <w:p w14:paraId="1673FADC" w14:textId="77777777" w:rsidR="000713C6" w:rsidRPr="009B0720" w:rsidRDefault="000713C6" w:rsidP="000713C6">
      <w:pPr>
        <w:jc w:val="both"/>
        <w:rPr>
          <w:rFonts w:ascii="Malgun Gothic" w:eastAsia="Malgun Gothic" w:hAnsi="Malgun Gothic" w:cs="Times New Roman"/>
          <w:color w:val="0432FF"/>
          <w:sz w:val="20"/>
          <w:szCs w:val="20"/>
        </w:rPr>
      </w:pPr>
      <w:r w:rsidRPr="0048688C">
        <w:rPr>
          <w:rFonts w:ascii="Malgun Gothic" w:eastAsia="Malgun Gothic" w:hAnsi="Malgun Gothic" w:cs="Times New Roman" w:hint="eastAsia"/>
          <w:color w:val="0432FF"/>
          <w:sz w:val="20"/>
          <w:szCs w:val="20"/>
        </w:rPr>
        <w:t xml:space="preserve">이러한 한계를 보완하기 위해 최근에는 수동적 원격 모니터링(passive remote monitoring) 기반의 접근이 제시되고 있다. 웨어러블 센서를 활용하면 피부전기활동(electrodermal activity)이나 심박변이도(heart rate variability)와 같은 생리적 지표를 환자에게 큰 부담 없이 실시간으로 측정할 수 있으며, 이러한 지표들은 공격적 행동이 임박하기 이전에 변화하는 경향이 있는 것으로 보고되어 왔다. 이에 따라 수집된 데이터를 기계학습(machine learning)이나 인공지능(artificial intelligence)을 통해 분석함으로써, 기존의 사후적 대응 중심 모델과 달리 행동 이전 단계에서 위험을 감지하고 향후 공격적 행동을 예측하려는 시도가 이루어지고 있다 </w:t>
      </w:r>
      <w:r w:rsidRPr="009B0720">
        <w:rPr>
          <w:rFonts w:ascii="Malgun Gothic" w:eastAsia="Malgun Gothic" w:hAnsi="Malgun Gothic" w:cs="Times New Roman"/>
          <w:color w:val="0432FF"/>
          <w:sz w:val="20"/>
          <w:szCs w:val="20"/>
        </w:rPr>
        <w:fldChar w:fldCharType="begin">
          <w:fldData xml:space="preserve">PEVuZE5vdGU+PENpdGU+PEF1dGhvcj5kZSBMb29mZjwvQXV0aG9yPjxZZWFyPjIwMTk8L1llYXI+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</w:fldData>
        </w:fldChar>
      </w:r>
      <w:r w:rsidRPr="009B0720">
        <w:rPr>
          <w:rFonts w:ascii="Malgun Gothic" w:eastAsia="Malgun Gothic" w:hAnsi="Malgun Gothic" w:cs="Times New Roman"/>
          <w:color w:val="0432FF"/>
          <w:sz w:val="20"/>
          <w:szCs w:val="20"/>
        </w:rPr>
        <w:instrText xml:space="preserve"> ADDIN EN.JS.CITE </w:instrText>
      </w:r>
      <w:r w:rsidRPr="009B0720">
        <w:rPr>
          <w:rFonts w:ascii="Malgun Gothic" w:eastAsia="Malgun Gothic" w:hAnsi="Malgun Gothic" w:cs="Times New Roman"/>
          <w:color w:val="0432FF"/>
          <w:sz w:val="20"/>
          <w:szCs w:val="20"/>
        </w:rPr>
      </w:r>
      <w:r w:rsidRPr="009B0720">
        <w:rPr>
          <w:rFonts w:ascii="Malgun Gothic" w:eastAsia="Malgun Gothic" w:hAnsi="Malgun Gothic" w:cs="Times New Roman"/>
          <w:color w:val="0432FF"/>
          <w:sz w:val="20"/>
          <w:szCs w:val="20"/>
        </w:rPr>
        <w:fldChar w:fldCharType="separate"/>
      </w:r>
      <w:r w:rsidRPr="009B0720">
        <w:rPr>
          <w:rFonts w:ascii="Malgun Gothic" w:eastAsia="Malgun Gothic" w:hAnsi="Malgun Gothic" w:cs="Courier New"/>
          <w:noProof/>
          <w:color w:val="0432FF"/>
          <w:sz w:val="20"/>
          <w:szCs w:val="20"/>
          <w:vertAlign w:val="superscript"/>
        </w:rPr>
        <w:t>85,86</w:t>
      </w:r>
      <w:r w:rsidRPr="009B0720">
        <w:rPr>
          <w:rFonts w:ascii="Malgun Gothic" w:eastAsia="Malgun Gothic" w:hAnsi="Malgun Gothic" w:cs="Times New Roman"/>
          <w:color w:val="0432FF"/>
          <w:sz w:val="20"/>
          <w:szCs w:val="20"/>
        </w:rPr>
        <w:fldChar w:fldCharType="end"/>
      </w:r>
      <w:r w:rsidRPr="009B0720">
        <w:rPr>
          <w:rFonts w:ascii="Malgun Gothic" w:eastAsia="Malgun Gothic" w:hAnsi="Malgun Gothic" w:cs="Times New Roman"/>
          <w:color w:val="0432FF"/>
          <w:sz w:val="20"/>
          <w:szCs w:val="20"/>
        </w:rPr>
        <w:t xml:space="preserve"> </w:t>
      </w:r>
      <w:r w:rsidRPr="0048688C">
        <w:rPr>
          <w:rFonts w:ascii="Malgun Gothic" w:eastAsia="Malgun Gothic" w:hAnsi="Malgun Gothic" w:cs="Times New Roman" w:hint="eastAsia"/>
          <w:color w:val="0432FF"/>
          <w:sz w:val="20"/>
          <w:szCs w:val="20"/>
        </w:rPr>
        <w:t>(de Looff et al., 2019). 더 나아가 생리적 신호뿐 아니라 동작 센서나 음성 데이터 등을 활용하여 공격적 언어 표현이나 행동을 사전에 탐지하려는 연구도 점차 확대되고 있다.</w:t>
      </w:r>
      <w:r>
        <w:rPr>
          <w:rFonts w:ascii="Malgun Gothic" w:eastAsia="Malgun Gothic" w:hAnsi="Malgun Gothic" w:cs="Times New Roman"/>
          <w:color w:val="0432FF"/>
          <w:sz w:val="20"/>
          <w:szCs w:val="20"/>
        </w:rPr>
        <w:t xml:space="preserve"> </w:t>
      </w:r>
      <w:r w:rsidRPr="009B0720">
        <w:rPr>
          <w:rFonts w:ascii="Malgun Gothic" w:eastAsia="Malgun Gothic" w:hAnsi="Malgun Gothic" w:cs="Times New Roman"/>
          <w:color w:val="0432FF"/>
          <w:sz w:val="20"/>
          <w:szCs w:val="20"/>
        </w:rPr>
        <w:fldChar w:fldCharType="begin">
          <w:fldData xml:space="preserve">PEVuZE5vdGU+PENpdGU+PEF1dGhvcj5LbGVpbmUgRGV0ZXJzPC9BdXRob3I+PFllYXI+MjAyNDwv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</w:fldData>
        </w:fldChar>
      </w:r>
      <w:r w:rsidRPr="009B0720">
        <w:rPr>
          <w:rFonts w:ascii="Malgun Gothic" w:eastAsia="Malgun Gothic" w:hAnsi="Malgun Gothic" w:cs="Times New Roman"/>
          <w:color w:val="0432FF"/>
          <w:sz w:val="20"/>
          <w:szCs w:val="20"/>
        </w:rPr>
        <w:instrText xml:space="preserve"> ADDIN EN.JS.CITE </w:instrText>
      </w:r>
      <w:r w:rsidRPr="009B0720">
        <w:rPr>
          <w:rFonts w:ascii="Malgun Gothic" w:eastAsia="Malgun Gothic" w:hAnsi="Malgun Gothic" w:cs="Times New Roman"/>
          <w:color w:val="0432FF"/>
          <w:sz w:val="20"/>
          <w:szCs w:val="20"/>
        </w:rPr>
      </w:r>
      <w:r w:rsidRPr="009B0720">
        <w:rPr>
          <w:rFonts w:ascii="Malgun Gothic" w:eastAsia="Malgun Gothic" w:hAnsi="Malgun Gothic" w:cs="Times New Roman"/>
          <w:color w:val="0432FF"/>
          <w:sz w:val="20"/>
          <w:szCs w:val="20"/>
        </w:rPr>
        <w:fldChar w:fldCharType="separate"/>
      </w:r>
      <w:r w:rsidRPr="009B0720">
        <w:rPr>
          <w:rFonts w:ascii="Malgun Gothic" w:eastAsia="Malgun Gothic" w:hAnsi="Malgun Gothic" w:cs="Courier New"/>
          <w:noProof/>
          <w:color w:val="0432FF"/>
          <w:sz w:val="20"/>
          <w:szCs w:val="20"/>
          <w:vertAlign w:val="superscript"/>
        </w:rPr>
        <w:t>88</w:t>
      </w:r>
      <w:r w:rsidRPr="009B0720">
        <w:rPr>
          <w:rFonts w:ascii="Malgun Gothic" w:eastAsia="Malgun Gothic" w:hAnsi="Malgun Gothic" w:cs="Times New Roman"/>
          <w:color w:val="0432FF"/>
          <w:sz w:val="20"/>
          <w:szCs w:val="20"/>
        </w:rPr>
        <w:fldChar w:fldCharType="end"/>
      </w:r>
    </w:p>
    <w:p w14:paraId="7A6B86D6" w14:textId="77777777" w:rsidR="000713C6" w:rsidRDefault="000713C6" w:rsidP="000713C6">
      <w:pPr>
        <w:jc w:val="both"/>
        <w:rPr>
          <w:rFonts w:ascii="Malgun Gothic" w:eastAsia="Malgun Gothic" w:hAnsi="Malgun Gothic" w:cs="Times New Roman"/>
          <w:color w:val="0432FF"/>
          <w:sz w:val="20"/>
          <w:szCs w:val="20"/>
        </w:rPr>
      </w:pPr>
      <w:r w:rsidRPr="00C972F2">
        <w:rPr>
          <w:rFonts w:ascii="Malgun Gothic" w:eastAsia="Malgun Gothic" w:hAnsi="Malgun Gothic" w:cs="Times New Roman"/>
          <w:color w:val="0432FF"/>
          <w:sz w:val="20"/>
          <w:szCs w:val="20"/>
        </w:rPr>
        <w:t>To address these limitations, recent approaches have focused on passive remote monitoring technologies. Using wearable sensors, physiological indicators such as electrodermal activity and heart rate variability can be measured in real time without imposing a significant burden on patients. These indicators have been reported to change prior to the onset of aggressive behavior. Accordingly, by analyzing the collected data using machine learning or artificial intelligence, efforts have been made to detect risk at a pre-behavioral stage and to predict subsequent aggressive behavior, in contrast to traditional reactive models</w:t>
      </w:r>
      <w:r>
        <w:rPr>
          <w:rFonts w:ascii="Malgun Gothic" w:eastAsia="Malgun Gothic" w:hAnsi="Malgun Gothic" w:cs="Times New Roman"/>
          <w:color w:val="0432FF"/>
          <w:sz w:val="20"/>
          <w:szCs w:val="20"/>
        </w:rPr>
        <w:t xml:space="preserve"> </w:t>
      </w:r>
      <w:r w:rsidRPr="009B0720">
        <w:rPr>
          <w:rFonts w:ascii="Malgun Gothic" w:eastAsia="Malgun Gothic" w:hAnsi="Malgun Gothic" w:cs="Times New Roman"/>
          <w:color w:val="0432FF"/>
          <w:sz w:val="20"/>
          <w:szCs w:val="20"/>
        </w:rPr>
        <w:fldChar w:fldCharType="begin">
          <w:fldData xml:space="preserve">PEVuZE5vdGU+PENpdGU+PEF1dGhvcj5kZSBMb29mZjwvQXV0aG9yPjxZZWFyPjIwMTk8L1llYXI+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</w:fldData>
        </w:fldChar>
      </w:r>
      <w:r w:rsidRPr="009B0720">
        <w:rPr>
          <w:rFonts w:ascii="Malgun Gothic" w:eastAsia="Malgun Gothic" w:hAnsi="Malgun Gothic" w:cs="Times New Roman"/>
          <w:color w:val="0432FF"/>
          <w:sz w:val="20"/>
          <w:szCs w:val="20"/>
        </w:rPr>
        <w:instrText xml:space="preserve"> ADDIN EN.JS.CITE </w:instrText>
      </w:r>
      <w:r w:rsidRPr="009B0720">
        <w:rPr>
          <w:rFonts w:ascii="Malgun Gothic" w:eastAsia="Malgun Gothic" w:hAnsi="Malgun Gothic" w:cs="Times New Roman"/>
          <w:color w:val="0432FF"/>
          <w:sz w:val="20"/>
          <w:szCs w:val="20"/>
        </w:rPr>
      </w:r>
      <w:r w:rsidRPr="009B0720">
        <w:rPr>
          <w:rFonts w:ascii="Malgun Gothic" w:eastAsia="Malgun Gothic" w:hAnsi="Malgun Gothic" w:cs="Times New Roman"/>
          <w:color w:val="0432FF"/>
          <w:sz w:val="20"/>
          <w:szCs w:val="20"/>
        </w:rPr>
        <w:fldChar w:fldCharType="separate"/>
      </w:r>
      <w:r w:rsidRPr="009B0720">
        <w:rPr>
          <w:rFonts w:ascii="Malgun Gothic" w:eastAsia="Malgun Gothic" w:hAnsi="Malgun Gothic" w:cs="Courier New"/>
          <w:noProof/>
          <w:color w:val="0432FF"/>
          <w:sz w:val="20"/>
          <w:szCs w:val="20"/>
          <w:vertAlign w:val="superscript"/>
        </w:rPr>
        <w:t>85,86</w:t>
      </w:r>
      <w:r w:rsidRPr="009B0720">
        <w:rPr>
          <w:rFonts w:ascii="Malgun Gothic" w:eastAsia="Malgun Gothic" w:hAnsi="Malgun Gothic" w:cs="Times New Roman"/>
          <w:color w:val="0432FF"/>
          <w:sz w:val="20"/>
          <w:szCs w:val="20"/>
        </w:rPr>
        <w:fldChar w:fldCharType="end"/>
      </w:r>
      <w:r w:rsidRPr="009B0720">
        <w:rPr>
          <w:rFonts w:ascii="Malgun Gothic" w:eastAsia="Malgun Gothic" w:hAnsi="Malgun Gothic" w:cs="Times New Roman"/>
          <w:color w:val="0432FF"/>
          <w:sz w:val="20"/>
          <w:szCs w:val="20"/>
        </w:rPr>
        <w:t xml:space="preserve"> </w:t>
      </w:r>
      <w:r w:rsidRPr="00C972F2">
        <w:rPr>
          <w:rFonts w:ascii="Malgun Gothic" w:eastAsia="Malgun Gothic" w:hAnsi="Malgun Gothic" w:cs="Times New Roman"/>
          <w:color w:val="0432FF"/>
          <w:sz w:val="20"/>
          <w:szCs w:val="20"/>
        </w:rPr>
        <w:t>(de Looff et al., 2019). Furthermore, research is increasingly expanding to include not only physiological signals but also motion sensors and audio data to detect aggressive verbal expressions or behaviors in advance.</w:t>
      </w:r>
      <w:r>
        <w:rPr>
          <w:rFonts w:ascii="Malgun Gothic" w:eastAsia="Malgun Gothic" w:hAnsi="Malgun Gothic" w:cs="Times New Roman"/>
          <w:color w:val="0432FF"/>
          <w:sz w:val="20"/>
          <w:szCs w:val="20"/>
        </w:rPr>
        <w:t xml:space="preserve"> </w:t>
      </w:r>
      <w:r w:rsidRPr="009B0720">
        <w:rPr>
          <w:rFonts w:ascii="Malgun Gothic" w:eastAsia="Malgun Gothic" w:hAnsi="Malgun Gothic" w:cs="Times New Roman"/>
          <w:color w:val="0432FF"/>
          <w:sz w:val="20"/>
          <w:szCs w:val="20"/>
        </w:rPr>
        <w:fldChar w:fldCharType="begin">
          <w:fldData xml:space="preserve">PEVuZE5vdGU+PENpdGU+PEF1dGhvcj5LbGVpbmUgRGV0ZXJzPC9BdXRob3I+PFllYXI+MjAyNDwv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</w:fldData>
        </w:fldChar>
      </w:r>
      <w:r w:rsidRPr="009B0720">
        <w:rPr>
          <w:rFonts w:ascii="Malgun Gothic" w:eastAsia="Malgun Gothic" w:hAnsi="Malgun Gothic" w:cs="Times New Roman"/>
          <w:color w:val="0432FF"/>
          <w:sz w:val="20"/>
          <w:szCs w:val="20"/>
        </w:rPr>
        <w:instrText xml:space="preserve"> ADDIN EN.JS.CITE </w:instrText>
      </w:r>
      <w:r w:rsidRPr="009B0720">
        <w:rPr>
          <w:rFonts w:ascii="Malgun Gothic" w:eastAsia="Malgun Gothic" w:hAnsi="Malgun Gothic" w:cs="Times New Roman"/>
          <w:color w:val="0432FF"/>
          <w:sz w:val="20"/>
          <w:szCs w:val="20"/>
        </w:rPr>
      </w:r>
      <w:r w:rsidRPr="009B0720">
        <w:rPr>
          <w:rFonts w:ascii="Malgun Gothic" w:eastAsia="Malgun Gothic" w:hAnsi="Malgun Gothic" w:cs="Times New Roman"/>
          <w:color w:val="0432FF"/>
          <w:sz w:val="20"/>
          <w:szCs w:val="20"/>
        </w:rPr>
        <w:fldChar w:fldCharType="separate"/>
      </w:r>
      <w:r w:rsidRPr="009B0720">
        <w:rPr>
          <w:rFonts w:ascii="Malgun Gothic" w:eastAsia="Malgun Gothic" w:hAnsi="Malgun Gothic" w:cs="Courier New"/>
          <w:noProof/>
          <w:color w:val="0432FF"/>
          <w:sz w:val="20"/>
          <w:szCs w:val="20"/>
          <w:vertAlign w:val="superscript"/>
        </w:rPr>
        <w:t>88</w:t>
      </w:r>
      <w:r w:rsidRPr="009B0720">
        <w:rPr>
          <w:rFonts w:ascii="Malgun Gothic" w:eastAsia="Malgun Gothic" w:hAnsi="Malgun Gothic" w:cs="Times New Roman"/>
          <w:color w:val="0432FF"/>
          <w:sz w:val="20"/>
          <w:szCs w:val="20"/>
        </w:rPr>
        <w:fldChar w:fldCharType="end"/>
      </w:r>
    </w:p>
    <w:p w14:paraId="0A20B36F" w14:textId="77777777" w:rsidR="000713C6" w:rsidRDefault="000713C6" w:rsidP="000713C6">
      <w:pPr>
        <w:jc w:val="both"/>
        <w:rPr>
          <w:rFonts w:ascii="Malgun Gothic" w:eastAsia="Malgun Gothic" w:hAnsi="Malgun Gothic" w:cs="Times New Roman"/>
          <w:color w:val="0432FF"/>
          <w:sz w:val="20"/>
          <w:szCs w:val="20"/>
        </w:rPr>
      </w:pPr>
    </w:p>
    <w:p w14:paraId="23906E2F" w14:textId="77777777" w:rsidR="000713C6" w:rsidRDefault="000713C6" w:rsidP="000713C6">
      <w:pPr>
        <w:jc w:val="both"/>
        <w:rPr>
          <w:rFonts w:ascii="Malgun Gothic" w:eastAsia="Malgun Gothic" w:hAnsi="Malgun Gothic" w:cs="Times New Roman"/>
          <w:color w:val="0432FF"/>
          <w:sz w:val="20"/>
          <w:szCs w:val="20"/>
        </w:rPr>
      </w:pPr>
      <w:r w:rsidRPr="0048688C">
        <w:rPr>
          <w:rFonts w:ascii="Malgun Gothic" w:eastAsia="Malgun Gothic" w:hAnsi="Malgun Gothic" w:cs="Times New Roman" w:hint="eastAsia"/>
          <w:color w:val="0432FF"/>
          <w:sz w:val="20"/>
          <w:szCs w:val="20"/>
        </w:rPr>
        <w:t>이와 같은 흐름은 단순한 예측 기술의 발전을 넘어, 개입의 시점을 앞당기고 강제적 조치를 최소화하려는 방향으로의 변화를 시사한다. 즉, 환자의 행동이 외현화된 이후 통제하는 방식에서 벗어나, 위험 신호를 조기에 인식하고 개입함으로써 보다 비강제적인 관리가 가능해질 수 있다는 점에서 임상적 의의를 가진다.</w:t>
      </w:r>
    </w:p>
    <w:p w14:paraId="76DFD823" w14:textId="77777777" w:rsidR="000713C6" w:rsidRPr="00C6200C" w:rsidRDefault="000713C6" w:rsidP="000713C6">
      <w:pPr>
        <w:jc w:val="both"/>
        <w:rPr>
          <w:rFonts w:asciiTheme="minorEastAsia" w:hAnsiTheme="minorEastAsia"/>
          <w:color w:val="0432FF"/>
          <w:sz w:val="20"/>
          <w:szCs w:val="20"/>
        </w:rPr>
      </w:pPr>
      <w:r w:rsidRPr="00C972F2">
        <w:rPr>
          <w:rFonts w:asciiTheme="minorEastAsia" w:hAnsiTheme="minorEastAsia"/>
          <w:color w:val="0432FF"/>
          <w:sz w:val="20"/>
          <w:szCs w:val="20"/>
        </w:rPr>
        <w:t>Such developments reflect not merely advances in predictive technologies but a broader shift toward earlier intervention and the minimization of coercive measures. In other words, moving away from approaches that control patients after behaviors have become overt, these strategies aim to enable more non-coercive management by recognizing early warning signs and intervening proactively, which carries important clinical implications.</w:t>
      </w:r>
    </w:p>
    <w:p w14:paraId="0473B978" w14:textId="77777777" w:rsidR="000713C6" w:rsidRPr="00C87CE5" w:rsidRDefault="000713C6" w:rsidP="000713C6">
      <w:pPr>
        <w:spacing w:before="100" w:beforeAutospacing="1" w:after="100" w:afterAutospacing="1" w:line="240" w:lineRule="auto"/>
        <w:jc w:val="both"/>
        <w:rPr>
          <w:rFonts w:asciiTheme="minorEastAsia" w:hAnsiTheme="minorEastAsia" w:cs="Batang"/>
          <w:b/>
          <w:bCs/>
          <w:color w:val="0432FF"/>
          <w:kern w:val="0"/>
          <w:sz w:val="20"/>
          <w:szCs w:val="20"/>
          <w:highlight w:val="yellow"/>
          <w14:ligatures w14:val="none"/>
        </w:rPr>
      </w:pPr>
      <w:r w:rsidRPr="00C87CE5">
        <w:rPr>
          <w:rFonts w:asciiTheme="minorEastAsia" w:hAnsiTheme="minorEastAsia" w:cs="Batang" w:hint="eastAsia"/>
          <w:b/>
          <w:bCs/>
          <w:color w:val="0432FF"/>
          <w:kern w:val="0"/>
          <w:sz w:val="20"/>
          <w:szCs w:val="20"/>
          <w:highlight w:val="yellow"/>
          <w14:ligatures w14:val="none"/>
        </w:rPr>
        <w:t xml:space="preserve">참고 문헌 </w:t>
      </w:r>
      <w:r w:rsidRPr="00C87CE5">
        <w:rPr>
          <w:rFonts w:asciiTheme="minorEastAsia" w:hAnsiTheme="minorEastAsia" w:cs="Batang"/>
          <w:b/>
          <w:bCs/>
          <w:color w:val="0432FF"/>
          <w:kern w:val="0"/>
          <w:sz w:val="20"/>
          <w:szCs w:val="20"/>
          <w:highlight w:val="yellow"/>
          <w14:ligatures w14:val="none"/>
        </w:rPr>
        <w:t>(</w:t>
      </w:r>
      <w:r w:rsidRPr="00C87CE5">
        <w:rPr>
          <w:rFonts w:asciiTheme="minorEastAsia" w:hAnsiTheme="minorEastAsia" w:cs="Batang" w:hint="eastAsia"/>
          <w:b/>
          <w:bCs/>
          <w:color w:val="0432FF"/>
          <w:kern w:val="0"/>
          <w:sz w:val="20"/>
          <w:szCs w:val="20"/>
          <w:highlight w:val="yellow"/>
          <w14:ligatures w14:val="none"/>
        </w:rPr>
        <w:t>확인 필요 함)</w:t>
      </w:r>
    </w:p>
    <w:p w14:paraId="669EE2B8" w14:textId="77777777" w:rsidR="000713C6" w:rsidRPr="00C87CE5" w:rsidRDefault="000713C6" w:rsidP="000713C6">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C87CE5">
        <w:rPr>
          <w:rFonts w:asciiTheme="minorEastAsia" w:hAnsiTheme="minorEastAsia" w:cs="Batang"/>
          <w:color w:val="0432FF"/>
          <w:kern w:val="0"/>
          <w:sz w:val="20"/>
          <w:szCs w:val="20"/>
          <w:highlight w:val="yellow"/>
          <w14:ligatures w14:val="none"/>
        </w:rPr>
        <w:t>Almvik R, Woods P, Rasmussen K. The Brøset Violence Checklist: sensitivity, specificity, and interrater reliability. J Interpers Violence. 2000;15(12):1284–96.</w:t>
      </w:r>
    </w:p>
    <w:p w14:paraId="786C9A89" w14:textId="77777777" w:rsidR="000713C6" w:rsidRPr="00C87CE5" w:rsidRDefault="000713C6" w:rsidP="000713C6">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C87CE5">
        <w:rPr>
          <w:rFonts w:asciiTheme="minorEastAsia" w:hAnsiTheme="minorEastAsia" w:cs="Batang"/>
          <w:color w:val="0432FF"/>
          <w:kern w:val="0"/>
          <w:sz w:val="20"/>
          <w:szCs w:val="20"/>
          <w:highlight w:val="yellow"/>
          <w14:ligatures w14:val="none"/>
        </w:rPr>
        <w:t>Abderhalden C, Needham I, Dassen T, Halfens R, Haug HJ, Fischer JE. Predicting inpatient violence using an extended version of the Brøset Violence Checklist. BMC Psychiatry. 2006;6:17.</w:t>
      </w:r>
    </w:p>
    <w:p w14:paraId="797176F9" w14:textId="77777777" w:rsidR="000713C6" w:rsidRPr="00C87CE5" w:rsidRDefault="000713C6" w:rsidP="000713C6">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C87CE5">
        <w:rPr>
          <w:rFonts w:asciiTheme="minorEastAsia" w:hAnsiTheme="minorEastAsia" w:cs="Batang"/>
          <w:color w:val="0432FF"/>
          <w:kern w:val="0"/>
          <w:sz w:val="20"/>
          <w:szCs w:val="20"/>
          <w:highlight w:val="yellow"/>
          <w14:ligatures w14:val="none"/>
        </w:rPr>
        <w:t>Hvidhjelm J, Sestoft D, Skovgaard LT, Bjorner JB. Sensitivity and specificity of the Brøset Violence Checklist. J Psychiatr Ment Health Nurs. 2014;21(10):899–907.</w:t>
      </w:r>
    </w:p>
    <w:p w14:paraId="10EE1C61" w14:textId="77777777" w:rsidR="000713C6" w:rsidRPr="00C87CE5" w:rsidRDefault="000713C6" w:rsidP="000713C6">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C87CE5">
        <w:rPr>
          <w:rFonts w:asciiTheme="minorEastAsia" w:hAnsiTheme="minorEastAsia" w:cs="Batang"/>
          <w:color w:val="0432FF"/>
          <w:kern w:val="0"/>
          <w:sz w:val="20"/>
          <w:szCs w:val="20"/>
          <w:highlight w:val="yellow"/>
          <w14:ligatures w14:val="none"/>
        </w:rPr>
        <w:t>Suchting R, Green CE, de Dios C, et al. Using machine learning to predict violence risk. Psychiatr Serv. 2018;69(5):592–595.</w:t>
      </w:r>
    </w:p>
    <w:p w14:paraId="19C37AB3" w14:textId="77777777" w:rsidR="000713C6" w:rsidRPr="00C87CE5" w:rsidRDefault="000713C6" w:rsidP="000713C6">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C87CE5">
        <w:rPr>
          <w:rFonts w:asciiTheme="minorEastAsia" w:hAnsiTheme="minorEastAsia" w:cs="Batang"/>
          <w:color w:val="0432FF"/>
          <w:kern w:val="0"/>
          <w:sz w:val="20"/>
          <w:szCs w:val="20"/>
          <w:highlight w:val="yellow"/>
          <w14:ligatures w14:val="none"/>
        </w:rPr>
        <w:t>Favril L, Vander Laenen F, Vandeviver C, Audenaert K. A comparison of machine learning techniques for violent recidivism prediction. J Interpers Violence. 2020;35(17-18):3946–3968.</w:t>
      </w:r>
    </w:p>
    <w:p w14:paraId="7B46E71C" w14:textId="77777777" w:rsidR="000713C6" w:rsidRPr="00C87CE5" w:rsidRDefault="000713C6" w:rsidP="000713C6">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C87CE5">
        <w:rPr>
          <w:rFonts w:asciiTheme="minorEastAsia" w:hAnsiTheme="minorEastAsia" w:cs="Batang"/>
          <w:color w:val="0432FF"/>
          <w:kern w:val="0"/>
          <w:sz w:val="20"/>
          <w:szCs w:val="20"/>
          <w:highlight w:val="yellow"/>
          <w14:ligatures w14:val="none"/>
        </w:rPr>
        <w:t>de Looff P, Noordzij ML, Moerbeek M, et al. Changes in heart rate and skin conductance in the 30 min preceding aggressive behavior. Psychophysiology. 2019;56(10):e13420.</w:t>
      </w:r>
    </w:p>
    <w:p w14:paraId="6A1D2550" w14:textId="77777777" w:rsidR="000713C6" w:rsidRPr="00C87CE5" w:rsidRDefault="000713C6" w:rsidP="000713C6">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C87CE5">
        <w:rPr>
          <w:rFonts w:asciiTheme="minorEastAsia" w:hAnsiTheme="minorEastAsia" w:cs="Batang"/>
          <w:color w:val="0432FF"/>
          <w:kern w:val="0"/>
          <w:sz w:val="20"/>
          <w:szCs w:val="20"/>
          <w:highlight w:val="yellow"/>
          <w14:ligatures w14:val="none"/>
        </w:rPr>
        <w:t>Cornet LJ, van Os J, Ten Have M, et al. Physiological signals and aggression prediction. PLoS One. 2020;15(1):e0227114.</w:t>
      </w:r>
    </w:p>
    <w:p w14:paraId="7B2D6FE9" w14:textId="77777777" w:rsidR="000713C6" w:rsidRPr="00C87CE5" w:rsidRDefault="000713C6" w:rsidP="000713C6">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C87CE5">
        <w:rPr>
          <w:rFonts w:asciiTheme="minorEastAsia" w:hAnsiTheme="minorEastAsia" w:cs="Batang"/>
          <w:color w:val="0432FF"/>
          <w:kern w:val="0"/>
          <w:sz w:val="20"/>
          <w:szCs w:val="20"/>
          <w:highlight w:val="yellow"/>
          <w14:ligatures w14:val="none"/>
        </w:rPr>
        <w:t>McGinnis EW, et al. Digital phenotyping for predicting aggression. NPJ Digit Med. 2018;1:53.</w:t>
      </w:r>
    </w:p>
    <w:p w14:paraId="192B3588" w14:textId="77777777" w:rsidR="000713C6" w:rsidRDefault="000713C6" w:rsidP="000713C6">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87CE5">
        <w:rPr>
          <w:rFonts w:asciiTheme="minorEastAsia" w:hAnsiTheme="minorEastAsia" w:cs="Batang"/>
          <w:color w:val="0432FF"/>
          <w:kern w:val="0"/>
          <w:sz w:val="20"/>
          <w:szCs w:val="20"/>
          <w:highlight w:val="yellow"/>
          <w14:ligatures w14:val="none"/>
        </w:rPr>
        <w:t>Goodwin MS, et al. Detection of agitation using wearable sensors and machine learning. IEEE J Biomed Health Inform. 2019;23(5):2017–2024.</w:t>
      </w:r>
    </w:p>
    <w:p w14:paraId="29B16DDC" w14:textId="77777777" w:rsidR="000713C6" w:rsidRDefault="000713C6" w:rsidP="000713C6">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16D06764" w14:textId="77777777" w:rsidR="000713C6" w:rsidRDefault="000713C6" w:rsidP="000713C6">
      <w:pPr>
        <w:jc w:val="both"/>
        <w:rPr>
          <w:rFonts w:asciiTheme="minorEastAsia" w:hAnsiTheme="minorEastAsia"/>
          <w:color w:val="0432FF"/>
          <w:sz w:val="20"/>
          <w:szCs w:val="20"/>
        </w:rPr>
      </w:pPr>
      <w:r w:rsidRPr="00C20234">
        <w:rPr>
          <w:rFonts w:asciiTheme="minorEastAsia" w:hAnsiTheme="minorEastAsia" w:hint="eastAsia"/>
          <w:color w:val="0432FF"/>
          <w:sz w:val="20"/>
          <w:szCs w:val="20"/>
        </w:rPr>
        <w:t>현재 AI 기술이 임상 현장에 도입되고 있으나 아직은 초기 단계에 머물러 있는 만큼, 향후 급성 초조 및 폭력 관리의 패러다임을 환자의 존엄성과 자율성 침해를 최소화하는 방향으로 전환하기 위한 창의적 시도가 절실히 요구</w:t>
      </w:r>
      <w:r>
        <w:rPr>
          <w:rFonts w:asciiTheme="minorEastAsia" w:hAnsiTheme="minorEastAsia" w:hint="eastAsia"/>
          <w:color w:val="0432FF"/>
          <w:sz w:val="20"/>
          <w:szCs w:val="20"/>
        </w:rPr>
        <w:t>된</w:t>
      </w:r>
      <w:r w:rsidRPr="00C20234">
        <w:rPr>
          <w:rFonts w:asciiTheme="minorEastAsia" w:hAnsiTheme="minorEastAsia" w:hint="eastAsia"/>
          <w:color w:val="0432FF"/>
          <w:sz w:val="20"/>
          <w:szCs w:val="20"/>
        </w:rPr>
        <w:t>다. 이러한 맥락에서 최근</w:t>
      </w:r>
      <w:r>
        <w:rPr>
          <w:rFonts w:asciiTheme="minorEastAsia" w:hAnsiTheme="minorEastAsia" w:hint="eastAsia"/>
          <w:color w:val="0432FF"/>
          <w:sz w:val="20"/>
          <w:szCs w:val="20"/>
        </w:rPr>
        <w:t>에</w:t>
      </w:r>
      <w:r w:rsidRPr="00C20234">
        <w:rPr>
          <w:rFonts w:asciiTheme="minorEastAsia" w:hAnsiTheme="minorEastAsia" w:hint="eastAsia"/>
          <w:color w:val="0432FF"/>
          <w:sz w:val="20"/>
          <w:szCs w:val="20"/>
        </w:rPr>
        <w:t xml:space="preserve">는 인간의 주관적 평가에 의존하던 BVC(Brøset Violence Checklist) 등의 전통적 방식을 탈피하여, AI와 바이오센서를 활용한 데이터 기반의 객관적 예측 시스템으로의 급격한 이행을 꾀하고 있다. 구체적으로는 전자의무기록(EMR) 내 방대한 임상 데이터를 실시간 분석하는 머신러닝 기반 자동 예측 시스템, 환자의 심박변이도(HRV)나 피부 전도도(GSR) 측정을 통해 교감신경계 활성화를 사전에 포착하는 웨어러블 생체 신호 모니터링, 그리고 영상 및 음성 데이터로 공격적 징후를 감지하는 컴퓨터 비전 기술이 적극적으로 검토되고 있다. 이러한 기술적 혁신은 의료진의 반복적인 평가 피로도를 획기적으로 낮추는 동시에, 육안으로 인지하기 어려운 미세한 위험 신호를 조기에 파악함으로써 물리적 강박과 같은 ‘강제 처치’ 이전에 대화나 환경 조절 등 ‘비강제적 개입’을 시행할 수 있는 결정적 골든타임을 확보해 </w:t>
      </w:r>
      <w:r>
        <w:rPr>
          <w:rFonts w:asciiTheme="minorEastAsia" w:hAnsiTheme="minorEastAsia" w:hint="eastAsia"/>
          <w:color w:val="0432FF"/>
          <w:sz w:val="20"/>
          <w:szCs w:val="20"/>
        </w:rPr>
        <w:t>줄 수 있다.</w:t>
      </w:r>
      <w:r>
        <w:rPr>
          <w:rFonts w:asciiTheme="minorEastAsia" w:hAnsiTheme="minorEastAsia"/>
          <w:color w:val="0432FF"/>
          <w:sz w:val="20"/>
          <w:szCs w:val="20"/>
        </w:rPr>
        <w:t xml:space="preserve"> </w:t>
      </w:r>
    </w:p>
    <w:p w14:paraId="541B3255" w14:textId="77777777" w:rsidR="000713C6" w:rsidRDefault="000713C6" w:rsidP="000713C6">
      <w:pPr>
        <w:jc w:val="both"/>
        <w:rPr>
          <w:rFonts w:asciiTheme="minorEastAsia" w:hAnsiTheme="minorEastAsia"/>
          <w:color w:val="0432FF"/>
          <w:sz w:val="20"/>
          <w:szCs w:val="20"/>
        </w:rPr>
      </w:pPr>
    </w:p>
    <w:p w14:paraId="3266B9E7" w14:textId="77777777" w:rsidR="000713C6" w:rsidRPr="00C20234" w:rsidRDefault="000713C6" w:rsidP="000713C6">
      <w:pPr>
        <w:jc w:val="both"/>
        <w:rPr>
          <w:rFonts w:asciiTheme="minorEastAsia" w:hAnsiTheme="minorEastAsia"/>
          <w:color w:val="0432FF"/>
          <w:sz w:val="20"/>
          <w:szCs w:val="20"/>
        </w:rPr>
      </w:pPr>
      <w:r w:rsidRPr="00C20234">
        <w:rPr>
          <w:rFonts w:asciiTheme="minorEastAsia" w:hAnsiTheme="minorEastAsia"/>
          <w:color w:val="0432FF"/>
          <w:sz w:val="20"/>
          <w:szCs w:val="20"/>
        </w:rPr>
        <w:t>"While AI technology is currently being introduced into clinical settings, it remains in its early stages. Consequently, there is an urgent need for creative attempts to shift the paradigm of acute agitation and violence management toward minimizing the infringement on patients' dignity and autonomy. In this context, there has been a rapid transition from traditional methods that rely on human subjective assessment, such as the Brøset Violence Checklist (BVC), toward data-driven objective prediction systems utilizing AI and biosensors.</w:t>
      </w:r>
    </w:p>
    <w:p w14:paraId="29F69049" w14:textId="77777777" w:rsidR="000713C6" w:rsidRDefault="000713C6" w:rsidP="000713C6">
      <w:pPr>
        <w:jc w:val="both"/>
        <w:rPr>
          <w:rFonts w:asciiTheme="minorEastAsia" w:hAnsiTheme="minorEastAsia"/>
          <w:color w:val="0432FF"/>
          <w:sz w:val="20"/>
          <w:szCs w:val="20"/>
        </w:rPr>
      </w:pPr>
      <w:r w:rsidRPr="00C20234">
        <w:rPr>
          <w:rFonts w:asciiTheme="minorEastAsia" w:hAnsiTheme="minorEastAsia"/>
          <w:color w:val="0432FF"/>
          <w:sz w:val="20"/>
          <w:szCs w:val="20"/>
        </w:rPr>
        <w:t>Specifically, machine learning-based automated prediction systems that analyze vast clinical data within Electronic Medical Records (EMR) in real-time, wearable bio-signal monitoring that captures sympathetic nervous system activation through heart rate variability (HRV) or galvanic skin response (GSR) measurements, and computer vision technology that detects signs of agitation via video and audio data are being actively considered. Such technological innovations significantly reduce the repetitive assessment fatigue of medical staff while identifying subtle risk signals difficult to perceive through human observation alone. This ensures a critical golden time for implementing 'non-coercive interventions,' such as verbal de-escalation or environmental adjustments, prior to 'forced measures' like physical restraint."</w:t>
      </w:r>
    </w:p>
    <w:p w14:paraId="730A114A" w14:textId="77777777" w:rsidR="000713C6" w:rsidRDefault="000713C6" w:rsidP="000713C6">
      <w:pPr>
        <w:jc w:val="both"/>
        <w:rPr>
          <w:rFonts w:asciiTheme="minorEastAsia" w:hAnsiTheme="minorEastAsia"/>
          <w:color w:val="0432FF"/>
          <w:sz w:val="20"/>
          <w:szCs w:val="20"/>
        </w:rPr>
      </w:pPr>
    </w:p>
    <w:p w14:paraId="64463CBE" w14:textId="77777777" w:rsidR="000713C6" w:rsidRPr="00C20234" w:rsidRDefault="000713C6" w:rsidP="000713C6">
      <w:pPr>
        <w:spacing w:before="100" w:beforeAutospacing="1" w:after="100" w:afterAutospacing="1" w:line="240" w:lineRule="auto"/>
        <w:jc w:val="both"/>
        <w:rPr>
          <w:rFonts w:asciiTheme="minorEastAsia" w:hAnsiTheme="minorEastAsia" w:cs="Batang"/>
          <w:b/>
          <w:bCs/>
          <w:color w:val="0432FF"/>
          <w:kern w:val="0"/>
          <w:sz w:val="20"/>
          <w:szCs w:val="20"/>
          <w:highlight w:val="yellow"/>
          <w14:ligatures w14:val="none"/>
        </w:rPr>
      </w:pPr>
      <w:r w:rsidRPr="00C87CE5">
        <w:rPr>
          <w:rFonts w:asciiTheme="minorEastAsia" w:hAnsiTheme="minorEastAsia" w:cs="Batang" w:hint="eastAsia"/>
          <w:b/>
          <w:bCs/>
          <w:color w:val="0432FF"/>
          <w:kern w:val="0"/>
          <w:sz w:val="20"/>
          <w:szCs w:val="20"/>
          <w:highlight w:val="yellow"/>
          <w14:ligatures w14:val="none"/>
        </w:rPr>
        <w:lastRenderedPageBreak/>
        <w:t xml:space="preserve">참고 문헌 </w:t>
      </w:r>
      <w:r w:rsidRPr="00C87CE5">
        <w:rPr>
          <w:rFonts w:asciiTheme="minorEastAsia" w:hAnsiTheme="minorEastAsia" w:cs="Batang"/>
          <w:b/>
          <w:bCs/>
          <w:color w:val="0432FF"/>
          <w:kern w:val="0"/>
          <w:sz w:val="20"/>
          <w:szCs w:val="20"/>
          <w:highlight w:val="yellow"/>
          <w14:ligatures w14:val="none"/>
        </w:rPr>
        <w:t>(</w:t>
      </w:r>
      <w:r w:rsidRPr="00C87CE5">
        <w:rPr>
          <w:rFonts w:asciiTheme="minorEastAsia" w:hAnsiTheme="minorEastAsia" w:cs="Batang" w:hint="eastAsia"/>
          <w:b/>
          <w:bCs/>
          <w:color w:val="0432FF"/>
          <w:kern w:val="0"/>
          <w:sz w:val="20"/>
          <w:szCs w:val="20"/>
          <w:highlight w:val="yellow"/>
          <w14:ligatures w14:val="none"/>
        </w:rPr>
        <w:t>확인 필요 함)</w:t>
      </w:r>
    </w:p>
    <w:p w14:paraId="75951E69" w14:textId="77777777" w:rsidR="000713C6" w:rsidRPr="00C20234" w:rsidRDefault="000713C6" w:rsidP="000713C6">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20234">
        <w:rPr>
          <w:rFonts w:asciiTheme="minorEastAsia" w:hAnsiTheme="minorEastAsia" w:cs="Batang"/>
          <w:color w:val="0432FF"/>
          <w:kern w:val="0"/>
          <w:sz w:val="20"/>
          <w:szCs w:val="20"/>
          <w:highlight w:val="yellow"/>
          <w14:ligatures w14:val="none"/>
        </w:rPr>
        <w:t>Daguman JL, Chiu KC, Tsai YC. Drivers of seclusion and physical restraint in acute psychiatric wards: A systematic review of clinical and environmental factors. Int J Ment Health Nurs. 2025;34(1):45-62.</w:t>
      </w:r>
    </w:p>
    <w:p w14:paraId="74BC96BB" w14:textId="77777777" w:rsidR="000713C6" w:rsidRPr="00C20234" w:rsidRDefault="000713C6" w:rsidP="000713C6">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C20234">
        <w:rPr>
          <w:rFonts w:asciiTheme="minorEastAsia" w:hAnsiTheme="minorEastAsia" w:cs="Batang" w:hint="eastAsia"/>
          <w:color w:val="0432FF"/>
          <w:kern w:val="0"/>
          <w:sz w:val="20"/>
          <w:szCs w:val="20"/>
          <w:highlight w:val="yellow"/>
          <w14:ligatures w14:val="none"/>
        </w:rPr>
        <w:t xml:space="preserve">Howner K, Tiihonen J, Pollak C. Artificial intelligence and machine learning in forensic psychiatry: A systematic review. Front Psychiatry. 2022;13:922116. </w:t>
      </w:r>
    </w:p>
    <w:p w14:paraId="01EF760E" w14:textId="77777777" w:rsidR="000713C6" w:rsidRPr="00C20234" w:rsidRDefault="000713C6" w:rsidP="000713C6">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C20234">
        <w:rPr>
          <w:rFonts w:asciiTheme="minorEastAsia" w:hAnsiTheme="minorEastAsia" w:cs="Batang" w:hint="eastAsia"/>
          <w:color w:val="0432FF"/>
          <w:kern w:val="0"/>
          <w:sz w:val="20"/>
          <w:szCs w:val="20"/>
          <w:highlight w:val="yellow"/>
          <w14:ligatures w14:val="none"/>
        </w:rPr>
        <w:t xml:space="preserve">Broset Violence Checklist (BVC). In: American Psychiatric Association (APA). Resource document on seclusion and restraint. Washington, DC: APA; 2022. </w:t>
      </w:r>
    </w:p>
    <w:p w14:paraId="5A909CC6" w14:textId="77777777" w:rsidR="000713C6" w:rsidRPr="00C20234" w:rsidRDefault="000713C6" w:rsidP="000713C6">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C20234">
        <w:rPr>
          <w:rFonts w:asciiTheme="minorEastAsia" w:hAnsiTheme="minorEastAsia" w:cs="Batang" w:hint="eastAsia"/>
          <w:color w:val="0432FF"/>
          <w:kern w:val="0"/>
          <w:sz w:val="20"/>
          <w:szCs w:val="20"/>
          <w:highlight w:val="yellow"/>
          <w14:ligatures w14:val="none"/>
        </w:rPr>
        <w:t xml:space="preserve">Oxehealth Ltd. Optical sensor technology for remote monitoring of vital signs in psychiatric wards: Clinical evaluation report. Oxford: Oxehealth; 2021. </w:t>
      </w:r>
    </w:p>
    <w:p w14:paraId="78DB3FC8" w14:textId="77777777" w:rsidR="000713C6" w:rsidRPr="00C20234" w:rsidRDefault="000713C6" w:rsidP="000713C6">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C20234">
        <w:rPr>
          <w:rFonts w:asciiTheme="minorEastAsia" w:hAnsiTheme="minorEastAsia" w:cs="Batang" w:hint="eastAsia"/>
          <w:color w:val="0432FF"/>
          <w:kern w:val="0"/>
          <w:sz w:val="20"/>
          <w:szCs w:val="20"/>
          <w:highlight w:val="yellow"/>
          <w14:ligatures w14:val="none"/>
        </w:rPr>
        <w:t xml:space="preserve">Saria S. Machine learning for the prediction of patient aggression in psychiatric units. J Clin Psychiatry. 2023;84(2):22m14532. </w:t>
      </w:r>
    </w:p>
    <w:p w14:paraId="0E2AC310" w14:textId="77777777" w:rsidR="000713C6" w:rsidRPr="00C20234" w:rsidRDefault="000713C6" w:rsidP="000713C6">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C20234">
        <w:rPr>
          <w:rFonts w:asciiTheme="minorEastAsia" w:hAnsiTheme="minorEastAsia" w:cs="Batang" w:hint="eastAsia"/>
          <w:color w:val="0432FF"/>
          <w:kern w:val="0"/>
          <w:sz w:val="20"/>
          <w:szCs w:val="20"/>
          <w:highlight w:val="yellow"/>
          <w14:ligatures w14:val="none"/>
        </w:rPr>
        <w:t xml:space="preserve">Hernandez-Leal L, et al. Wearable bio-sensors for early detection of agitation in schizophrenia: A pilot study. Schizophr Res. 2024;264:112-119. </w:t>
      </w:r>
    </w:p>
    <w:p w14:paraId="1989E367" w14:textId="77777777" w:rsidR="000713C6" w:rsidRDefault="000713C6" w:rsidP="000713C6">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C20234">
        <w:rPr>
          <w:rFonts w:asciiTheme="minorEastAsia" w:hAnsiTheme="minorEastAsia" w:cs="Batang" w:hint="eastAsia"/>
          <w:color w:val="0432FF"/>
          <w:kern w:val="0"/>
          <w:sz w:val="20"/>
          <w:szCs w:val="20"/>
          <w:highlight w:val="yellow"/>
          <w14:ligatures w14:val="none"/>
        </w:rPr>
        <w:t>Huckshorn KA. Six core strategies to reduce the use of seclusion and restraint Planning Tool. Alexandria, VA: National Association of State Mental Health Program Directors; 2020</w:t>
      </w:r>
    </w:p>
    <w:p w14:paraId="59E5AECC" w14:textId="77777777" w:rsidR="000713C6" w:rsidRDefault="000713C6" w:rsidP="000713C6">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5B6FB3C8" w14:textId="77777777" w:rsidR="000713C6" w:rsidRDefault="000713C6" w:rsidP="000713C6">
      <w:pPr>
        <w:jc w:val="both"/>
        <w:rPr>
          <w:rFonts w:asciiTheme="minorEastAsia" w:hAnsiTheme="minorEastAsia"/>
          <w:color w:val="0432FF"/>
          <w:sz w:val="20"/>
          <w:szCs w:val="20"/>
        </w:rPr>
      </w:pPr>
      <w:r w:rsidRPr="00C972F2">
        <w:rPr>
          <w:rFonts w:asciiTheme="minorEastAsia" w:hAnsiTheme="minorEastAsia" w:hint="eastAsia"/>
          <w:color w:val="0432FF"/>
          <w:sz w:val="20"/>
          <w:szCs w:val="20"/>
        </w:rPr>
        <w:t>그러나 이러한 접근은 여전히 표준화와 외적 타당성 측면에서 제한이 있으며, 특히 생리적 및 행동 데이터를 지속적으로 수집한다는 점에서 개인정보 보호와 윤리적 수용성 문제가 중요한 과제로 남아 있다. 또한 실시간 해석을 위한 자동화된 분석 시스템 역시 충분히 검증되었다고 보기 어려운 상황이다</w:t>
      </w:r>
      <w:r w:rsidRPr="00C972F2">
        <w:rPr>
          <w:rFonts w:asciiTheme="minorEastAsia" w:hAnsiTheme="minorEastAsia"/>
          <w:color w:val="0432FF"/>
          <w:sz w:val="20"/>
          <w:szCs w:val="20"/>
        </w:rPr>
        <w:t>.</w:t>
      </w:r>
      <w:r w:rsidRPr="00C972F2">
        <w:rPr>
          <w:rFonts w:asciiTheme="minorEastAsia" w:hAnsiTheme="minorEastAsia" w:hint="eastAsia"/>
          <w:color w:val="0432FF"/>
          <w:sz w:val="20"/>
          <w:szCs w:val="20"/>
        </w:rPr>
        <w:t xml:space="preserve"> </w:t>
      </w:r>
      <w:r w:rsidRPr="00C972F2">
        <w:rPr>
          <w:rFonts w:asciiTheme="minorEastAsia" w:hAnsiTheme="minorEastAsia"/>
          <w:color w:val="0432FF"/>
          <w:sz w:val="20"/>
          <w:szCs w:val="20"/>
        </w:rPr>
        <w:fldChar w:fldCharType="begin">
          <w:fldData xml:space="preserve">PEVuZE5vdGU+PENpdGU+PEF1dGhvcj5Jc2xhbTwvQXV0aG9yPjxZZWFyPjIwMjQ8L1llYXI+PFJl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=
</w:fldData>
        </w:fldChar>
      </w:r>
      <w:r w:rsidRPr="00C972F2">
        <w:rPr>
          <w:rFonts w:asciiTheme="minorEastAsia" w:hAnsiTheme="minorEastAsia"/>
          <w:color w:val="0432FF"/>
          <w:sz w:val="20"/>
          <w:szCs w:val="20"/>
        </w:rPr>
        <w:instrText xml:space="preserve"> ADDIN EN.JS.CITE </w:instrText>
      </w:r>
      <w:r w:rsidRPr="00C972F2">
        <w:rPr>
          <w:rFonts w:asciiTheme="minorEastAsia" w:hAnsiTheme="minorEastAsia"/>
          <w:color w:val="0432FF"/>
          <w:sz w:val="20"/>
          <w:szCs w:val="20"/>
        </w:rPr>
      </w:r>
      <w:r w:rsidRPr="00C972F2">
        <w:rPr>
          <w:rFonts w:asciiTheme="minorEastAsia" w:hAnsiTheme="minorEastAsia"/>
          <w:color w:val="0432FF"/>
          <w:sz w:val="20"/>
          <w:szCs w:val="20"/>
        </w:rPr>
        <w:fldChar w:fldCharType="separate"/>
      </w:r>
      <w:r w:rsidRPr="00C972F2">
        <w:rPr>
          <w:rFonts w:asciiTheme="minorEastAsia" w:hAnsiTheme="minorEastAsia" w:cs="Courier New"/>
          <w:noProof/>
          <w:color w:val="0432FF"/>
          <w:sz w:val="20"/>
          <w:szCs w:val="20"/>
          <w:vertAlign w:val="superscript"/>
        </w:rPr>
        <w:t>89</w:t>
      </w:r>
      <w:r w:rsidRPr="00C972F2">
        <w:rPr>
          <w:rFonts w:asciiTheme="minorEastAsia" w:hAnsiTheme="minorEastAsia"/>
          <w:color w:val="0432FF"/>
          <w:sz w:val="20"/>
          <w:szCs w:val="20"/>
        </w:rPr>
        <w:fldChar w:fldCharType="end"/>
      </w:r>
      <w:r w:rsidRPr="00C972F2">
        <w:rPr>
          <w:rFonts w:asciiTheme="minorEastAsia" w:hAnsiTheme="minorEastAsia" w:hint="eastAsia"/>
          <w:color w:val="0432FF"/>
          <w:sz w:val="20"/>
          <w:szCs w:val="20"/>
        </w:rPr>
        <w:t>따라서 이러한 기술이 임상에서 안정적으로 활용되기 위해서는 예측 정확도뿐 아니라 실행 가능성, 윤리적 정당성, 그리고 환자 수용성에 대한 종합적인 검토가 필요하다.</w:t>
      </w:r>
      <w:r>
        <w:rPr>
          <w:rFonts w:asciiTheme="minorEastAsia" w:hAnsiTheme="minorEastAsia"/>
          <w:color w:val="0432FF"/>
          <w:sz w:val="20"/>
          <w:szCs w:val="20"/>
        </w:rPr>
        <w:t xml:space="preserve"> (5,8)</w:t>
      </w:r>
    </w:p>
    <w:p w14:paraId="6750DA2B" w14:textId="77777777" w:rsidR="000713C6" w:rsidRDefault="000713C6" w:rsidP="000713C6">
      <w:pPr>
        <w:jc w:val="both"/>
        <w:rPr>
          <w:rFonts w:asciiTheme="minorEastAsia" w:hAnsiTheme="minorEastAsia"/>
          <w:color w:val="0432FF"/>
          <w:sz w:val="20"/>
          <w:szCs w:val="20"/>
        </w:rPr>
      </w:pPr>
      <w:r w:rsidRPr="00C972F2">
        <w:rPr>
          <w:rFonts w:asciiTheme="minorEastAsia" w:hAnsiTheme="minorEastAsia"/>
          <w:color w:val="0432FF"/>
          <w:sz w:val="20"/>
          <w:szCs w:val="20"/>
        </w:rPr>
        <w:t>However, these approaches remain limited in terms of standardization and external validity. In particular, the continuous collection of physiological and behavioral data raises important concerns regarding data privacy and ethical acceptability. In addition, automated systems for real-time interpretation have not yet been sufficiently validated.</w:t>
      </w:r>
      <w:r w:rsidRPr="00C972F2">
        <w:rPr>
          <w:rFonts w:asciiTheme="minorEastAsia" w:hAnsiTheme="minorEastAsia"/>
          <w:color w:val="0432FF"/>
          <w:sz w:val="20"/>
          <w:szCs w:val="20"/>
        </w:rPr>
        <w:fldChar w:fldCharType="begin">
          <w:fldData xml:space="preserve">PEVuZE5vdGU+PENpdGU+PEF1dGhvcj5Jc2xhbTwvQXV0aG9yPjxZZWFyPjIwMjQ8L1llYXI+PFJl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=
</w:fldData>
        </w:fldChar>
      </w:r>
      <w:r w:rsidRPr="00C972F2">
        <w:rPr>
          <w:rFonts w:asciiTheme="minorEastAsia" w:hAnsiTheme="minorEastAsia"/>
          <w:color w:val="0432FF"/>
          <w:sz w:val="20"/>
          <w:szCs w:val="20"/>
        </w:rPr>
        <w:instrText xml:space="preserve"> ADDIN EN.JS.CITE </w:instrText>
      </w:r>
      <w:r w:rsidRPr="00C972F2">
        <w:rPr>
          <w:rFonts w:asciiTheme="minorEastAsia" w:hAnsiTheme="minorEastAsia"/>
          <w:color w:val="0432FF"/>
          <w:sz w:val="20"/>
          <w:szCs w:val="20"/>
        </w:rPr>
      </w:r>
      <w:r w:rsidRPr="00C972F2">
        <w:rPr>
          <w:rFonts w:asciiTheme="minorEastAsia" w:hAnsiTheme="minorEastAsia"/>
          <w:color w:val="0432FF"/>
          <w:sz w:val="20"/>
          <w:szCs w:val="20"/>
        </w:rPr>
        <w:fldChar w:fldCharType="separate"/>
      </w:r>
      <w:r w:rsidRPr="00C972F2">
        <w:rPr>
          <w:rFonts w:asciiTheme="minorEastAsia" w:hAnsiTheme="minorEastAsia" w:cs="Courier New"/>
          <w:noProof/>
          <w:color w:val="0432FF"/>
          <w:sz w:val="20"/>
          <w:szCs w:val="20"/>
          <w:vertAlign w:val="superscript"/>
        </w:rPr>
        <w:t>89</w:t>
      </w:r>
      <w:r w:rsidRPr="00C972F2">
        <w:rPr>
          <w:rFonts w:asciiTheme="minorEastAsia" w:hAnsiTheme="minorEastAsia"/>
          <w:color w:val="0432FF"/>
          <w:sz w:val="20"/>
          <w:szCs w:val="20"/>
        </w:rPr>
        <w:fldChar w:fldCharType="end"/>
      </w:r>
      <w:r>
        <w:rPr>
          <w:rFonts w:asciiTheme="minorEastAsia" w:hAnsiTheme="minorEastAsia"/>
          <w:color w:val="0432FF"/>
          <w:sz w:val="20"/>
          <w:szCs w:val="20"/>
        </w:rPr>
        <w:t xml:space="preserve"> </w:t>
      </w:r>
      <w:r w:rsidRPr="00C972F2">
        <w:rPr>
          <w:rFonts w:asciiTheme="minorEastAsia" w:hAnsiTheme="minorEastAsia"/>
          <w:color w:val="0432FF"/>
          <w:sz w:val="20"/>
          <w:szCs w:val="20"/>
        </w:rPr>
        <w:t>Therefore, for these technologies to be reliably implemented in clinical practice, a comprehensive evaluation is required that considers not only predictive accuracy but also feasibility, ethical validity, and patient acceptability.</w:t>
      </w:r>
    </w:p>
    <w:p w14:paraId="23CE8DA6" w14:textId="77777777" w:rsidR="000713C6" w:rsidRDefault="000713C6" w:rsidP="000713C6">
      <w:pPr>
        <w:jc w:val="both"/>
        <w:rPr>
          <w:rFonts w:asciiTheme="minorEastAsia" w:hAnsiTheme="minorEastAsia"/>
          <w:color w:val="0432FF"/>
          <w:sz w:val="20"/>
          <w:szCs w:val="20"/>
        </w:rPr>
      </w:pPr>
    </w:p>
    <w:p w14:paraId="461CCD9B" w14:textId="77777777" w:rsidR="000713C6" w:rsidRPr="00A52F09" w:rsidRDefault="000713C6" w:rsidP="000713C6">
      <w:pPr>
        <w:jc w:val="both"/>
        <w:rPr>
          <w:rFonts w:asciiTheme="minorEastAsia" w:hAnsiTheme="minorEastAsia"/>
          <w:color w:val="0432FF"/>
          <w:sz w:val="20"/>
          <w:szCs w:val="20"/>
        </w:rPr>
      </w:pPr>
      <w:r w:rsidRPr="00A52F09">
        <w:rPr>
          <w:rFonts w:asciiTheme="minorEastAsia" w:hAnsiTheme="minorEastAsia" w:hint="eastAsia"/>
          <w:color w:val="0432FF"/>
          <w:sz w:val="20"/>
          <w:szCs w:val="20"/>
        </w:rPr>
        <w:t>이에 대하여 미래 지향적인 윤리적·실천적 접근으로 다음과 같은 보완 방향을 고려할 수 있다. 기술은 통제가 아니라 관찰의 공백을 메우는 임상적 보조 장치이다. 이러한 관점에서 관련 기술의 도입은 단순한 행동 감시나 통제를 목적으로 하는 것이 아니라, 의료진의 일시적 부재 상황에서도 환자의 생리적·행동적 상태를 지속적으로 모니터링함으로써 돌봄의 사각지대를 보완하고 위험 신호에 대한 조기 대응을 가능하게 하는 기능으로 이해될 필요가 있다. 이는 현재의 인력 구조에서 의료진이 모든 환자를 지속적으로 밀착 관찰하기 어려운 현실을 고려할 때, 기술이 환자를 감시하는 수단이 아니라 임상적 관찰을 보완하는 역할을 수행한다는 점에서 그 의의가 있다.</w:t>
      </w:r>
    </w:p>
    <w:p w14:paraId="5A0884E7" w14:textId="77777777" w:rsidR="000713C6" w:rsidRPr="00A52F09" w:rsidRDefault="000713C6" w:rsidP="000713C6">
      <w:pPr>
        <w:jc w:val="both"/>
        <w:rPr>
          <w:rFonts w:asciiTheme="minorEastAsia" w:hAnsiTheme="minorEastAsia"/>
          <w:color w:val="0432FF"/>
          <w:sz w:val="20"/>
          <w:szCs w:val="20"/>
        </w:rPr>
      </w:pPr>
      <w:r w:rsidRPr="00A52F09">
        <w:rPr>
          <w:rFonts w:asciiTheme="minorEastAsia" w:hAnsiTheme="minorEastAsia" w:hint="eastAsia"/>
          <w:color w:val="0432FF"/>
          <w:sz w:val="20"/>
          <w:szCs w:val="20"/>
        </w:rPr>
        <w:t>또한 이러한 기술은 반복적이고 표준화된 모니터링 업무를 일부 대체함으로써, 의료진이 환자와의 직접적인 상호작용과 치료적 관계 형성에 보다 많은 시간을 할애할 수 있도록 한다. 이는 비인간화를 초래하기보다는 오히려 인간 중심적 돌봄을 강화하는 방향으로 작용할 수 있다.</w:t>
      </w:r>
    </w:p>
    <w:p w14:paraId="13DF8AB5" w14:textId="77777777" w:rsidR="000713C6" w:rsidRPr="00A52F09" w:rsidRDefault="000713C6" w:rsidP="000713C6">
      <w:pPr>
        <w:jc w:val="both"/>
        <w:rPr>
          <w:rFonts w:asciiTheme="minorEastAsia" w:hAnsiTheme="minorEastAsia"/>
          <w:color w:val="0432FF"/>
          <w:sz w:val="20"/>
          <w:szCs w:val="20"/>
        </w:rPr>
      </w:pPr>
      <w:r w:rsidRPr="00A52F09">
        <w:rPr>
          <w:rFonts w:asciiTheme="minorEastAsia" w:hAnsiTheme="minorEastAsia" w:hint="eastAsia"/>
          <w:color w:val="0432FF"/>
          <w:sz w:val="20"/>
          <w:szCs w:val="20"/>
        </w:rPr>
        <w:t>아울러 생리적 지표의 변화는 공격적 행동 이전 단계에서 나타날 수 있으며, 이를 기반으로 한 조기 위험 신호 탐지는 급성 악화 이후의 강제적 개입을 감소시키는 데 기여할 수 있다 [1,2]. 또한 전자의무기록 기반의 기계학습 모델 역시 폭력 위험 예측을 보완하는 도구로 제시되고 있다 [3,4]. 이러한 접근은 결과적으로 신체적 억제나 강압적 조치의 필요성을 최소화하고 환자의 존엄성과 자율성을 보호하는 데 중요한 임상적 의미를 가진다 [9,10].</w:t>
      </w:r>
    </w:p>
    <w:p w14:paraId="01D8EDBE" w14:textId="77777777" w:rsidR="000713C6" w:rsidRPr="00A52F09" w:rsidRDefault="000713C6" w:rsidP="000713C6">
      <w:pPr>
        <w:jc w:val="both"/>
        <w:rPr>
          <w:rFonts w:asciiTheme="minorEastAsia" w:hAnsiTheme="minorEastAsia"/>
          <w:color w:val="0432FF"/>
          <w:sz w:val="20"/>
          <w:szCs w:val="20"/>
        </w:rPr>
      </w:pPr>
      <w:r w:rsidRPr="00A52F09">
        <w:rPr>
          <w:rFonts w:asciiTheme="minorEastAsia" w:hAnsiTheme="minorEastAsia" w:hint="eastAsia"/>
          <w:color w:val="0432FF"/>
          <w:sz w:val="20"/>
          <w:szCs w:val="20"/>
        </w:rPr>
        <w:t>이와 함께 이러한 접근은 환자뿐 아니라 의료진의 안전과 심리적 부담을 완화하는 측면에서도 중요하다. 의료진이 보다 안전한 환경에서 근무할 수 있을 때, 환자에게 제공되는 치료의 질과 지속성 또한 향상될 수 있으며, 이는 도덕적 손상(moral injury) 감소와도 관련될 수 있다 [11].</w:t>
      </w:r>
    </w:p>
    <w:p w14:paraId="7A253709" w14:textId="77777777" w:rsidR="000713C6" w:rsidRPr="00A52F09" w:rsidRDefault="000713C6" w:rsidP="000713C6">
      <w:pPr>
        <w:jc w:val="both"/>
        <w:rPr>
          <w:rFonts w:asciiTheme="minorEastAsia" w:hAnsiTheme="minorEastAsia"/>
          <w:color w:val="0432FF"/>
          <w:sz w:val="20"/>
          <w:szCs w:val="20"/>
        </w:rPr>
      </w:pPr>
    </w:p>
    <w:p w14:paraId="00BD4A23" w14:textId="77777777" w:rsidR="000713C6" w:rsidRPr="00A52F09" w:rsidRDefault="000713C6" w:rsidP="000713C6">
      <w:pPr>
        <w:jc w:val="both"/>
        <w:rPr>
          <w:rFonts w:asciiTheme="minorEastAsia" w:hAnsiTheme="minorEastAsia"/>
          <w:color w:val="0432FF"/>
          <w:sz w:val="20"/>
          <w:szCs w:val="20"/>
        </w:rPr>
      </w:pPr>
      <w:r w:rsidRPr="00A52F09">
        <w:rPr>
          <w:rFonts w:asciiTheme="minorEastAsia" w:hAnsiTheme="minorEastAsia" w:hint="eastAsia"/>
          <w:color w:val="0432FF"/>
          <w:sz w:val="20"/>
          <w:szCs w:val="20"/>
        </w:rPr>
        <w:t>따라서 이러한 기술은 통제의 수단이 아니라, 임상적 관찰을 보완하고 조기 개입을 가능하게 하며, 환자와 의료진 모두의 안전과 돌봄의 질을 동시에 향상시키는 보조적 도구로 이해되어야 한다.</w:t>
      </w:r>
    </w:p>
    <w:p w14:paraId="78D1E07A"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A52F09">
        <w:rPr>
          <w:rFonts w:asciiTheme="minorEastAsia" w:hAnsiTheme="minorEastAsia" w:cs="Batang"/>
          <w:color w:val="0432FF"/>
          <w:kern w:val="0"/>
          <w:sz w:val="20"/>
          <w:szCs w:val="20"/>
          <w14:ligatures w14:val="none"/>
        </w:rPr>
        <w:t xml:space="preserve">In response, a future-oriented ethical and practical approach may consider the following directions for refinement. Technology should be understood not as a means of control, but as a clinical adjunct that fills gaps in observation. From this perspective, the implementation of such technologies is not intended for behavioral surveillance or control; rather, it should be viewed as a function that complements gaps in care by continuously monitoring patients’ physiological and behavioral states—even during temporary absences of clinical staff—and enabling early detection of risk signals. This is particularly relevant in the context of current workforce limitations, where continuous close observation of all </w:t>
      </w:r>
      <w:r w:rsidRPr="00A52F09">
        <w:rPr>
          <w:rFonts w:asciiTheme="minorEastAsia" w:hAnsiTheme="minorEastAsia" w:cs="Batang"/>
          <w:color w:val="0432FF"/>
          <w:kern w:val="0"/>
          <w:sz w:val="20"/>
          <w:szCs w:val="20"/>
          <w14:ligatures w14:val="none"/>
        </w:rPr>
        <w:lastRenderedPageBreak/>
        <w:t>patients is not feasible, underscoring the role of technology as a supplement to clinical observation rather than a tool of surveillance.</w:t>
      </w:r>
    </w:p>
    <w:p w14:paraId="269D9844"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A52F09">
        <w:rPr>
          <w:rFonts w:asciiTheme="minorEastAsia" w:hAnsiTheme="minorEastAsia" w:cs="Batang"/>
          <w:color w:val="0432FF"/>
          <w:kern w:val="0"/>
          <w:sz w:val="20"/>
          <w:szCs w:val="20"/>
          <w14:ligatures w14:val="none"/>
        </w:rPr>
        <w:t>Moreover, by partially replacing repetitive and standardized monitoring tasks, these technologies may allow clinicians to devote more time to direct patient interaction and the development of therapeutic relationships. In this sense, rather than contributing to dehumanization, they may support a more patient-centered model of care.</w:t>
      </w:r>
    </w:p>
    <w:p w14:paraId="06E735F5"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A52F09">
        <w:rPr>
          <w:rFonts w:asciiTheme="minorEastAsia" w:hAnsiTheme="minorEastAsia" w:cs="Batang"/>
          <w:color w:val="0432FF"/>
          <w:kern w:val="0"/>
          <w:sz w:val="20"/>
          <w:szCs w:val="20"/>
          <w14:ligatures w14:val="none"/>
        </w:rPr>
        <w:t>In addition, changes in physiological indicators may precede overt aggressive behavior, and early detection of such signals may help reduce the need for coercive interventions following acute escalation [1,2]. Machine learning models based on electronic health records have also been proposed as tools to complement the prediction of violence risk [3,4]. Collectively, these approaches may contribute to minimizing the use of physical restraints or coercive measures and have important clinical implications for protecting patient dignity and autonomy [9,10].</w:t>
      </w:r>
    </w:p>
    <w:p w14:paraId="6F0DB5E4"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A52F09">
        <w:rPr>
          <w:rFonts w:asciiTheme="minorEastAsia" w:hAnsiTheme="minorEastAsia" w:cs="Batang"/>
          <w:color w:val="0432FF"/>
          <w:kern w:val="0"/>
          <w:sz w:val="20"/>
          <w:szCs w:val="20"/>
          <w14:ligatures w14:val="none"/>
        </w:rPr>
        <w:t>At the same time, this approach is also relevant for reducing risks and psychological burden among healthcare staff. When clinicians are able to work in safer environments, the quality and continuity of care provided to patients may improve, and this may also be associated with a reduction in moral injury [11].</w:t>
      </w:r>
    </w:p>
    <w:p w14:paraId="7C07ED60"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A52F09">
        <w:rPr>
          <w:rFonts w:asciiTheme="minorEastAsia" w:hAnsiTheme="minorEastAsia" w:cs="Batang"/>
          <w:color w:val="0432FF"/>
          <w:kern w:val="0"/>
          <w:sz w:val="20"/>
          <w:szCs w:val="20"/>
          <w14:ligatures w14:val="none"/>
        </w:rPr>
        <w:t>Accordingly, such technologies should not be regarded as instruments of control, but rather as supportive tools that complement clinical observation, facilitate early intervention, and enhance both safety and quality of care for patients and healthcare providers alike.</w:t>
      </w:r>
    </w:p>
    <w:p w14:paraId="572A7E53"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t>Vancouver Reference List</w:t>
      </w:r>
      <w:r>
        <w:rPr>
          <w:rFonts w:asciiTheme="minorEastAsia" w:hAnsiTheme="minorEastAsia" w:cs="Batang"/>
          <w:color w:val="7030A0"/>
          <w:kern w:val="0"/>
          <w:sz w:val="20"/>
          <w:szCs w:val="20"/>
          <w:highlight w:val="yellow"/>
          <w14:ligatures w14:val="none"/>
        </w:rPr>
        <w:t xml:space="preserve"> (</w:t>
      </w:r>
      <w:r>
        <w:rPr>
          <w:rFonts w:asciiTheme="minorEastAsia" w:hAnsiTheme="minorEastAsia" w:cs="Batang" w:hint="eastAsia"/>
          <w:color w:val="7030A0"/>
          <w:kern w:val="0"/>
          <w:sz w:val="20"/>
          <w:szCs w:val="20"/>
          <w:highlight w:val="yellow"/>
          <w14:ligatures w14:val="none"/>
        </w:rPr>
        <w:t>확인 필요함)</w:t>
      </w:r>
    </w:p>
    <w:p w14:paraId="143D1923"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t>1. de Looff P, Cornet L, Embregts P, Nijman H, Didden R. Associations of sympathetic and parasympathetic activity with aggression in forensic psychiatric patients. Psychiatry Res. 2019;279:247–55.</w:t>
      </w:r>
    </w:p>
    <w:p w14:paraId="06FA052C"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t>2. Cornet LJM, Smeets T, van den Bosch K, Nijman HLI. Neurophysiological parameters as predictors of aggression in psychiatric patients: A systematic review. Aggress Violent Behav. 2017;37:1–10.</w:t>
      </w:r>
    </w:p>
    <w:p w14:paraId="40A517F7"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t>3. Suchting R, Green CE, de Dios C, Karp JF, Jeste DV, Eyler LT. Machine learning approaches to predicting violent behavior in psychiatric populations: A systematic review. Psychiatry Res. 2018;268:399–408.</w:t>
      </w:r>
    </w:p>
    <w:p w14:paraId="1895344D"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t>4. Favril L, Yu R, Hawton K, Fazel S. Risk factors for violent behavior in psychiatric patients: A systematic review and meta-analysis of prediction models. Lancet Psychiatry. 2020;7(10):913–22.</w:t>
      </w:r>
    </w:p>
    <w:p w14:paraId="2F043215"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lastRenderedPageBreak/>
        <w:t>5. Topol EJ. High-performance medicine: the convergence of human and artificial intelligence. Nat Med. 2019;25(1):44–56.</w:t>
      </w:r>
    </w:p>
    <w:p w14:paraId="4F022DBD"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t>6. Price WN, Gerke S, Cohen IG. Potential liability for physicians using artificial intelligence. JAMA. 2019;322(18):1765–6.</w:t>
      </w:r>
    </w:p>
    <w:p w14:paraId="21A18AE5"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t>7. Mittelstadt BD, Allo P, Taddeo M, Wachter S, Floridi L. The ethics of algorithms: Mapping the debate. Big Data Soc. 2016;3(2):1–21.</w:t>
      </w:r>
    </w:p>
    <w:p w14:paraId="4D5A47DC"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t>8. Vayena E, Blasimme A, Cohen IG. Machine learning in medicine: Addressing ethical challenges. PLoS Med. 2018;15(11):e1002689.</w:t>
      </w:r>
    </w:p>
    <w:p w14:paraId="1B83A681"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t>9. Huckshorn KA. Reducing seclusion &amp; restraint use in mental health settings: Core strategies for prevention. J Psychosoc Nurs Ment Health Serv. 2004;42(9):22–33.</w:t>
      </w:r>
    </w:p>
    <w:p w14:paraId="249765B4"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t>10. Sailas E, Fenton M. Seclusion and restraint for people with serious mental illnesses. Cochrane Database Syst Rev. 2000;(2):CD001163.</w:t>
      </w:r>
    </w:p>
    <w:p w14:paraId="5F255EC4"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t>11. Dean W, Talbot S, Dean A. Reframing clinician distress: Moral injury not burnout. Fed Pract. 2019;36(9):400–2.</w:t>
      </w:r>
    </w:p>
    <w:p w14:paraId="37B15DC5"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Apple Color Emoji" w:hAnsi="Apple Color Emoji" w:cs="Apple Color Emoji"/>
          <w:color w:val="7030A0"/>
          <w:kern w:val="0"/>
          <w:sz w:val="20"/>
          <w:szCs w:val="20"/>
          <w:highlight w:val="yellow"/>
          <w14:ligatures w14:val="none"/>
        </w:rPr>
        <w:t>✔</w:t>
      </w:r>
      <w:r w:rsidRPr="00A52F09">
        <w:rPr>
          <w:rFonts w:asciiTheme="minorEastAsia" w:hAnsiTheme="minorEastAsia" w:cs="Batang"/>
          <w:color w:val="7030A0"/>
          <w:kern w:val="0"/>
          <w:sz w:val="20"/>
          <w:szCs w:val="20"/>
          <w:highlight w:val="yellow"/>
          <w14:ligatures w14:val="none"/>
        </w:rPr>
        <w:t xml:space="preserve"> APA Reference List</w:t>
      </w:r>
    </w:p>
    <w:p w14:paraId="2A671CDE"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t>de Looff, P., Cornet, L., Embregts, P., Nijman, H., &amp; Didden, R. (2019). Associations of sympathetic and parasympathetic activity with aggression in forensic psychiatric patients. Psychiatry Research, 279, 247–255.</w:t>
      </w:r>
    </w:p>
    <w:p w14:paraId="50CB435E"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t>Cornet, L. J. M., Smeets, T., van den Bosch, K., &amp; Nijman, H. L. I. (2017). Neurophysiological parameters as predictors of aggression in psychiatric patients: A systematic review. Aggression and Violent Behavior, 37, 1–10.</w:t>
      </w:r>
    </w:p>
    <w:p w14:paraId="20E45B5F"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t>Suchting, R., Green, C. E., de Dios, C., Karp, J. F., Jeste, D. V., &amp; Eyler, L. T. (2018). Machine learning approaches to predicting violent behavior in psychiatric populations: A systematic review. Psychiatry Research, 268, 399–408.</w:t>
      </w:r>
    </w:p>
    <w:p w14:paraId="73920667"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t>Favril, L., Yu, R., Hawton, K., &amp; Fazel, S. (2020). Risk factors for violent behavior in psychiatric patients: A systematic review and meta-analysis of prediction models. The Lancet Psychiatry, 7(10), 913–922.</w:t>
      </w:r>
    </w:p>
    <w:p w14:paraId="440C94C7"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lastRenderedPageBreak/>
        <w:t>Topol, E. J. (2019). High-performance medicine: the convergence of human and artificial intelligence. Nature Medicine, 25(1), 44–56.</w:t>
      </w:r>
    </w:p>
    <w:p w14:paraId="31B47DC5"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t>Price, W. N., Gerke, S., &amp; Cohen, I. G. (2019). Potential liability for physicians using artificial intelligence. JAMA, 322(18), 1765–1766.</w:t>
      </w:r>
    </w:p>
    <w:p w14:paraId="7449C27C"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t>Mittelstadt, B. D., Allo, P., Taddeo, M., Wachter, S., &amp; Floridi, L. (2016). The ethics of algorithms. Big Data &amp; Society, 3(2).</w:t>
      </w:r>
    </w:p>
    <w:p w14:paraId="4CB6F9AB"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t>Vayena, E., Blasimme, A., &amp; Cohen, I. G. (2018). Machine learning in medicine: Addressing ethical challenges. PLoS Medicine, 15(11), e1002689.</w:t>
      </w:r>
    </w:p>
    <w:p w14:paraId="2295013F"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t>Huckshorn, K. A. (2004). Reducing seclusion and restraint use in mental health settings. Journal of Psychosocial Nursing, 42(9), 22–33.</w:t>
      </w:r>
    </w:p>
    <w:p w14:paraId="495D857C"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A52F09">
        <w:rPr>
          <w:rFonts w:asciiTheme="minorEastAsia" w:hAnsiTheme="minorEastAsia" w:cs="Batang"/>
          <w:color w:val="7030A0"/>
          <w:kern w:val="0"/>
          <w:sz w:val="20"/>
          <w:szCs w:val="20"/>
          <w:highlight w:val="yellow"/>
          <w14:ligatures w14:val="none"/>
        </w:rPr>
        <w:t>Sailas, E., &amp; Fenton, M. (2000). Seclusion and restraint for serious mental illness. Cochrane Database of Systematic Reviews, (2).</w:t>
      </w:r>
    </w:p>
    <w:p w14:paraId="23D6B759" w14:textId="77777777" w:rsidR="000713C6" w:rsidRPr="00A52F09" w:rsidRDefault="000713C6" w:rsidP="000713C6">
      <w:pPr>
        <w:spacing w:before="100" w:beforeAutospacing="1" w:after="100" w:afterAutospacing="1" w:line="240" w:lineRule="auto"/>
        <w:jc w:val="both"/>
        <w:rPr>
          <w:rFonts w:asciiTheme="minorEastAsia" w:hAnsiTheme="minorEastAsia" w:cs="Batang"/>
          <w:color w:val="7030A0"/>
          <w:kern w:val="0"/>
          <w:sz w:val="20"/>
          <w:szCs w:val="20"/>
          <w14:ligatures w14:val="none"/>
        </w:rPr>
      </w:pPr>
      <w:r w:rsidRPr="00A52F09">
        <w:rPr>
          <w:rFonts w:asciiTheme="minorEastAsia" w:hAnsiTheme="minorEastAsia" w:cs="Batang"/>
          <w:color w:val="7030A0"/>
          <w:kern w:val="0"/>
          <w:sz w:val="20"/>
          <w:szCs w:val="20"/>
          <w:highlight w:val="yellow"/>
          <w14:ligatures w14:val="none"/>
        </w:rPr>
        <w:t>Dean, W., Talbot, S., &amp; Dean, A. (2019). Reframing clinician distress: Moral injury not burnout. Federal Practitioner, 36(9), 400–402.</w:t>
      </w:r>
    </w:p>
    <w:p w14:paraId="546EBD1A" w14:textId="77777777" w:rsidR="00636438" w:rsidRDefault="00636438"/>
    <w:sectPr w:rsidR="006364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28009F" w:csb1="00000000"/>
  </w:font>
  <w:font w:name="Courier New">
    <w:panose1 w:val="02070309020205020404"/>
    <w:charset w:val="00"/>
    <w:family w:val="modern"/>
    <w:pitch w:val="fixed"/>
    <w:sig w:usb0="E0002E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3C6"/>
    <w:rsid w:val="000012A1"/>
    <w:rsid w:val="0002548B"/>
    <w:rsid w:val="00031B68"/>
    <w:rsid w:val="0003424B"/>
    <w:rsid w:val="000527B9"/>
    <w:rsid w:val="00053F06"/>
    <w:rsid w:val="00054757"/>
    <w:rsid w:val="00055973"/>
    <w:rsid w:val="000605BC"/>
    <w:rsid w:val="00062A18"/>
    <w:rsid w:val="000713C6"/>
    <w:rsid w:val="00074664"/>
    <w:rsid w:val="00080F61"/>
    <w:rsid w:val="00092DD2"/>
    <w:rsid w:val="00097D79"/>
    <w:rsid w:val="000A3C5E"/>
    <w:rsid w:val="000A5995"/>
    <w:rsid w:val="000C4C3D"/>
    <w:rsid w:val="000C6E68"/>
    <w:rsid w:val="000D4CE6"/>
    <w:rsid w:val="000E67A9"/>
    <w:rsid w:val="000F28C3"/>
    <w:rsid w:val="000F39D6"/>
    <w:rsid w:val="000F5894"/>
    <w:rsid w:val="00101822"/>
    <w:rsid w:val="0011431F"/>
    <w:rsid w:val="00121380"/>
    <w:rsid w:val="00123895"/>
    <w:rsid w:val="00130DC8"/>
    <w:rsid w:val="00162719"/>
    <w:rsid w:val="00174DB1"/>
    <w:rsid w:val="001752EF"/>
    <w:rsid w:val="00183069"/>
    <w:rsid w:val="001922AD"/>
    <w:rsid w:val="00196926"/>
    <w:rsid w:val="001A3245"/>
    <w:rsid w:val="001A351A"/>
    <w:rsid w:val="001A7A80"/>
    <w:rsid w:val="001B0FB7"/>
    <w:rsid w:val="001D6ED5"/>
    <w:rsid w:val="001E54F1"/>
    <w:rsid w:val="001F2B9C"/>
    <w:rsid w:val="001F4D9A"/>
    <w:rsid w:val="00203531"/>
    <w:rsid w:val="00204C2C"/>
    <w:rsid w:val="002068D0"/>
    <w:rsid w:val="002111B3"/>
    <w:rsid w:val="0021598D"/>
    <w:rsid w:val="00217269"/>
    <w:rsid w:val="00225ED0"/>
    <w:rsid w:val="00232764"/>
    <w:rsid w:val="00235894"/>
    <w:rsid w:val="002374F3"/>
    <w:rsid w:val="002429C2"/>
    <w:rsid w:val="002446E4"/>
    <w:rsid w:val="00246E2C"/>
    <w:rsid w:val="00247D30"/>
    <w:rsid w:val="00251A58"/>
    <w:rsid w:val="00274729"/>
    <w:rsid w:val="002756F4"/>
    <w:rsid w:val="002A4A47"/>
    <w:rsid w:val="002B214D"/>
    <w:rsid w:val="002B500F"/>
    <w:rsid w:val="002C1E3C"/>
    <w:rsid w:val="002C5DA7"/>
    <w:rsid w:val="002C78C6"/>
    <w:rsid w:val="002E1A8B"/>
    <w:rsid w:val="00306FF2"/>
    <w:rsid w:val="00322A79"/>
    <w:rsid w:val="00330129"/>
    <w:rsid w:val="003509E1"/>
    <w:rsid w:val="003542B2"/>
    <w:rsid w:val="00356504"/>
    <w:rsid w:val="00364183"/>
    <w:rsid w:val="0036615D"/>
    <w:rsid w:val="00372402"/>
    <w:rsid w:val="00382032"/>
    <w:rsid w:val="0039652B"/>
    <w:rsid w:val="00397E2C"/>
    <w:rsid w:val="003D6AB3"/>
    <w:rsid w:val="003D71D5"/>
    <w:rsid w:val="003E50F5"/>
    <w:rsid w:val="004041BF"/>
    <w:rsid w:val="00411DC6"/>
    <w:rsid w:val="00430A35"/>
    <w:rsid w:val="004338CB"/>
    <w:rsid w:val="004338E0"/>
    <w:rsid w:val="00447E82"/>
    <w:rsid w:val="004645AE"/>
    <w:rsid w:val="00465BE0"/>
    <w:rsid w:val="00480613"/>
    <w:rsid w:val="00490E24"/>
    <w:rsid w:val="004A4A77"/>
    <w:rsid w:val="004A5875"/>
    <w:rsid w:val="004A6D6D"/>
    <w:rsid w:val="004B2877"/>
    <w:rsid w:val="004B6283"/>
    <w:rsid w:val="004D2515"/>
    <w:rsid w:val="004F1BA6"/>
    <w:rsid w:val="004F547A"/>
    <w:rsid w:val="004F66ED"/>
    <w:rsid w:val="00515205"/>
    <w:rsid w:val="00517190"/>
    <w:rsid w:val="0051780F"/>
    <w:rsid w:val="00522851"/>
    <w:rsid w:val="0052320F"/>
    <w:rsid w:val="00541574"/>
    <w:rsid w:val="00544C4B"/>
    <w:rsid w:val="005515A2"/>
    <w:rsid w:val="00553D46"/>
    <w:rsid w:val="00573438"/>
    <w:rsid w:val="005802C3"/>
    <w:rsid w:val="00581337"/>
    <w:rsid w:val="00584FCA"/>
    <w:rsid w:val="00592970"/>
    <w:rsid w:val="005A02C0"/>
    <w:rsid w:val="005A0F16"/>
    <w:rsid w:val="005B730D"/>
    <w:rsid w:val="005C447E"/>
    <w:rsid w:val="005D62AE"/>
    <w:rsid w:val="005E3237"/>
    <w:rsid w:val="005E6C66"/>
    <w:rsid w:val="005F14FC"/>
    <w:rsid w:val="00612990"/>
    <w:rsid w:val="0062212D"/>
    <w:rsid w:val="00631C50"/>
    <w:rsid w:val="00634FBC"/>
    <w:rsid w:val="00636438"/>
    <w:rsid w:val="00640A0D"/>
    <w:rsid w:val="00641BA0"/>
    <w:rsid w:val="006421F4"/>
    <w:rsid w:val="0067354C"/>
    <w:rsid w:val="00675DAC"/>
    <w:rsid w:val="006953F6"/>
    <w:rsid w:val="00696551"/>
    <w:rsid w:val="006A5078"/>
    <w:rsid w:val="006C5049"/>
    <w:rsid w:val="006E0387"/>
    <w:rsid w:val="006E1A47"/>
    <w:rsid w:val="006E303B"/>
    <w:rsid w:val="006E582A"/>
    <w:rsid w:val="006E7F2A"/>
    <w:rsid w:val="00702229"/>
    <w:rsid w:val="0072489B"/>
    <w:rsid w:val="00726745"/>
    <w:rsid w:val="007311D8"/>
    <w:rsid w:val="007322DA"/>
    <w:rsid w:val="00754461"/>
    <w:rsid w:val="00754CF0"/>
    <w:rsid w:val="007622EC"/>
    <w:rsid w:val="00766CF0"/>
    <w:rsid w:val="00776831"/>
    <w:rsid w:val="00791A22"/>
    <w:rsid w:val="00792173"/>
    <w:rsid w:val="0079259D"/>
    <w:rsid w:val="007A5EF9"/>
    <w:rsid w:val="007C2187"/>
    <w:rsid w:val="007C4543"/>
    <w:rsid w:val="007D0B73"/>
    <w:rsid w:val="007E1F66"/>
    <w:rsid w:val="007E24AA"/>
    <w:rsid w:val="007F493C"/>
    <w:rsid w:val="007F71F2"/>
    <w:rsid w:val="00804012"/>
    <w:rsid w:val="0082062E"/>
    <w:rsid w:val="00822812"/>
    <w:rsid w:val="0082328D"/>
    <w:rsid w:val="00823BC6"/>
    <w:rsid w:val="00833A30"/>
    <w:rsid w:val="00860204"/>
    <w:rsid w:val="00883906"/>
    <w:rsid w:val="008845AB"/>
    <w:rsid w:val="00897692"/>
    <w:rsid w:val="008B0E29"/>
    <w:rsid w:val="008B56B9"/>
    <w:rsid w:val="008D2E95"/>
    <w:rsid w:val="008D35EC"/>
    <w:rsid w:val="008D3A62"/>
    <w:rsid w:val="008D4721"/>
    <w:rsid w:val="008E4753"/>
    <w:rsid w:val="008F3BA4"/>
    <w:rsid w:val="008F5F1F"/>
    <w:rsid w:val="008F7131"/>
    <w:rsid w:val="00905159"/>
    <w:rsid w:val="0091055B"/>
    <w:rsid w:val="0091711C"/>
    <w:rsid w:val="00954294"/>
    <w:rsid w:val="00957432"/>
    <w:rsid w:val="00965F48"/>
    <w:rsid w:val="009723BC"/>
    <w:rsid w:val="00974461"/>
    <w:rsid w:val="0098388F"/>
    <w:rsid w:val="00992243"/>
    <w:rsid w:val="0099555A"/>
    <w:rsid w:val="00996C65"/>
    <w:rsid w:val="0099711E"/>
    <w:rsid w:val="009A0CB9"/>
    <w:rsid w:val="009A7CC4"/>
    <w:rsid w:val="009B6C7F"/>
    <w:rsid w:val="009D3382"/>
    <w:rsid w:val="009D63E8"/>
    <w:rsid w:val="009E0502"/>
    <w:rsid w:val="009F0298"/>
    <w:rsid w:val="00A05088"/>
    <w:rsid w:val="00A109D1"/>
    <w:rsid w:val="00A1489D"/>
    <w:rsid w:val="00A21C24"/>
    <w:rsid w:val="00A310E9"/>
    <w:rsid w:val="00A31E78"/>
    <w:rsid w:val="00A35C21"/>
    <w:rsid w:val="00A51D3B"/>
    <w:rsid w:val="00A63AD5"/>
    <w:rsid w:val="00A70923"/>
    <w:rsid w:val="00A72C98"/>
    <w:rsid w:val="00A74179"/>
    <w:rsid w:val="00A76D0C"/>
    <w:rsid w:val="00A8603E"/>
    <w:rsid w:val="00A91A2E"/>
    <w:rsid w:val="00A968F2"/>
    <w:rsid w:val="00AA2BC5"/>
    <w:rsid w:val="00AC09A5"/>
    <w:rsid w:val="00AC2238"/>
    <w:rsid w:val="00AC24C0"/>
    <w:rsid w:val="00AC2FF0"/>
    <w:rsid w:val="00AC62D6"/>
    <w:rsid w:val="00AE683C"/>
    <w:rsid w:val="00AF2B23"/>
    <w:rsid w:val="00AF7487"/>
    <w:rsid w:val="00B14CA8"/>
    <w:rsid w:val="00B15F86"/>
    <w:rsid w:val="00B1645B"/>
    <w:rsid w:val="00B17895"/>
    <w:rsid w:val="00B45C57"/>
    <w:rsid w:val="00B46947"/>
    <w:rsid w:val="00B514EA"/>
    <w:rsid w:val="00B65875"/>
    <w:rsid w:val="00B67C06"/>
    <w:rsid w:val="00B7037D"/>
    <w:rsid w:val="00B832A8"/>
    <w:rsid w:val="00B9055F"/>
    <w:rsid w:val="00BA3062"/>
    <w:rsid w:val="00BA60D6"/>
    <w:rsid w:val="00BC6589"/>
    <w:rsid w:val="00BD118A"/>
    <w:rsid w:val="00BD39D3"/>
    <w:rsid w:val="00BF21F1"/>
    <w:rsid w:val="00BF47C8"/>
    <w:rsid w:val="00C128D4"/>
    <w:rsid w:val="00C37264"/>
    <w:rsid w:val="00C37D08"/>
    <w:rsid w:val="00C55111"/>
    <w:rsid w:val="00C61FFD"/>
    <w:rsid w:val="00C76EEA"/>
    <w:rsid w:val="00C772CB"/>
    <w:rsid w:val="00C83612"/>
    <w:rsid w:val="00C862A7"/>
    <w:rsid w:val="00C87241"/>
    <w:rsid w:val="00C9372F"/>
    <w:rsid w:val="00CA3EF8"/>
    <w:rsid w:val="00CD047F"/>
    <w:rsid w:val="00CD1758"/>
    <w:rsid w:val="00D0392D"/>
    <w:rsid w:val="00D04352"/>
    <w:rsid w:val="00D0444A"/>
    <w:rsid w:val="00D14CD7"/>
    <w:rsid w:val="00D14EB7"/>
    <w:rsid w:val="00D1783B"/>
    <w:rsid w:val="00D20E4F"/>
    <w:rsid w:val="00D243E2"/>
    <w:rsid w:val="00D243E8"/>
    <w:rsid w:val="00D27CED"/>
    <w:rsid w:val="00D361FD"/>
    <w:rsid w:val="00D3688A"/>
    <w:rsid w:val="00D46B2C"/>
    <w:rsid w:val="00D50156"/>
    <w:rsid w:val="00D64098"/>
    <w:rsid w:val="00D67C6F"/>
    <w:rsid w:val="00D72B03"/>
    <w:rsid w:val="00D809D3"/>
    <w:rsid w:val="00D835D2"/>
    <w:rsid w:val="00D92C0A"/>
    <w:rsid w:val="00D9574F"/>
    <w:rsid w:val="00DB14CB"/>
    <w:rsid w:val="00DB1A87"/>
    <w:rsid w:val="00DB46B1"/>
    <w:rsid w:val="00DB6FF3"/>
    <w:rsid w:val="00DD0B3C"/>
    <w:rsid w:val="00DD2C75"/>
    <w:rsid w:val="00DD4535"/>
    <w:rsid w:val="00DD5561"/>
    <w:rsid w:val="00DD5845"/>
    <w:rsid w:val="00DE355A"/>
    <w:rsid w:val="00DE4CE9"/>
    <w:rsid w:val="00DF642F"/>
    <w:rsid w:val="00E039B3"/>
    <w:rsid w:val="00E048D0"/>
    <w:rsid w:val="00E1183D"/>
    <w:rsid w:val="00E136BF"/>
    <w:rsid w:val="00E33B7D"/>
    <w:rsid w:val="00E35083"/>
    <w:rsid w:val="00E3603D"/>
    <w:rsid w:val="00E401BA"/>
    <w:rsid w:val="00E50D3B"/>
    <w:rsid w:val="00E57D87"/>
    <w:rsid w:val="00E65BA1"/>
    <w:rsid w:val="00E71575"/>
    <w:rsid w:val="00E73E76"/>
    <w:rsid w:val="00E77786"/>
    <w:rsid w:val="00E86991"/>
    <w:rsid w:val="00E9402A"/>
    <w:rsid w:val="00EB0604"/>
    <w:rsid w:val="00EB1EF4"/>
    <w:rsid w:val="00EB633D"/>
    <w:rsid w:val="00EE2019"/>
    <w:rsid w:val="00EE315F"/>
    <w:rsid w:val="00EE4596"/>
    <w:rsid w:val="00EF31DF"/>
    <w:rsid w:val="00EF4D85"/>
    <w:rsid w:val="00EF72C8"/>
    <w:rsid w:val="00F4185A"/>
    <w:rsid w:val="00F446D3"/>
    <w:rsid w:val="00F616A0"/>
    <w:rsid w:val="00F630D0"/>
    <w:rsid w:val="00F66F61"/>
    <w:rsid w:val="00F75940"/>
    <w:rsid w:val="00F8263A"/>
    <w:rsid w:val="00F83C4D"/>
    <w:rsid w:val="00FA5288"/>
    <w:rsid w:val="00FA7011"/>
    <w:rsid w:val="00FB5833"/>
    <w:rsid w:val="00FC0DE1"/>
    <w:rsid w:val="00FC23ED"/>
    <w:rsid w:val="00FD0CE9"/>
    <w:rsid w:val="00FD6D8F"/>
    <w:rsid w:val="00FD6F8E"/>
    <w:rsid w:val="00FE2A9F"/>
    <w:rsid w:val="00FE69BF"/>
    <w:rsid w:val="00FF428B"/>
    <w:rsid w:val="00FF5B1B"/>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48347"/>
  <w15:chartTrackingRefBased/>
  <w15:docId w15:val="{221E56E7-0A7F-5C4C-BC07-6F1A62EFA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3C6"/>
    <w:rPr>
      <w:lang w:val="en-US"/>
    </w:rPr>
  </w:style>
  <w:style w:type="paragraph" w:styleId="Heading1">
    <w:name w:val="heading 1"/>
    <w:basedOn w:val="Normal"/>
    <w:next w:val="Normal"/>
    <w:link w:val="Heading1Char"/>
    <w:uiPriority w:val="9"/>
    <w:qFormat/>
    <w:rsid w:val="000713C6"/>
    <w:pPr>
      <w:keepNext/>
      <w:keepLines/>
      <w:spacing w:before="360" w:after="80"/>
      <w:outlineLvl w:val="0"/>
    </w:pPr>
    <w:rPr>
      <w:rFonts w:asciiTheme="majorHAnsi" w:eastAsiaTheme="majorEastAsia" w:hAnsiTheme="majorHAnsi" w:cstheme="majorBidi"/>
      <w:color w:val="0F4761" w:themeColor="accent1" w:themeShade="BF"/>
      <w:sz w:val="40"/>
      <w:szCs w:val="40"/>
      <w:lang w:val="en-KR"/>
    </w:rPr>
  </w:style>
  <w:style w:type="paragraph" w:styleId="Heading2">
    <w:name w:val="heading 2"/>
    <w:basedOn w:val="Normal"/>
    <w:next w:val="Normal"/>
    <w:link w:val="Heading2Char"/>
    <w:uiPriority w:val="9"/>
    <w:semiHidden/>
    <w:unhideWhenUsed/>
    <w:qFormat/>
    <w:rsid w:val="000713C6"/>
    <w:pPr>
      <w:keepNext/>
      <w:keepLines/>
      <w:spacing w:before="160" w:after="80"/>
      <w:outlineLvl w:val="1"/>
    </w:pPr>
    <w:rPr>
      <w:rFonts w:asciiTheme="majorHAnsi" w:eastAsiaTheme="majorEastAsia" w:hAnsiTheme="majorHAnsi" w:cstheme="majorBidi"/>
      <w:color w:val="0F4761" w:themeColor="accent1" w:themeShade="BF"/>
      <w:sz w:val="32"/>
      <w:szCs w:val="32"/>
      <w:lang w:val="en-KR"/>
    </w:rPr>
  </w:style>
  <w:style w:type="paragraph" w:styleId="Heading3">
    <w:name w:val="heading 3"/>
    <w:basedOn w:val="Normal"/>
    <w:next w:val="Normal"/>
    <w:link w:val="Heading3Char"/>
    <w:uiPriority w:val="9"/>
    <w:semiHidden/>
    <w:unhideWhenUsed/>
    <w:qFormat/>
    <w:rsid w:val="000713C6"/>
    <w:pPr>
      <w:keepNext/>
      <w:keepLines/>
      <w:spacing w:before="160" w:after="80"/>
      <w:outlineLvl w:val="2"/>
    </w:pPr>
    <w:rPr>
      <w:rFonts w:eastAsiaTheme="majorEastAsia" w:cstheme="majorBidi"/>
      <w:color w:val="0F4761" w:themeColor="accent1" w:themeShade="BF"/>
      <w:sz w:val="28"/>
      <w:szCs w:val="28"/>
      <w:lang w:val="en-KR"/>
    </w:rPr>
  </w:style>
  <w:style w:type="paragraph" w:styleId="Heading4">
    <w:name w:val="heading 4"/>
    <w:basedOn w:val="Normal"/>
    <w:next w:val="Normal"/>
    <w:link w:val="Heading4Char"/>
    <w:uiPriority w:val="9"/>
    <w:semiHidden/>
    <w:unhideWhenUsed/>
    <w:qFormat/>
    <w:rsid w:val="000713C6"/>
    <w:pPr>
      <w:keepNext/>
      <w:keepLines/>
      <w:spacing w:before="80" w:after="40"/>
      <w:outlineLvl w:val="3"/>
    </w:pPr>
    <w:rPr>
      <w:rFonts w:eastAsiaTheme="majorEastAsia" w:cstheme="majorBidi"/>
      <w:i/>
      <w:iCs/>
      <w:color w:val="0F4761" w:themeColor="accent1" w:themeShade="BF"/>
      <w:lang w:val="en-KR"/>
    </w:rPr>
  </w:style>
  <w:style w:type="paragraph" w:styleId="Heading5">
    <w:name w:val="heading 5"/>
    <w:basedOn w:val="Normal"/>
    <w:next w:val="Normal"/>
    <w:link w:val="Heading5Char"/>
    <w:uiPriority w:val="9"/>
    <w:semiHidden/>
    <w:unhideWhenUsed/>
    <w:qFormat/>
    <w:rsid w:val="000713C6"/>
    <w:pPr>
      <w:keepNext/>
      <w:keepLines/>
      <w:spacing w:before="80" w:after="40"/>
      <w:outlineLvl w:val="4"/>
    </w:pPr>
    <w:rPr>
      <w:rFonts w:eastAsiaTheme="majorEastAsia" w:cstheme="majorBidi"/>
      <w:color w:val="0F4761" w:themeColor="accent1" w:themeShade="BF"/>
      <w:lang w:val="en-KR"/>
    </w:rPr>
  </w:style>
  <w:style w:type="paragraph" w:styleId="Heading6">
    <w:name w:val="heading 6"/>
    <w:basedOn w:val="Normal"/>
    <w:next w:val="Normal"/>
    <w:link w:val="Heading6Char"/>
    <w:uiPriority w:val="9"/>
    <w:semiHidden/>
    <w:unhideWhenUsed/>
    <w:qFormat/>
    <w:rsid w:val="000713C6"/>
    <w:pPr>
      <w:keepNext/>
      <w:keepLines/>
      <w:spacing w:before="40" w:after="0"/>
      <w:outlineLvl w:val="5"/>
    </w:pPr>
    <w:rPr>
      <w:rFonts w:eastAsiaTheme="majorEastAsia" w:cstheme="majorBidi"/>
      <w:i/>
      <w:iCs/>
      <w:color w:val="595959" w:themeColor="text1" w:themeTint="A6"/>
      <w:lang w:val="en-KR"/>
    </w:rPr>
  </w:style>
  <w:style w:type="paragraph" w:styleId="Heading7">
    <w:name w:val="heading 7"/>
    <w:basedOn w:val="Normal"/>
    <w:next w:val="Normal"/>
    <w:link w:val="Heading7Char"/>
    <w:uiPriority w:val="9"/>
    <w:semiHidden/>
    <w:unhideWhenUsed/>
    <w:qFormat/>
    <w:rsid w:val="000713C6"/>
    <w:pPr>
      <w:keepNext/>
      <w:keepLines/>
      <w:spacing w:before="40" w:after="0"/>
      <w:outlineLvl w:val="6"/>
    </w:pPr>
    <w:rPr>
      <w:rFonts w:eastAsiaTheme="majorEastAsia" w:cstheme="majorBidi"/>
      <w:color w:val="595959" w:themeColor="text1" w:themeTint="A6"/>
      <w:lang w:val="en-KR"/>
    </w:rPr>
  </w:style>
  <w:style w:type="paragraph" w:styleId="Heading8">
    <w:name w:val="heading 8"/>
    <w:basedOn w:val="Normal"/>
    <w:next w:val="Normal"/>
    <w:link w:val="Heading8Char"/>
    <w:uiPriority w:val="9"/>
    <w:semiHidden/>
    <w:unhideWhenUsed/>
    <w:qFormat/>
    <w:rsid w:val="000713C6"/>
    <w:pPr>
      <w:keepNext/>
      <w:keepLines/>
      <w:spacing w:after="0"/>
      <w:outlineLvl w:val="7"/>
    </w:pPr>
    <w:rPr>
      <w:rFonts w:eastAsiaTheme="majorEastAsia" w:cstheme="majorBidi"/>
      <w:i/>
      <w:iCs/>
      <w:color w:val="272727" w:themeColor="text1" w:themeTint="D8"/>
      <w:lang w:val="en-KR"/>
    </w:rPr>
  </w:style>
  <w:style w:type="paragraph" w:styleId="Heading9">
    <w:name w:val="heading 9"/>
    <w:basedOn w:val="Normal"/>
    <w:next w:val="Normal"/>
    <w:link w:val="Heading9Char"/>
    <w:uiPriority w:val="9"/>
    <w:semiHidden/>
    <w:unhideWhenUsed/>
    <w:qFormat/>
    <w:rsid w:val="000713C6"/>
    <w:pPr>
      <w:keepNext/>
      <w:keepLines/>
      <w:spacing w:after="0"/>
      <w:outlineLvl w:val="8"/>
    </w:pPr>
    <w:rPr>
      <w:rFonts w:eastAsiaTheme="majorEastAsia" w:cstheme="majorBidi"/>
      <w:color w:val="272727" w:themeColor="text1" w:themeTint="D8"/>
      <w:lang w:val="en-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3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3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3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3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3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3C6"/>
    <w:rPr>
      <w:rFonts w:eastAsiaTheme="majorEastAsia" w:cstheme="majorBidi"/>
      <w:color w:val="272727" w:themeColor="text1" w:themeTint="D8"/>
    </w:rPr>
  </w:style>
  <w:style w:type="paragraph" w:styleId="Title">
    <w:name w:val="Title"/>
    <w:basedOn w:val="Normal"/>
    <w:next w:val="Normal"/>
    <w:link w:val="TitleChar"/>
    <w:uiPriority w:val="10"/>
    <w:qFormat/>
    <w:rsid w:val="000713C6"/>
    <w:pPr>
      <w:spacing w:after="80" w:line="240" w:lineRule="auto"/>
      <w:contextualSpacing/>
    </w:pPr>
    <w:rPr>
      <w:rFonts w:asciiTheme="majorHAnsi" w:eastAsiaTheme="majorEastAsia" w:hAnsiTheme="majorHAnsi" w:cstheme="majorBidi"/>
      <w:spacing w:val="-10"/>
      <w:kern w:val="28"/>
      <w:sz w:val="56"/>
      <w:szCs w:val="56"/>
      <w:lang w:val="en-KR"/>
    </w:rPr>
  </w:style>
  <w:style w:type="character" w:customStyle="1" w:styleId="TitleChar">
    <w:name w:val="Title Char"/>
    <w:basedOn w:val="DefaultParagraphFont"/>
    <w:link w:val="Title"/>
    <w:uiPriority w:val="10"/>
    <w:rsid w:val="00071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3C6"/>
    <w:pPr>
      <w:numPr>
        <w:ilvl w:val="1"/>
      </w:numPr>
    </w:pPr>
    <w:rPr>
      <w:rFonts w:eastAsiaTheme="majorEastAsia" w:cstheme="majorBidi"/>
      <w:color w:val="595959" w:themeColor="text1" w:themeTint="A6"/>
      <w:spacing w:val="15"/>
      <w:sz w:val="28"/>
      <w:szCs w:val="28"/>
      <w:lang w:val="en-KR"/>
    </w:rPr>
  </w:style>
  <w:style w:type="character" w:customStyle="1" w:styleId="SubtitleChar">
    <w:name w:val="Subtitle Char"/>
    <w:basedOn w:val="DefaultParagraphFont"/>
    <w:link w:val="Subtitle"/>
    <w:uiPriority w:val="11"/>
    <w:rsid w:val="00071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3C6"/>
    <w:pPr>
      <w:spacing w:before="160"/>
      <w:jc w:val="center"/>
    </w:pPr>
    <w:rPr>
      <w:i/>
      <w:iCs/>
      <w:color w:val="404040" w:themeColor="text1" w:themeTint="BF"/>
      <w:lang w:val="en-KR"/>
    </w:rPr>
  </w:style>
  <w:style w:type="character" w:customStyle="1" w:styleId="QuoteChar">
    <w:name w:val="Quote Char"/>
    <w:basedOn w:val="DefaultParagraphFont"/>
    <w:link w:val="Quote"/>
    <w:uiPriority w:val="29"/>
    <w:rsid w:val="000713C6"/>
    <w:rPr>
      <w:i/>
      <w:iCs/>
      <w:color w:val="404040" w:themeColor="text1" w:themeTint="BF"/>
    </w:rPr>
  </w:style>
  <w:style w:type="paragraph" w:styleId="ListParagraph">
    <w:name w:val="List Paragraph"/>
    <w:basedOn w:val="Normal"/>
    <w:uiPriority w:val="34"/>
    <w:qFormat/>
    <w:rsid w:val="000713C6"/>
    <w:pPr>
      <w:ind w:left="720"/>
      <w:contextualSpacing/>
    </w:pPr>
    <w:rPr>
      <w:lang w:val="en-KR"/>
    </w:rPr>
  </w:style>
  <w:style w:type="character" w:styleId="IntenseEmphasis">
    <w:name w:val="Intense Emphasis"/>
    <w:basedOn w:val="DefaultParagraphFont"/>
    <w:uiPriority w:val="21"/>
    <w:qFormat/>
    <w:rsid w:val="000713C6"/>
    <w:rPr>
      <w:i/>
      <w:iCs/>
      <w:color w:val="0F4761" w:themeColor="accent1" w:themeShade="BF"/>
    </w:rPr>
  </w:style>
  <w:style w:type="paragraph" w:styleId="IntenseQuote">
    <w:name w:val="Intense Quote"/>
    <w:basedOn w:val="Normal"/>
    <w:next w:val="Normal"/>
    <w:link w:val="IntenseQuoteChar"/>
    <w:uiPriority w:val="30"/>
    <w:qFormat/>
    <w:rsid w:val="00071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KR"/>
    </w:rPr>
  </w:style>
  <w:style w:type="character" w:customStyle="1" w:styleId="IntenseQuoteChar">
    <w:name w:val="Intense Quote Char"/>
    <w:basedOn w:val="DefaultParagraphFont"/>
    <w:link w:val="IntenseQuote"/>
    <w:uiPriority w:val="30"/>
    <w:rsid w:val="000713C6"/>
    <w:rPr>
      <w:i/>
      <w:iCs/>
      <w:color w:val="0F4761" w:themeColor="accent1" w:themeShade="BF"/>
    </w:rPr>
  </w:style>
  <w:style w:type="character" w:styleId="IntenseReference">
    <w:name w:val="Intense Reference"/>
    <w:basedOn w:val="DefaultParagraphFont"/>
    <w:uiPriority w:val="32"/>
    <w:qFormat/>
    <w:rsid w:val="000713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3776</Words>
  <Characters>20431</Characters>
  <Application>Microsoft Office Word</Application>
  <DocSecurity>0</DocSecurity>
  <Lines>329</Lines>
  <Paragraphs>103</Paragraphs>
  <ScaleCrop>false</ScaleCrop>
  <Company/>
  <LinksUpToDate>false</LinksUpToDate>
  <CharactersWithSpaces>24104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정성훈</dc:creator>
  <cp:keywords/>
  <dc:description/>
  <cp:lastModifiedBy>정성훈</cp:lastModifiedBy>
  <cp:revision>2</cp:revision>
  <dcterms:created xsi:type="dcterms:W3CDTF">2026-04-14T02:11:00Z</dcterms:created>
  <dcterms:modified xsi:type="dcterms:W3CDTF">2026-04-14T02:12:00Z</dcterms:modified>
</cp:coreProperties>
</file>