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E1A"/>
          <w:sz w:val="56"/>
        </w:rPr>
        <w:t>HMM Regime-Based Trading Strategy</w:t>
      </w:r>
    </w:p>
    <w:p>
      <w:pPr>
        <w:jc w:val="center"/>
      </w:pPr>
      <w:r>
        <w:rPr>
          <w:color w:val="64748B"/>
          <w:sz w:val="28"/>
        </w:rPr>
        <w:t>Phase 1 策略说明文档</w:t>
      </w:r>
    </w:p>
    <w:p>
      <w:pPr>
        <w:jc w:val="center"/>
      </w:pPr>
      <w:r>
        <w:rPr>
          <w:color w:val="64748B"/>
          <w:sz w:val="22"/>
        </w:rPr>
        <w:t>资产：AAPL · Gold (GC=F) · Silver (SI=F)　　数据截至：2026-04-16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 w:after="120"/>
      </w:pPr>
      <w:r>
        <w:rPr>
          <w:b/>
          <w:color w:val="0A0A0A"/>
          <w:sz w:val="44"/>
        </w:rPr>
        <w:t>一、项目概述</w:t>
      </w:r>
    </w:p>
    <w:p>
      <w:pPr>
        <w:spacing w:after="80"/>
      </w:pPr>
      <w:r>
        <w:rPr>
          <w:color w:val="1E1E2E"/>
          <w:sz w:val="22"/>
        </w:rPr>
        <w:t>本项目构建了一套基于隐马尔可夫模型（Gaussian HMM）的量化交易策略回测系统，研究对象为三个资产：苹果股票（AAPL）、黄金期货（Gold）、白银期货（Silver）。</w:t>
      </w:r>
    </w:p>
    <w:p>
      <w:pPr>
        <w:spacing w:after="80"/>
      </w:pPr>
      <w:r>
        <w:rPr>
          <w:color w:val="1E1E2E"/>
          <w:sz w:val="22"/>
        </w:rPr>
        <w:t>核心研究问题：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用机器学习自动识别市场状态（牛市 / 熊市 / 震荡）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只在"天时地利人和"均满足时入场，避免随机交易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在真实风控约束下，策略能否跑赢买入持有基准？</w:t>
      </w:r>
    </w:p>
    <w:p>
      <w:pPr>
        <w:spacing w:before="320" w:after="120"/>
      </w:pPr>
      <w:r>
        <w:rPr>
          <w:b/>
          <w:color w:val="0A0A0A"/>
          <w:sz w:val="44"/>
        </w:rPr>
        <w:t>二、市场状态识别（HMM 引擎）</w:t>
      </w:r>
    </w:p>
    <w:p>
      <w:pPr>
        <w:spacing w:after="80"/>
      </w:pPr>
      <w:r>
        <w:rPr>
          <w:color w:val="1E1E2E"/>
          <w:sz w:val="22"/>
        </w:rPr>
        <w:t>模型：7 状态 Gaussian HMM，训练特征如下：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3402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835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对数收益率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ln(Close_t / Close_{t-1}) × 100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当前 K 线的涨跌幅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价格区间比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(High - Low) / Close × 100</w:t>
            </w:r>
          </w:p>
        </w:tc>
        <w:tc>
          <w:tcPr>
            <w:tcW w:type="dxa" w:w="2835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衡量 K 线内部波动强度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成交量波动率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rolling std(log Volume, 24)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反映市场情绪变化</w:t>
            </w:r>
          </w:p>
        </w:tc>
      </w:tr>
    </w:tbl>
    <w:p/>
    <w:p>
      <w:pPr>
        <w:spacing w:after="80"/>
      </w:pPr>
      <w:r>
        <w:rPr>
          <w:color w:val="1E1E2E"/>
          <w:sz w:val="22"/>
        </w:rPr>
        <w:t>状态标记规则：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Bull Run：收益率均值最高的状态（最强牛市）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Bull+：收益率第二高的状态（次级牛市）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Bear/Crash：收益率最低的状态（熊市 / 崩盘）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Neutral-X：其余 4 个状态（震荡 / 过渡）</w:t>
      </w:r>
    </w:p>
    <w:p>
      <w:pPr>
        <w:spacing w:before="320" w:after="120"/>
      </w:pPr>
      <w:r>
        <w:rPr>
          <w:b/>
          <w:color w:val="0A0A0A"/>
          <w:sz w:val="44"/>
        </w:rPr>
        <w:t>三、Walk-Forward 滚动训练（消除数据泄露）</w:t>
      </w:r>
    </w:p>
    <w:p>
      <w:pPr>
        <w:spacing w:after="80"/>
      </w:pPr>
      <w:r>
        <w:rPr>
          <w:color w:val="1E1E2E"/>
          <w:sz w:val="22"/>
        </w:rPr>
        <w:t>传统回测的致命缺陷：用全量数据训练模型后再用同一段数据验证，相当于"用答案训练模型再考同一套题"，统计学上称为 Look-ahead Bias（未来数据泄露）。</w:t>
      </w:r>
    </w:p>
    <w:p>
      <w:pPr>
        <w:spacing w:after="80"/>
      </w:pPr>
      <w:r>
        <w:rPr>
          <w:color w:val="1E1E2E"/>
          <w:sz w:val="22"/>
        </w:rPr>
        <w:t>Phase 1 采用 Walk-Forward 滚动训练方案：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用前 60% 数据训练 HMM，预测之后的数据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每隔 10% 向前滚动，重新训练一次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每个预测点使用的模型，只见过该时刻之前的数据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这才是真实部署环境下策略能跑出的结果</w:t>
      </w:r>
    </w:p>
    <w:p>
      <w:pPr>
        <w:spacing w:before="320" w:after="120"/>
      </w:pPr>
      <w:r>
        <w:rPr>
          <w:b/>
          <w:color w:val="0A0A0A"/>
          <w:sz w:val="44"/>
        </w:rPr>
        <w:t>四、入场过滤（14 信号投票系统）</w:t>
      </w:r>
    </w:p>
    <w:p>
      <w:pPr>
        <w:spacing w:after="80"/>
      </w:pPr>
      <w:r>
        <w:rPr>
          <w:color w:val="1E1E2E"/>
          <w:sz w:val="22"/>
        </w:rPr>
        <w:t>HMM 判断为牛市状态后，还需满足 14 个技术指标中的至少 9 个，才真正入场。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567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55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55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RSI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RSI &lt; 90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没有严重超买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2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动量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Momentum &gt; 1%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价格在加速上涨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3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波动率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Volatility &lt; 6%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市场不过于剧烈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4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成交量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Volume &gt; SMA20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有真实买盘支撑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5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ADX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ADX &gt; 25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趋势足够强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6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EMA50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Price &gt; EMA50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中期趋势向上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7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EMA200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Price &gt; EMA200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长期趋势向上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8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MACD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MACD &gt; Signal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短期动能看多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9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Bollinger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Price &gt; BB 中轨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处于布林带多头区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10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Stochastic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%K 上穿 %D 且 &lt; 80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动量回升未超买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11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Williams %R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%R &lt; -20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未进极度超买区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12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CCI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CCI &gt; 0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价格高于统计均值</w:t>
            </w:r>
          </w:p>
        </w:tc>
      </w:tr>
      <w:tr>
        <w:tc>
          <w:tcPr>
            <w:tcW w:type="dxa" w:w="567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13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OBV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OBV &gt; OBV EMA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量能支撑上涨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14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高点距离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距高点回撤 &lt; 30%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不在深跌中接刀</w:t>
            </w:r>
          </w:p>
        </w:tc>
      </w:tr>
    </w:tbl>
    <w:p/>
    <w:p>
      <w:pPr>
        <w:spacing w:before="320" w:after="120"/>
      </w:pPr>
      <w:r>
        <w:rPr>
          <w:b/>
          <w:color w:val="0A0A0A"/>
          <w:sz w:val="44"/>
        </w:rPr>
        <w:t>五、风险管理规则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268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969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逻辑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固定止损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-8% / 笔</w:t>
            </w:r>
          </w:p>
        </w:tc>
        <w:tc>
          <w:tcPr>
            <w:tcW w:type="dxa" w:w="3969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单笔亏损超过 8% 立即出场，不等 HMM 反应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状态止损</w:t>
            </w:r>
          </w:p>
        </w:tc>
        <w:tc>
          <w:tcPr>
            <w:tcW w:type="dxa" w:w="2268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Bear/Crash</w:t>
            </w:r>
          </w:p>
        </w:tc>
        <w:tc>
          <w:tcPr>
            <w:tcW w:type="dxa" w:w="3969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HMM 翻熊立即出场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冷静期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48h / 2 交易日</w:t>
            </w:r>
          </w:p>
        </w:tc>
        <w:tc>
          <w:tcPr>
            <w:tcW w:type="dxa" w:w="3969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出场后强制等待，避免反复被割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最长持仓</w:t>
            </w:r>
          </w:p>
        </w:tc>
        <w:tc>
          <w:tcPr>
            <w:tcW w:type="dxa" w:w="2268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30天 / 60交易日</w:t>
            </w:r>
          </w:p>
        </w:tc>
        <w:tc>
          <w:tcPr>
            <w:tcW w:type="dxa" w:w="3969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到期自动止盈再重新评估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杠杆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2.5×</w:t>
            </w:r>
          </w:p>
        </w:tc>
        <w:tc>
          <w:tcPr>
            <w:tcW w:type="dxa" w:w="3969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放大盈亏，同步放大风险</w:t>
            </w:r>
          </w:p>
        </w:tc>
      </w:tr>
    </w:tbl>
    <w:p/>
    <w:p>
      <w:pPr>
        <w:spacing w:before="200" w:after="120"/>
      </w:pPr>
      <w:r>
        <w:rPr>
          <w:b/>
          <w:color w:val="0A0A0A"/>
          <w:sz w:val="32"/>
        </w:rPr>
        <w:t>仓位管理（信号强度决定仓位大小）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信号得分</w:t>
            </w:r>
          </w:p>
        </w:tc>
        <w:tc>
          <w:tcPr>
            <w:tcW w:type="dxa" w:w="2268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仓位比例</w:t>
            </w:r>
          </w:p>
        </w:tc>
        <w:tc>
          <w:tcPr>
            <w:tcW w:type="dxa" w:w="3402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9 / 14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40%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刚过门槛，保守入场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11 / 14</w:t>
            </w:r>
          </w:p>
        </w:tc>
        <w:tc>
          <w:tcPr>
            <w:tcW w:type="dxa" w:w="2268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60%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中等信号，适中仓位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14 / 14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100%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全部满足，全仓入场</w:t>
            </w:r>
          </w:p>
        </w:tc>
      </w:tr>
    </w:tbl>
    <w:p/>
    <w:p>
      <w:pPr>
        <w:spacing w:before="320" w:after="120"/>
      </w:pPr>
      <w:r>
        <w:rPr>
          <w:b/>
          <w:color w:val="0A0A0A"/>
          <w:sz w:val="44"/>
        </w:rPr>
        <w:t>六、绩效指标说明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402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55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参考标准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总收益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策略整体盈亏百分比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越高越好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Alpha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相对买入持有的超额收益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正数才有价值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夏普比率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每单位风险获得的超额收益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&gt; 1 为优秀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卡玛比率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年化收益 / 最大回撤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&gt; 1 为优秀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月度胜率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盈利月份占总月份的比例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&gt; 60% 较稳定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最大回撤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从峰值到谷值的最大跌幅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越小越好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盈亏比 R:R</w:t>
            </w:r>
          </w:p>
        </w:tc>
        <w:tc>
          <w:tcPr>
            <w:tcW w:type="dxa" w:w="34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平均盈利 / 平均亏损</w:t>
            </w:r>
          </w:p>
        </w:tc>
        <w:tc>
          <w:tcPr>
            <w:tcW w:type="dxa" w:w="255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&gt; 1.5 较健康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vs SPY</w:t>
            </w:r>
          </w:p>
        </w:tc>
        <w:tc>
          <w:tcPr>
            <w:tcW w:type="dxa" w:w="34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相对标普 500 的超额收益</w:t>
            </w:r>
          </w:p>
        </w:tc>
        <w:tc>
          <w:tcPr>
            <w:tcW w:type="dxa" w:w="255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正数说明跑赢大盘</w:t>
            </w:r>
          </w:p>
        </w:tc>
      </w:tr>
    </w:tbl>
    <w:p/>
    <w:p>
      <w:pPr>
        <w:spacing w:before="320" w:after="120"/>
      </w:pPr>
      <w:r>
        <w:rPr>
          <w:b/>
          <w:color w:val="0A0A0A"/>
          <w:sz w:val="44"/>
        </w:rPr>
        <w:t>七、当前回测结果（数据截至 2026-04-16）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总收益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夏普比率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最大回撤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月度胜率</w:t>
            </w:r>
          </w:p>
        </w:tc>
        <w:tc>
          <w:tcPr>
            <w:tcW w:type="dxa" w:w="1701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交易笔数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AAPL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+11.9%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1.04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-12.1%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—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38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Gold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+80.6%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1.51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-21.5%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75%</w:t>
            </w:r>
          </w:p>
        </w:tc>
        <w:tc>
          <w:tcPr>
            <w:tcW w:type="dxa" w:w="1701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25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+80.7%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0.64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-46.9%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50%</w:t>
            </w:r>
          </w:p>
        </w:tc>
        <w:tc>
          <w:tcPr>
            <w:tcW w:type="dxa" w:w="1701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27</w:t>
            </w:r>
          </w:p>
        </w:tc>
      </w:tr>
    </w:tbl>
    <w:p/>
    <w:p>
      <w:pPr>
        <w:spacing w:after="80"/>
      </w:pPr>
      <w:r>
        <w:rPr>
          <w:color w:val="1E1E2E"/>
          <w:sz w:val="22"/>
        </w:rPr>
        <w:t>结论分析：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Gold 表现最优：夏普 1.51，月度胜率 75%，回撤控制在 -21.5%，适合作为核心配置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AAPL 最为稳健：夏普刚过 1，最大回撤仅 -12.1%，波动最小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Silver 收益高但波动剧烈：回撤接近 -47%，风险偏高，需谨慎配置</w:t>
      </w:r>
    </w:p>
    <w:p>
      <w:pPr>
        <w:spacing w:before="320" w:after="120"/>
      </w:pPr>
      <w:r>
        <w:rPr>
          <w:b/>
          <w:color w:val="0A0A0A"/>
          <w:sz w:val="44"/>
        </w:rPr>
        <w:t>八、技术架构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5102"/>
            <w:shd w:val="clear" w:color="auto" w:fill="1E213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data_loader.py</w:t>
            </w:r>
          </w:p>
        </w:tc>
        <w:tc>
          <w:tcPr>
            <w:tcW w:type="dxa" w:w="51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数据拉取（yfinance）、分块处理、本地缓存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backtester.py</w:t>
            </w:r>
          </w:p>
        </w:tc>
        <w:tc>
          <w:tcPr>
            <w:tcW w:type="dxa" w:w="51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HMM 训练、指标计算、Walk-Forward 回测、绩效统计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precompute.py</w:t>
            </w:r>
          </w:p>
        </w:tc>
        <w:tc>
          <w:tcPr>
            <w:tcW w:type="dxa" w:w="51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预计算脚本，本地运行后推送结果到云端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app.py</w:t>
            </w:r>
          </w:p>
        </w:tc>
        <w:tc>
          <w:tcPr>
            <w:tcW w:type="dxa" w:w="5102"/>
            <w:shd w:val="clear" w:color="auto" w:fill="EFF6FF"/>
          </w:tcPr>
          <w:p>
            <w:pPr>
              <w:jc w:val="center"/>
            </w:pPr>
            <w:r>
              <w:rPr>
                <w:color w:val="1E1E2E"/>
                <w:sz w:val="20"/>
              </w:rPr>
              <w:t>Streamlit 可视化 Dashboard，秒开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results/</w:t>
            </w:r>
          </w:p>
        </w:tc>
        <w:tc>
          <w:tcPr>
            <w:tcW w:type="dxa" w:w="5102"/>
            <w:shd w:val="clear" w:color="auto" w:fill="F8FAFC"/>
          </w:tcPr>
          <w:p>
            <w:pPr>
              <w:jc w:val="center"/>
            </w:pPr>
            <w:r>
              <w:rPr>
                <w:color w:val="1E1E2E"/>
                <w:sz w:val="20"/>
              </w:rPr>
              <w:t>预计算 pkl 文件，Streamlit Cloud 直接读取</w:t>
            </w:r>
          </w:p>
        </w:tc>
      </w:tr>
    </w:tbl>
    <w:p/>
    <w:p>
      <w:pPr>
        <w:spacing w:before="320" w:after="120"/>
      </w:pPr>
      <w:r>
        <w:rPr>
          <w:b/>
          <w:color w:val="0A0A0A"/>
          <w:sz w:val="44"/>
        </w:rPr>
        <w:t>九、下一步计划（Phase 2）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指标重要性分析：量化 14 个信号的预测贡献度，保留最有效的，去掉冗余的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跨资产相关性：Gold 与 Silver 高度相关，研究是否应该错峰配置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与 SPY 对比：验证策略是否只在牛市有效，还是真正的 Alpha</w:t>
      </w:r>
    </w:p>
    <w:p>
      <w:pPr>
        <w:pStyle w:val="ListBullet"/>
        <w:spacing w:after="60"/>
        <w:ind w:left="283"/>
      </w:pPr>
      <w:r>
        <w:rPr>
          <w:color w:val="1E1E2E"/>
          <w:sz w:val="21"/>
        </w:rPr>
        <w:t>参数优化：对止损线、持仓上限、信号门槛做网格搜索</w:t>
      </w:r>
    </w:p>
    <w:p/>
    <w:p>
      <w:pPr>
        <w:jc w:val="center"/>
      </w:pPr>
      <w:r>
        <w:rPr>
          <w:i/>
          <w:color w:val="64748B"/>
          <w:sz w:val="20"/>
        </w:rPr>
        <w:t>— 仅供学习研究，不构成投资建议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