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560"/>
              <w:left w:type="dxa" w:w="720"/>
              <w:bottom w:type="dxa" w:w="560"/>
              <w:right w:type="dxa" w:w="720"/>
            </w:tcMar>
          </w:tcPr>
          <w:p>
            <w:pPr>
              <w:jc w:val="center"/>
            </w:pPr>
            <w:r>
              <w:rPr>
                <w:rFonts w:ascii="Arial" w:cs="Arial" w:eastAsia="Arial" w:hAnsi="Arial"/>
                <w:b/>
                <w:bCs/>
                <w:color w:val="FFFFFF"/>
                <w:sz w:val="40"/>
                <w:szCs w:val="40"/>
              </w:rPr>
              <w:t xml:space="preserve">VULNERABILITY ASSESSMENT REPORT</w:t>
            </w:r>
          </w:p>
          <w:p>
            <w:pPr>
              <w:spacing w:before="120"/>
              <w:jc w:val="center"/>
            </w:pPr>
            <w:r>
              <w:rPr>
                <w:rFonts w:ascii="Arial" w:cs="Arial" w:eastAsia="Arial" w:hAnsi="Arial"/>
                <w:color w:val="A8C8E8"/>
                <w:sz w:val="26"/>
                <w:szCs w:val="26"/>
              </w:rPr>
              <w:t xml:space="preserve">Windows SMB — MS17-010 (EternalBlue)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r>
              <w:rPr>
                <w:rFonts w:ascii="Arial" w:cs="Arial" w:eastAsia="Arial" w:hAnsi="Arial"/>
                <w:b/>
                <w:bCs/>
                <w:color w:val="555555"/>
                <w:sz w:val="20"/>
                <w:szCs w:val="20"/>
              </w:rPr>
              <w:t xml:space="preserve">Environment</w:t>
            </w:r>
          </w:p>
          <w:p>
            <w:r>
              <w:rPr>
                <w:rFonts w:ascii="Arial" w:cs="Arial" w:eastAsia="Arial" w:hAnsi="Arial"/>
                <w:sz w:val="21"/>
                <w:szCs w:val="21"/>
              </w:rPr>
              <w:t xml:space="preserve">TryHackMe CTF Lab</w:t>
            </w:r>
          </w:p>
        </w:tc>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r>
              <w:rPr>
                <w:rFonts w:ascii="Arial" w:cs="Arial" w:eastAsia="Arial" w:hAnsi="Arial"/>
                <w:b/>
                <w:bCs/>
                <w:color w:val="555555"/>
                <w:sz w:val="20"/>
                <w:szCs w:val="20"/>
              </w:rPr>
              <w:t xml:space="preserve">Classification</w:t>
            </w:r>
          </w:p>
          <w:p>
            <w:r>
              <w:rPr>
                <w:rFonts w:ascii="Arial" w:cs="Arial" w:eastAsia="Arial" w:hAnsi="Arial"/>
                <w:sz w:val="21"/>
                <w:szCs w:val="21"/>
              </w:rPr>
              <w:t xml:space="preserve">Educational / Authorized Training</w:t>
            </w:r>
          </w:p>
        </w:tc>
      </w:tr>
      <w:tr>
        <w:tc>
          <w:tcPr>
            <w:tcBorders>
              <w:top w:val="single" w:color="CCCCCC" w:sz="1"/>
              <w:left w:val="single" w:color="CCCCCC" w:sz="1"/>
              <w:bottom w:val="single" w:color="CCCCCC" w:sz="1"/>
              <w:right w:val="single" w:color="CCCCCC" w:sz="1"/>
            </w:tcBorders>
            <w:shd w:fill="EEF2F7" w:val="clear"/>
            <w:tcMar>
              <w:top w:type="dxa" w:w="80"/>
              <w:left w:type="dxa" w:w="160"/>
              <w:bottom w:type="dxa" w:w="80"/>
              <w:right w:type="dxa" w:w="160"/>
            </w:tcMar>
          </w:tcPr>
          <w:p>
            <w:r>
              <w:rPr>
                <w:rFonts w:ascii="Arial" w:cs="Arial" w:eastAsia="Arial" w:hAnsi="Arial"/>
                <w:b/>
                <w:bCs/>
                <w:color w:val="555555"/>
                <w:sz w:val="20"/>
                <w:szCs w:val="20"/>
              </w:rPr>
              <w:t xml:space="preserve">Assessment Type</w:t>
            </w:r>
          </w:p>
          <w:p>
            <w:r>
              <w:rPr>
                <w:rFonts w:ascii="Arial" w:cs="Arial" w:eastAsia="Arial" w:hAnsi="Arial"/>
                <w:sz w:val="21"/>
                <w:szCs w:val="21"/>
              </w:rPr>
              <w:t xml:space="preserve">Network Penetration Test</w:t>
            </w:r>
          </w:p>
        </w:tc>
        <w:tc>
          <w:tcPr>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555555"/>
                <w:sz w:val="20"/>
                <w:szCs w:val="20"/>
              </w:rPr>
              <w:t xml:space="preserve">Risk Rating</w:t>
            </w:r>
          </w:p>
          <w:p>
            <w:r>
              <w:rPr>
                <w:rFonts w:ascii="Arial" w:cs="Arial" w:eastAsia="Arial" w:hAnsi="Arial"/>
                <w:b/>
                <w:bCs/>
                <w:color w:val="C0392B"/>
                <w:sz w:val="21"/>
                <w:szCs w:val="21"/>
              </w:rPr>
              <w:t xml:space="preserve">CRITICAL</w:t>
            </w:r>
          </w:p>
        </w:tc>
      </w:tr>
    </w:tbl>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1. Executive Summary</w:t>
      </w:r>
    </w:p>
    <w:p>
      <w:pPr>
        <w:spacing w:after="60" w:before="60"/>
      </w:pPr>
      <w:r>
        <w:rPr>
          <w:rFonts w:ascii="Arial" w:cs="Arial" w:eastAsia="Arial" w:hAnsi="Arial"/>
          <w:sz w:val="22"/>
          <w:szCs w:val="22"/>
        </w:rPr>
        <w:t xml:space="preserve">This report documents the findings of a penetration test conducted against a Windows target host within an authorized TryHackMe training environment. The assessment identified a critical remote code execution vulnerability (MS17-010) in the target’s SMBv1 service, successfully validated the finding, and achieved SYSTEM-level access to the host. All activities were performed exclusively within the authorized lab environment for educational purposes.</w:t>
      </w:r>
    </w:p>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2. Scope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Target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Windows 7 Professional SP1 x64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Target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SMB — TCP Port 445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TryHackMe Authorized CTF Lab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Fully authorized training exercise</w:t>
            </w:r>
          </w:p>
        </w:tc>
      </w:tr>
    </w:tbl>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3. Methodology</w:t>
      </w:r>
    </w:p>
    <w:p>
      <w:pPr>
        <w:spacing w:after="60" w:before="60"/>
      </w:pPr>
      <w:r>
        <w:rPr>
          <w:rFonts w:ascii="Arial" w:cs="Arial" w:eastAsia="Arial" w:hAnsi="Arial"/>
          <w:sz w:val="22"/>
          <w:szCs w:val="22"/>
        </w:rPr>
        <w:t xml:space="preserve">The assessment followed a structured penetration testing approach across four phases: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Reconnaissance — Network and service enumeration</w:t>
      </w:r>
    </w:p>
    <w:p>
      <w:pPr>
        <w:pStyle w:val="ListParagraph"/>
        <w:numPr>
          <w:ilvl w:val="0"/>
          <w:numId w:val="2"/>
        </w:numPr>
        <w:spacing w:after="40" w:before="40"/>
      </w:pPr>
      <w:r>
        <w:rPr>
          <w:rFonts w:ascii="Arial" w:cs="Arial" w:eastAsia="Arial" w:hAnsi="Arial"/>
          <w:sz w:val="22"/>
          <w:szCs w:val="22"/>
        </w:rPr>
        <w:t xml:space="preserve">Vulnerability Identification — SMB assessment and CVE mapping</w:t>
      </w:r>
    </w:p>
    <w:p>
      <w:pPr>
        <w:pStyle w:val="ListParagraph"/>
        <w:numPr>
          <w:ilvl w:val="0"/>
          <w:numId w:val="2"/>
        </w:numPr>
        <w:spacing w:after="40" w:before="40"/>
      </w:pPr>
      <w:r>
        <w:rPr>
          <w:rFonts w:ascii="Arial" w:cs="Arial" w:eastAsia="Arial" w:hAnsi="Arial"/>
          <w:sz w:val="22"/>
          <w:szCs w:val="22"/>
        </w:rPr>
        <w:t xml:space="preserve">Exploitation — Controlled vulnerability validation</w:t>
      </w:r>
    </w:p>
    <w:p>
      <w:pPr>
        <w:pStyle w:val="ListParagraph"/>
        <w:numPr>
          <w:ilvl w:val="0"/>
          <w:numId w:val="2"/>
        </w:numPr>
        <w:spacing w:after="40" w:before="40"/>
      </w:pPr>
      <w:r>
        <w:rPr>
          <w:rFonts w:ascii="Arial" w:cs="Arial" w:eastAsia="Arial" w:hAnsi="Arial"/>
          <w:sz w:val="22"/>
          <w:szCs w:val="22"/>
        </w:rPr>
        <w:t xml:space="preserve">Post-Exploitation — Host enumeration and artifact retrieval</w:t>
      </w:r>
    </w:p>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4. Findings</w:t>
      </w:r>
    </w:p>
    <w:p>
      <w:pPr>
        <w:pStyle w:val="Heading2"/>
        <w:spacing w:after="80" w:before="240"/>
      </w:pPr>
      <w:r>
        <w:rPr>
          <w:rFonts w:ascii="Arial" w:cs="Arial" w:eastAsia="Arial" w:hAnsi="Arial"/>
          <w:b/>
          <w:bCs/>
          <w:color w:val="2C3E50"/>
          <w:sz w:val="24"/>
          <w:szCs w:val="24"/>
        </w:rPr>
        <w:t xml:space="preserve">4.1 Open Services</w:t>
      </w:r>
    </w:p>
    <w:p>
      <w:pPr>
        <w:spacing w:after="60" w:before="60"/>
      </w:pPr>
      <w:r>
        <w:rPr>
          <w:rFonts w:ascii="Arial" w:cs="Arial" w:eastAsia="Arial" w:hAnsi="Arial"/>
          <w:sz w:val="22"/>
          <w:szCs w:val="22"/>
        </w:rPr>
        <w:t xml:space="preserve">Nmap service version detection revealed multiple open ports on the target. TCP port 445 was identified as the primary attack surface, hosting the SMB service on Windows 7 Professional SP1 x64.</w:t>
      </w:r>
    </w:p>
    <w:p>
      <w:pPr>
        <w:spacing w:after="60" w:before="60"/>
      </w:pPr>
      <w:r>
        <w:t xml:space="preserve"/>
      </w:r>
    </w:p>
    <w:p>
      <w:pPr>
        <w:shd w:fill="1E1E1E" w:val="clear"/>
        <w:spacing w:after="60" w:before="60"/>
        <w:ind w:left="360" w:right="360"/>
      </w:pPr>
      <w:r>
        <w:rPr>
          <w:rFonts w:ascii="Courier New" w:cs="Courier New" w:eastAsia="Courier New" w:hAnsi="Courier New"/>
          <w:color w:val="00CC00"/>
          <w:sz w:val="20"/>
          <w:szCs w:val="20"/>
        </w:rPr>
        <w:t xml:space="preserve">nmap -sV &lt;TARGET_IP&gt;</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4.2 Critical Vulnerability — MS17-010</w:t>
      </w:r>
    </w:p>
    <w:p>
      <w:pPr>
        <w:spacing w:after="60" w:before="60"/>
      </w:pPr>
      <w:r>
        <w:rPr>
          <w:rFonts w:ascii="Arial" w:cs="Arial" w:eastAsia="Arial" w:hAnsi="Arial"/>
          <w:sz w:val="22"/>
          <w:szCs w:val="22"/>
        </w:rPr>
        <w:t xml:space="preserve">SMB enumeration via Metasploit auxiliary modules confirmed the target was vulnerable to MS17-010, a remote code execution vulnerability in the Windows SMBv1 implementation. This vulnerability underpins the EternalBlue exploit and was widely leveraged by the WannaCry ransomware campaign.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CVE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MS17-010 (EternalBlue)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Affected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SMBv1 — TCP 445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Unauthenticated Remote Code Execution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Risk Level</w:t>
            </w:r>
          </w:p>
        </w:tc>
        <w:tc>
          <w:tcPr>
            <w:tcW w:type="dxa" w:w="65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C0392B"/>
                <w:sz w:val="21"/>
                <w:szCs w:val="21"/>
              </w:rPr>
              <w:t xml:space="preserve">CRITICAL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Affected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Windows 7 Professional SP1 x64</w:t>
            </w:r>
          </w:p>
        </w:tc>
      </w:tr>
    </w:tbl>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5. Exploitation</w:t>
      </w:r>
    </w:p>
    <w:p>
      <w:pPr>
        <w:spacing w:after="60" w:before="60"/>
      </w:pPr>
      <w:r>
        <w:rPr>
          <w:rFonts w:ascii="Arial" w:cs="Arial" w:eastAsia="Arial" w:hAnsi="Arial"/>
          <w:sz w:val="22"/>
          <w:szCs w:val="22"/>
        </w:rPr>
        <w:t xml:space="preserve">The MS17-010 Metasploit module was configured with the target host (RHOST), local listener (LPORT), and an appropriate payload. Exploitation was successful, yielding an interactive command shell with SYSTEM-level privileges on the target host.</w:t>
      </w:r>
    </w:p>
    <w:p>
      <w:pPr>
        <w:spacing w:after="60" w:before="60"/>
      </w:pPr>
      <w:r>
        <w:t xml:space="preserve"/>
      </w:r>
    </w:p>
    <w:p>
      <w:pPr>
        <w:spacing w:after="60" w:before="60"/>
      </w:pPr>
      <w:r>
        <w:rPr>
          <w:rFonts w:ascii="Arial" w:cs="Arial" w:eastAsia="Arial" w:hAnsi="Arial"/>
          <w:b/>
          <w:bCs/>
          <w:sz w:val="22"/>
          <w:szCs w:val="22"/>
        </w:rPr>
        <w:t xml:space="preserve">Configuration summary:</w:t>
      </w:r>
    </w:p>
    <w:p>
      <w:pPr>
        <w:pStyle w:val="ListParagraph"/>
        <w:numPr>
          <w:ilvl w:val="0"/>
          <w:numId w:val="3"/>
        </w:numPr>
        <w:spacing w:after="40" w:before="40"/>
      </w:pPr>
      <w:r>
        <w:rPr>
          <w:rFonts w:ascii="Arial" w:cs="Arial" w:eastAsia="Arial" w:hAnsi="Arial"/>
          <w:sz w:val="22"/>
          <w:szCs w:val="22"/>
        </w:rPr>
        <w:t xml:space="preserve">RHOST: Target host IP</w:t>
      </w:r>
    </w:p>
    <w:p>
      <w:pPr>
        <w:pStyle w:val="ListParagraph"/>
        <w:numPr>
          <w:ilvl w:val="0"/>
          <w:numId w:val="3"/>
        </w:numPr>
        <w:spacing w:after="40" w:before="40"/>
      </w:pPr>
      <w:r>
        <w:rPr>
          <w:rFonts w:ascii="Arial" w:cs="Arial" w:eastAsia="Arial" w:hAnsi="Arial"/>
          <w:sz w:val="22"/>
          <w:szCs w:val="22"/>
        </w:rPr>
        <w:t xml:space="preserve">LPORT: Local listener port</w:t>
      </w:r>
    </w:p>
    <w:p>
      <w:pPr>
        <w:pStyle w:val="ListParagraph"/>
        <w:numPr>
          <w:ilvl w:val="0"/>
          <w:numId w:val="3"/>
        </w:numPr>
        <w:spacing w:after="40" w:before="40"/>
      </w:pPr>
      <w:r>
        <w:rPr>
          <w:rFonts w:ascii="Arial" w:cs="Arial" w:eastAsia="Arial" w:hAnsi="Arial"/>
          <w:sz w:val="22"/>
          <w:szCs w:val="22"/>
        </w:rPr>
        <w:t xml:space="preserve">Payload: Windows reverse shell</w:t>
      </w:r>
    </w:p>
    <w:p>
      <w:pPr>
        <w:spacing w:after="60" w:before="60"/>
      </w:pPr>
      <w:r>
        <w:t xml:space="preserve"/>
      </w:r>
    </w:p>
    <w:p>
      <w:pPr>
        <w:spacing w:after="60" w:before="60"/>
      </w:pPr>
      <w:r>
        <w:rPr>
          <w:rFonts w:ascii="Arial" w:cs="Arial" w:eastAsia="Arial" w:hAnsi="Arial"/>
          <w:b/>
          <w:bCs/>
          <w:color w:val="C0392B"/>
          <w:sz w:val="22"/>
          <w:szCs w:val="22"/>
        </w:rPr>
        <w:t xml:space="preserve">Result: SYSTEM-level shell obtained on the target host.</w:t>
      </w:r>
    </w:p>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6. Post-Exploitation</w:t>
      </w:r>
    </w:p>
    <w:p>
      <w:pPr>
        <w:pStyle w:val="Heading2"/>
        <w:spacing w:after="80" w:before="240"/>
      </w:pPr>
      <w:r>
        <w:rPr>
          <w:rFonts w:ascii="Arial" w:cs="Arial" w:eastAsia="Arial" w:hAnsi="Arial"/>
          <w:b/>
          <w:bCs/>
          <w:color w:val="2C3E50"/>
          <w:sz w:val="24"/>
          <w:szCs w:val="24"/>
        </w:rPr>
        <w:t xml:space="preserve">6.1 Flag Retrieval</w:t>
      </w:r>
    </w:p>
    <w:p>
      <w:pPr>
        <w:spacing w:after="60" w:before="60"/>
      </w:pPr>
      <w:r>
        <w:rPr>
          <w:rFonts w:ascii="Arial" w:cs="Arial" w:eastAsia="Arial" w:hAnsi="Arial"/>
          <w:sz w:val="22"/>
          <w:szCs w:val="22"/>
        </w:rPr>
        <w:t xml:space="preserve">A file search was performed within the Meterpreter session to locate the challenge artifact:</w:t>
      </w:r>
    </w:p>
    <w:p>
      <w:pPr>
        <w:spacing w:after="60" w:before="60"/>
      </w:pPr>
      <w:r>
        <w:t xml:space="preserve"/>
      </w:r>
    </w:p>
    <w:p>
      <w:pPr>
        <w:shd w:fill="1E1E1E" w:val="clear"/>
        <w:spacing w:after="60" w:before="60"/>
        <w:ind w:left="360" w:right="360"/>
      </w:pPr>
      <w:r>
        <w:rPr>
          <w:rFonts w:ascii="Courier New" w:cs="Courier New" w:eastAsia="Courier New" w:hAnsi="Courier New"/>
          <w:color w:val="00CC00"/>
          <w:sz w:val="20"/>
          <w:szCs w:val="20"/>
        </w:rPr>
        <w:t xml:space="preserve">search -f flag.txt</w:t>
      </w:r>
    </w:p>
    <w:p>
      <w:pPr>
        <w:spacing w:after="60" w:before="60"/>
      </w:pPr>
      <w:r>
        <w:t xml:space="preserve"/>
      </w:r>
    </w:p>
    <w:p>
      <w:pPr>
        <w:spacing w:after="60" w:before="60"/>
      </w:pPr>
      <w:r>
        <w:rPr>
          <w:rFonts w:ascii="Arial" w:cs="Arial" w:eastAsia="Arial" w:hAnsi="Arial"/>
          <w:sz w:val="22"/>
          <w:szCs w:val="22"/>
        </w:rPr>
        <w:t xml:space="preserve">The flag file was located, its path recorded, and contents retrieved as required evidence for the lab challenge.</w:t>
      </w:r>
    </w:p>
    <w:p>
      <w:pPr>
        <w:spacing w:after="60" w:before="60"/>
      </w:pPr>
      <w:r>
        <w:t xml:space="preserve"/>
      </w:r>
    </w:p>
    <w:p>
      <w:pPr>
        <w:pStyle w:val="Heading2"/>
        <w:spacing w:after="80" w:before="240"/>
      </w:pPr>
      <w:r>
        <w:rPr>
          <w:rFonts w:ascii="Arial" w:cs="Arial" w:eastAsia="Arial" w:hAnsi="Arial"/>
          <w:b/>
          <w:bCs/>
          <w:color w:val="2C3E50"/>
          <w:sz w:val="24"/>
          <w:szCs w:val="24"/>
        </w:rPr>
        <w:t xml:space="preserve">6.2 Credential Enumeration</w:t>
      </w:r>
    </w:p>
    <w:p>
      <w:pPr>
        <w:spacing w:after="60" w:before="60"/>
      </w:pPr>
      <w:r>
        <w:rPr>
          <w:rFonts w:ascii="Arial" w:cs="Arial" w:eastAsia="Arial" w:hAnsi="Arial"/>
          <w:sz w:val="22"/>
          <w:szCs w:val="22"/>
        </w:rPr>
        <w:t xml:space="preserve">Local account NTLM hashes were extracted using the hashdump module. The hash for the target user account (pirate) was identified and recorded per the challenge requirements.</w:t>
      </w:r>
    </w:p>
    <w:p>
      <w:pPr>
        <w:spacing w:after="60" w:before="60"/>
      </w:pPr>
      <w:r>
        <w:t xml:space="preserve"/>
      </w:r>
    </w:p>
    <w:p>
      <w:pPr>
        <w:spacing w:after="60" w:before="60"/>
      </w:pPr>
      <w:r>
        <w:rPr>
          <w:rFonts w:ascii="Arial" w:cs="Arial" w:eastAsia="Arial" w:hAnsi="Arial"/>
          <w:i/>
          <w:iCs/>
          <w:color w:val="555555"/>
          <w:sz w:val="22"/>
          <w:szCs w:val="22"/>
        </w:rPr>
        <w:t xml:space="preserve">Note: No credentials were exfiltrated outside the lab environment. All artifacts remain within the authorized training scope.</w:t>
      </w:r>
    </w:p>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Nmap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Network and service enumeration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Metasploit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SMB assessment, exploitation, post-exploitation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SMB Auxiliary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Vulnerability identification and scanning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1"/>
                <w:szCs w:val="21"/>
              </w:rPr>
              <w:t xml:space="preserve">Windows Command Shell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1"/>
                <w:szCs w:val="21"/>
              </w:rPr>
              <w:t xml:space="preserve">Host enumeration and artifact retrieval</w:t>
            </w:r>
          </w:p>
        </w:tc>
      </w:tr>
    </w:tbl>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8. Recommendations</w:t>
      </w:r>
    </w:p>
    <w:p>
      <w:pPr>
        <w:spacing w:after="60" w:before="60"/>
      </w:pPr>
      <w:r>
        <w:rPr>
          <w:rFonts w:ascii="Arial" w:cs="Arial" w:eastAsia="Arial" w:hAnsi="Arial"/>
          <w:sz w:val="22"/>
          <w:szCs w:val="22"/>
        </w:rPr>
        <w:t xml:space="preserve">The following mitigations would remediate the identified vulnerability in a real environment: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Apply Microsoft Security Bulletin MS17-010 patches immediately.</w:t>
      </w:r>
    </w:p>
    <w:p>
      <w:pPr>
        <w:pStyle w:val="ListParagraph"/>
        <w:numPr>
          <w:ilvl w:val="0"/>
          <w:numId w:val="2"/>
        </w:numPr>
        <w:spacing w:after="40" w:before="40"/>
      </w:pPr>
      <w:r>
        <w:rPr>
          <w:rFonts w:ascii="Arial" w:cs="Arial" w:eastAsia="Arial" w:hAnsi="Arial"/>
          <w:sz w:val="22"/>
          <w:szCs w:val="22"/>
        </w:rPr>
        <w:t xml:space="preserve">Disable SMBv1 across all Windows systems — it is an obsolete protocol with no modern use case.</w:t>
      </w:r>
    </w:p>
    <w:p>
      <w:pPr>
        <w:pStyle w:val="ListParagraph"/>
        <w:numPr>
          <w:ilvl w:val="0"/>
          <w:numId w:val="2"/>
        </w:numPr>
        <w:spacing w:after="40" w:before="40"/>
      </w:pPr>
      <w:r>
        <w:rPr>
          <w:rFonts w:ascii="Arial" w:cs="Arial" w:eastAsia="Arial" w:hAnsi="Arial"/>
          <w:sz w:val="22"/>
          <w:szCs w:val="22"/>
        </w:rPr>
        <w:t xml:space="preserve">Restrict SMB (TCP 445) access to trusted internal hosts via firewall rules.</w:t>
      </w:r>
    </w:p>
    <w:p>
      <w:pPr>
        <w:pStyle w:val="ListParagraph"/>
        <w:numPr>
          <w:ilvl w:val="0"/>
          <w:numId w:val="2"/>
        </w:numPr>
        <w:spacing w:after="40" w:before="40"/>
      </w:pPr>
      <w:r>
        <w:rPr>
          <w:rFonts w:ascii="Arial" w:cs="Arial" w:eastAsia="Arial" w:hAnsi="Arial"/>
          <w:sz w:val="22"/>
          <w:szCs w:val="22"/>
        </w:rPr>
        <w:t xml:space="preserve">Implement network segmentation to limit lateral movement opportunities.</w:t>
      </w:r>
    </w:p>
    <w:p>
      <w:pPr>
        <w:pStyle w:val="ListParagraph"/>
        <w:numPr>
          <w:ilvl w:val="0"/>
          <w:numId w:val="2"/>
        </w:numPr>
        <w:spacing w:after="40" w:before="40"/>
      </w:pPr>
      <w:r>
        <w:rPr>
          <w:rFonts w:ascii="Arial" w:cs="Arial" w:eastAsia="Arial" w:hAnsi="Arial"/>
          <w:sz w:val="22"/>
          <w:szCs w:val="22"/>
        </w:rPr>
        <w:t xml:space="preserve">Deploy endpoint detection capable of identifying EternalBlue exploitation attempts.</w:t>
      </w:r>
    </w:p>
    <w:p>
      <w:pPr>
        <w:spacing w:after="60" w:before="60"/>
      </w:pPr>
      <w:r>
        <w:t xml:space="preserve"/>
      </w:r>
    </w:p>
    <w:p>
      <w:pPr>
        <w:pStyle w:val="Heading1"/>
        <w:pBdr>
          <w:bottom w:val="single" w:color="1B3A5C" w:sz="8" w:space="6"/>
        </w:pBdr>
        <w:spacing w:after="120" w:before="320"/>
      </w:pPr>
      <w:r>
        <w:rPr>
          <w:rFonts w:ascii="Arial" w:cs="Arial" w:eastAsia="Arial" w:hAnsi="Arial"/>
          <w:b/>
          <w:bCs/>
          <w:color w:val="1B3A5C"/>
          <w:sz w:val="28"/>
          <w:szCs w:val="28"/>
        </w:rPr>
        <w:t xml:space="preserve">9. Conclusion</w:t>
      </w:r>
    </w:p>
    <w:p>
      <w:pPr>
        <w:spacing w:after="60" w:before="60"/>
      </w:pPr>
      <w:r>
        <w:rPr>
          <w:rFonts w:ascii="Arial" w:cs="Arial" w:eastAsia="Arial" w:hAnsi="Arial"/>
          <w:sz w:val="22"/>
          <w:szCs w:val="22"/>
        </w:rPr>
        <w:t xml:space="preserve">The assessment successfully demonstrated the complete exploitation chain for MS17-010 on the target Windows 7 host within the authorized TryHackMe lab environment. All objectives were achieved, including vulnerability identification, exploitation, flag retrieval, and credential enumeration. This exercise highlights the continued relevance of legacy SMB vulnerabilities and the importance of timely patch management.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TryHackMe CTF Lab  |  Authorized Training Environment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2026-06-08T17:04:39.139Z</dcterms:created>
  <dcterms:modified xsi:type="dcterms:W3CDTF">2026-06-08T17:04:39.140Z</dcterms:modified>
</cp:coreProperties>
</file>

<file path=docProps/custom.xml><?xml version="1.0" encoding="utf-8"?>
<Properties xmlns="http://schemas.openxmlformats.org/officeDocument/2006/custom-properties" xmlns:vt="http://schemas.openxmlformats.org/officeDocument/2006/docPropsVTypes"/>
</file>