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MRPL: Read the scanned inspection report at image copy.png and draft an approval note </w:t>
      </w:r>
    </w:p>
    <w:p>
      <w:pPr>
        <w:pStyle w:val="Subtitle"/>
      </w:pPr>
      <w:r>
        <w:t>Generated: 2026-09-06 01:31:31</w:t>
      </w:r>
    </w:p>
    <w:p>
      <w:pPr>
        <w:pStyle w:val="Heading2"/>
      </w:pPr>
      <w:r>
        <w:t>Content</w:t>
      </w:r>
    </w:p>
    <w:p>
      <w:r>
        <w:t>Based on the provided scanned inspection report, the key findings regarding the Transformer model architecture are as follows:</w:t>
      </w:r>
    </w:p>
    <w:p>
      <w:r>
        <w:t>The report highlights the superiority of the Transformer model architecture over traditional complex recurrent or convolutional neural networks. The Transformer model is based solely on attention mechanisms, eliminating the need for recurrence and convolutions. This results in models that are more parallelizable, requiring less time to train and achieving superior quality in machine translation tasks.</w:t>
      </w:r>
    </w:p>
    <w:p>
      <w:r>
        <w:t>The report specifically mentions two machine translation tasks: the English-to-German and English-to-French tasks on the WMT 2014 dataset. The Transformer model achieves a BLEU score of 28.4 on the English-to-German task, surpassing existing best results, including ensembles. On the English-to-French task, the Transformer model establishes a new single-model state-of-the-art BLEU score of 41.0 after training for just 3.5 days on eight GPUs, significantly reducing training costs compared to the best models from the literature.</w:t>
      </w:r>
    </w:p>
    <w:p>
      <w:r>
        <w:t>In summary, the inspection report confirms that the Transformer model architecture, based on attention mechanisms, demonstrates superior performance in machine translation tasks, offering advantages in parallelization and training efficiency.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