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What is the external call constraint in the system boundary?</w:t>
      </w:r>
    </w:p>
    <w:p>
      <w:pPr>
        <w:pStyle w:val="Subtitle"/>
      </w:pPr>
      <w:r>
        <w:t>Generated: 2026-09-11 22:33:18</w:t>
      </w:r>
    </w:p>
    <w:p>
      <w:pPr>
        <w:pStyle w:val="Heading2"/>
      </w:pPr>
      <w:r>
        <w:t>Content</w:t>
      </w:r>
    </w:p>
    <w:p>
      <w:r>
        <w:t>The external call constraint in the system boundary refers to the requirement that no line of code within the system makes any external calls. This constraint ensures that the system operates independently and does not rely on external services or APIs for its functionality. Instead, all interactions with external resources are handled through internal components and internal data processing. This constraint is enforced throughout the system, from the backend API (FastAPI) to the various tools and components that interact with external resources.</w:t>
      </w:r>
    </w:p>
    <w:p>
      <w:pPr>
        <w:pStyle w:val="Heading2"/>
      </w:pPr>
      <w:r>
        <w:t>Sources</w:t>
      </w:r>
    </w:p>
    <w:p>
      <w:pPr>
        <w:pStyle w:val="ListBullet"/>
      </w:pPr>
      <w:r>
        <w:t>Search the knowledge base for information about the external call constraint in the system boundary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