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MRPL: explain Carrier Frequency Offset</w:t>
      </w:r>
    </w:p>
    <w:p>
      <w:pPr>
        <w:pStyle w:val="Subtitle"/>
      </w:pPr>
      <w:r>
        <w:t>Generated: 2026-09-12 02:10:59</w:t>
      </w:r>
    </w:p>
    <w:p>
      <w:pPr>
        <w:pStyle w:val="Heading2"/>
      </w:pPr>
      <w:r>
        <w:t>Content</w:t>
      </w:r>
    </w:p>
    <w:p>
      <w:r>
        <w:t>The extracted text does not contain any relevant information to answer the request.</w:t>
      </w:r>
    </w:p>
    <w:p>
      <w:pPr>
        <w:pStyle w:val="Heading2"/>
      </w:pPr>
      <w:r>
        <w:t>Sources</w:t>
      </w:r>
    </w:p>
    <w:p>
      <w:pPr>
        <w:pStyle w:val="ListBullet"/>
      </w:pPr>
      <w:r>
        <w:t>Search the knowledge base for information on Carrier Frequency Offset</w:t>
      </w:r>
    </w:p>
    <w:p>
      <w:pPr>
        <w:pStyle w:val="ListBullet"/>
      </w:pPr>
      <w:r>
        <w:t>Search the knowledge base for information on Carrier Frequency Offset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