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Extract all text and key details from the attached document.</w:t>
      </w:r>
    </w:p>
    <w:p>
      <w:pPr>
        <w:pStyle w:val="Subtitle"/>
      </w:pPr>
      <w:r>
        <w:t>Generated: 2026-09-12 02:15:55</w:t>
      </w:r>
    </w:p>
    <w:p>
      <w:pPr>
        <w:pStyle w:val="Heading2"/>
      </w:pPr>
      <w:r>
        <w:t>Content</w:t>
      </w:r>
    </w:p>
    <w:p>
      <w:r>
        <w:t>Based on the extracted text from the provided document, the key details are as follows:</w:t>
      </w:r>
    </w:p>
    <w:p>
      <w:r>
        <w:t>The document appears to be a marketing or promotional material for a technology solution that aims to address data security and productivity challenges in industrial and PSU (Public Sector Undertake) environments. The primary focus is on eliminating shadow IT risks associated with employees using unauthorized cloud applications to store confidential data.</w:t>
      </w:r>
    </w:p>
    <w:p>
      <w:r>
        <w:t>The solution offers several key benefits:</w:t>
      </w:r>
    </w:p>
    <w:p>
      <w:r>
        <w:t>1. Elimination of Data Leakage Risk: By preventing employees from pasting confidential P&amp;IDs, financials, and internal correspondence into public cloud applications, the solution ensures data remains secure.</w:t>
      </w:r>
    </w:p>
    <w:p>
      <w:r>
        <w:t>2. Time and Productivity Savings: The technology converts hours of manual approval-note drafting, report summarization, and document review into minutes, thereby boosting productivity.</w:t>
      </w:r>
    </w:p>
    <w:p>
      <w:r>
        <w:t>3. Unlocking Institutional Knowledge: It makes institutional knowledge, such as SOPs, past correspondence, and precedent decisions, instantly searchable and usable in day-to-day work.</w:t>
      </w:r>
    </w:p>
    <w:p>
      <w:r>
        <w:t>4. Auditability and Compliance: The solution provides an auditable, tamper-evident trail of every decision made using the technology, which is crucial for compliance in regulated industrial/PSU environments.</w:t>
      </w:r>
    </w:p>
    <w:p>
      <w:r>
        <w:t>5. Technology Sovereignty: It demonstrates that open-weight models, when properly orchestrated, can close much of the capability gap with closed cloud models for real enterprise tasks.</w:t>
      </w:r>
    </w:p>
    <w:p>
      <w:r>
        <w:t>6. Reducing Dependency on Foreign Cloud Infrastructure: By reducing dependency on foreign/cloud infrastructure for sensitive government and industrial workloads, the solution contributes to technology sovereignty.</w:t>
      </w:r>
    </w:p>
    <w:p>
      <w:r>
        <w:t>7. Demonstrating Open-Weight Model Potential: The solution proves that open-weight models have the potential to match or even surpass closed cloud models in terms of capabilities for real enterprise tasks.</w:t>
      </w:r>
    </w:p>
    <w:p>
      <w:r>
        <w:t>In summary, the document highlights a technology solution that addresses data security concerns in industrial and PSU environments by eliminating shadow IT risks, saving time and boosting productivity, unlocking institutional knowledge, ensuring auditability and compliance, and promoting technology sovereignty.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