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hi</w:t>
      </w:r>
    </w:p>
    <w:p>
      <w:pPr>
        <w:pStyle w:val="Subtitle"/>
      </w:pPr>
      <w:r>
        <w:t>Generated: 2026-09-12 11:07:21</w:t>
      </w:r>
    </w:p>
    <w:p>
      <w:pPr>
        <w:pStyle w:val="Heading2"/>
      </w:pPr>
      <w:r>
        <w:t>Content</w:t>
      </w:r>
    </w:p>
    <w:p>
      <w:r>
        <w:t>Hello,</w:t>
      </w:r>
    </w:p>
    <w:p>
      <w:r>
        <w:t>Thank you for reaching out. I understand that you are interested in learning more about our innovative technology solution designed to address data security and productivity challenges in industrial settings. Our solution aims to eliminate the risk of data leakage, save time, boost productivity, and unlock institutional knowledge while ensuring auditability and compliance.</w:t>
      </w:r>
    </w:p>
    <w:p>
      <w:r>
        <w:t>By eliminating the current shadow IT risk associated with employees pasting confidential data into public cloud tools, our solution converts hours of manual approval drafting, report summarization, and document review into minutes, all without compromising data confidentiality. It also makes institutional knowledge, such as SOPs, past correspondence, and precedent decisions, instantly searchable and usable in day-to-day work.</w:t>
      </w:r>
    </w:p>
    <w:p>
      <w:r>
        <w:t>Furthermore, our technology provides an auditable, tamper-evident trail of every assisted decision, which is directly relevant for compliance in regulated industrial/PSU environments. This solution offers a reusable blueprint for any confidential data industrial setting, including refineries, defense manufacturing, PSUs, and government offices, addressing the common constraint of not being able to use cloud AI tools.</w:t>
      </w:r>
    </w:p>
    <w:p>
      <w:r>
        <w:t>Additionally, our technology reduces dependency on foreign/cloud AI infrastructure for sensitive government and industrial workloads, a significant step toward technology sovereignty. It also demonstrates that open-weight models, when properly orchestrated, can close much of the capability gap with closed cloud models for real enterprise tasks.</w:t>
      </w:r>
    </w:p>
    <w:p>
      <w:r>
        <w:t>In summary, our solution is designed to provide a secure, efficient, and compliant way to leverage AI technology in industrial settings, ensuring data security, productivity, and regulatory compliance while promoting technology 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