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hi</w:t>
      </w:r>
    </w:p>
    <w:p>
      <w:pPr>
        <w:pStyle w:val="Subtitle"/>
      </w:pPr>
      <w:r>
        <w:t>Generated: 2026-09-12 11:11:11</w:t>
      </w:r>
    </w:p>
    <w:p>
      <w:pPr>
        <w:pStyle w:val="Heading2"/>
      </w:pPr>
      <w:r>
        <w:t>Content</w:t>
      </w:r>
    </w:p>
    <w:p>
      <w:r>
        <w:t>Hello,</w:t>
      </w:r>
    </w:p>
    <w:p>
      <w:r>
        <w:t>The image you provided appears to contain a promotional text for a technology solution that aims to address data security and productivity challenges in industrial and PSU environments. The solution is designed to eliminate the risk of data leaks, reduce manual approval processes, and provide a secure and compliant platform for storing and accessing sensitive institutional knowledge.</w:t>
      </w:r>
    </w:p>
    <w:p>
      <w:r>
        <w:t>Key features highlighted in the text include:</w:t>
      </w:r>
    </w:p>
    <w:p>
      <w:r>
        <w:t>1. **Data Leak Risk Elimination**: The technology is designed to prevent employees from pasting confidential data into public cloud tools, thereby ensuring data security.</w:t>
      </w:r>
    </w:p>
    <w:p>
      <w:r>
        <w:t>2. **Time and Productivity Savings**: By automating manual tasks such as approval note drafting, report summarization, and document review, the solution saves time and boosts productivity.</w:t>
      </w:r>
    </w:p>
    <w:p>
      <w:r>
        <w:t>3. **Institutional Knowledge Accessibility**: It allows for the instant searchability and usability of institutional knowledge, including SOPs, past correspondence, and precedent decisions.</w:t>
      </w:r>
    </w:p>
    <w:p>
      <w:r>
        <w:t>4. **Auditability and Compliance**: The system provides an auditable, tamper-evident trail of all assisted decisions, which is crucial for maintaining compliance in regulated industries.</w:t>
      </w:r>
    </w:p>
    <w:p>
      <w:r>
        <w:t>5. **Technology Sovereignty**: The solution reduces dependency on foreign or cloud-based infrastructure for sensitive workloads, promoting technology sovereignty.</w:t>
      </w:r>
    </w:p>
    <w:p>
      <w:r>
        <w:t>6. **Open-Weight Model Potential**: It demonstrates that open-weight models can close the capability gap with closed cloud models for real enterprise tasks.</w:t>
      </w:r>
    </w:p>
    <w:p>
      <w:r>
        <w:t>The text also emphasizes the creation of a reusable blueprint for any confidential data industrial setting, such as refineries, defense manufacturing, PSUs, and government offices, which face similar constraints regarding cloud usage.</w:t>
      </w:r>
    </w:p>
    <w:p>
      <w:r>
        <w:t>In summary, the technology presented in the image is a comprehensive solution aimed at enhancing data security, productivity, and compliance in industrial and PSU environments by leveraging open-weight models and providing a secure platform for institutional knowledge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