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the results in ims</w:t>
      </w:r>
    </w:p>
    <w:p>
      <w:pPr>
        <w:pStyle w:val="Subtitle"/>
      </w:pPr>
      <w:r>
        <w:t>Generated: 2026-09-12 11:52:59</w:t>
      </w:r>
    </w:p>
    <w:p>
      <w:pPr>
        <w:pStyle w:val="Heading2"/>
      </w:pPr>
      <w:r>
        <w:t>Content</w:t>
      </w:r>
    </w:p>
    <w:p>
      <w:r>
        <w:t>The provided information reveals significant concerns regarding the leakage of sensitive company data by employees utilizing generative AI (Gen AI) tools. According to the data, 79% of employees globally are using Gen AI, and over 80% of these users have exposed their employer's data through public AI tools. This indicates a substantial risk of data breaches and privacy violations.</w:t>
      </w:r>
    </w:p>
    <w:p>
      <w:r>
        <w:t>The analysis highlights that while many employers have established guidelines for the responsible use of Gen AI, these guidelines alone have not been effective in preventing data leaks. Employees in various countries, including India, UAE, Indonesia, Brazil, Singapore, South Africa, Mexico, Italy, Hong Kong, the US, Spain, the UK, Australia, France, Germany, and Canada, are experiencing this issue.</w:t>
      </w:r>
    </w:p>
    <w:p>
      <w:r>
        <w:t>The findings suggest that there is a pressing need for employers to enhance their data protection measures and provide more comprehensive guidelines to their employees regarding the responsible use of Gen AI tools. Without addressing these concerns, the risk of sensitive company data being exposed through public AI platforms remains high, posing potential threats to both the organization and its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