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CCB4" w14:textId="600F2220" w:rsidR="00AA37C3" w:rsidRDefault="000B7227">
      <w:pPr>
        <w:rPr>
          <w:rFonts w:ascii="Times New Roman" w:hAnsi="Times New Roman" w:cs="Times New Roman"/>
          <w:sz w:val="24"/>
          <w:szCs w:val="24"/>
        </w:rPr>
      </w:pPr>
      <w:r w:rsidRPr="000B7227">
        <w:rPr>
          <w:rFonts w:ascii="Times New Roman" w:hAnsi="Times New Roman" w:cs="Times New Roman"/>
          <w:sz w:val="24"/>
          <w:szCs w:val="24"/>
        </w:rPr>
        <w:drawing>
          <wp:inline distT="0" distB="0" distL="0" distR="0" wp14:anchorId="3F9D02B0" wp14:editId="5960D70E">
            <wp:extent cx="5731510" cy="3352800"/>
            <wp:effectExtent l="0" t="0" r="2540" b="0"/>
            <wp:docPr id="12211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8468" name=""/>
                    <pic:cNvPicPr/>
                  </pic:nvPicPr>
                  <pic:blipFill>
                    <a:blip r:embed="rId4"/>
                    <a:stretch>
                      <a:fillRect/>
                    </a:stretch>
                  </pic:blipFill>
                  <pic:spPr>
                    <a:xfrm>
                      <a:off x="0" y="0"/>
                      <a:ext cx="5731510" cy="3352800"/>
                    </a:xfrm>
                    <a:prstGeom prst="rect">
                      <a:avLst/>
                    </a:prstGeom>
                  </pic:spPr>
                </pic:pic>
              </a:graphicData>
            </a:graphic>
          </wp:inline>
        </w:drawing>
      </w:r>
    </w:p>
    <w:p w14:paraId="3DC6A94B" w14:textId="041984AE" w:rsidR="000B7227" w:rsidRDefault="000B7227" w:rsidP="000B7227">
      <w:pPr>
        <w:jc w:val="center"/>
        <w:rPr>
          <w:rFonts w:ascii="Times New Roman" w:hAnsi="Times New Roman" w:cs="Times New Roman"/>
          <w:sz w:val="24"/>
          <w:szCs w:val="24"/>
        </w:rPr>
      </w:pPr>
      <w:r>
        <w:rPr>
          <w:rFonts w:ascii="Times New Roman" w:hAnsi="Times New Roman" w:cs="Times New Roman"/>
          <w:sz w:val="24"/>
          <w:szCs w:val="24"/>
        </w:rPr>
        <w:t>Fig 1: Revenue Performance Dashboard</w:t>
      </w:r>
    </w:p>
    <w:p w14:paraId="05860058" w14:textId="02072245"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This dashboard tells the story of how the e-commerce platform generates revenue over time and how customer purchasing behav</w:t>
      </w:r>
      <w:r>
        <w:rPr>
          <w:rFonts w:ascii="Times New Roman" w:hAnsi="Times New Roman" w:cs="Times New Roman"/>
          <w:sz w:val="24"/>
          <w:szCs w:val="24"/>
        </w:rPr>
        <w:t>iou</w:t>
      </w:r>
      <w:r w:rsidRPr="000B7227">
        <w:rPr>
          <w:rFonts w:ascii="Times New Roman" w:hAnsi="Times New Roman" w:cs="Times New Roman"/>
          <w:sz w:val="24"/>
          <w:szCs w:val="24"/>
        </w:rPr>
        <w:t>r influences overall sales performance.</w:t>
      </w:r>
    </w:p>
    <w:p w14:paraId="00C7F5BB"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w:t>
      </w:r>
      <w:r w:rsidRPr="000B7227">
        <w:rPr>
          <w:rFonts w:ascii="Times New Roman" w:hAnsi="Times New Roman" w:cs="Times New Roman"/>
          <w:b/>
          <w:bCs/>
          <w:sz w:val="24"/>
          <w:szCs w:val="24"/>
        </w:rPr>
        <w:t>Monthly Revenue vs Order Volume graph</w:t>
      </w:r>
      <w:r w:rsidRPr="000B7227">
        <w:rPr>
          <w:rFonts w:ascii="Times New Roman" w:hAnsi="Times New Roman" w:cs="Times New Roman"/>
          <w:sz w:val="24"/>
          <w:szCs w:val="24"/>
        </w:rPr>
        <w:t xml:space="preserve"> shows that revenue and order volume follow a similar trend, indicating that revenue growth is largely driven by the number of orders placed. During certain periods, particularly towards the end of the year, there is a noticeable increase in both revenue and order volume. This suggests the presence of seasonal demand, likely influenced by major shopping events such as </w:t>
      </w:r>
      <w:r w:rsidRPr="000B7227">
        <w:rPr>
          <w:rFonts w:ascii="Times New Roman" w:hAnsi="Times New Roman" w:cs="Times New Roman"/>
          <w:b/>
          <w:bCs/>
          <w:sz w:val="24"/>
          <w:szCs w:val="24"/>
        </w:rPr>
        <w:t>Black Friday and holiday sales</w:t>
      </w:r>
      <w:r w:rsidRPr="000B7227">
        <w:rPr>
          <w:rFonts w:ascii="Times New Roman" w:hAnsi="Times New Roman" w:cs="Times New Roman"/>
          <w:sz w:val="24"/>
          <w:szCs w:val="24"/>
        </w:rPr>
        <w:t>.</w:t>
      </w:r>
    </w:p>
    <w:p w14:paraId="122ABE89"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w:t>
      </w:r>
      <w:r w:rsidRPr="000B7227">
        <w:rPr>
          <w:rFonts w:ascii="Times New Roman" w:hAnsi="Times New Roman" w:cs="Times New Roman"/>
          <w:b/>
          <w:bCs/>
          <w:sz w:val="24"/>
          <w:szCs w:val="24"/>
        </w:rPr>
        <w:t>Revenue by Price Tier graph</w:t>
      </w:r>
      <w:r w:rsidRPr="000B7227">
        <w:rPr>
          <w:rFonts w:ascii="Times New Roman" w:hAnsi="Times New Roman" w:cs="Times New Roman"/>
          <w:sz w:val="24"/>
          <w:szCs w:val="24"/>
        </w:rPr>
        <w:t xml:space="preserve"> reveals that mid-range products contribute the highest portion of total revenue. This indicates that customers prefer products that offer a balance between affordability and quality, rather than extremely cheap or premium-priced items.</w:t>
      </w:r>
    </w:p>
    <w:p w14:paraId="0CDC38B5" w14:textId="77777777" w:rsid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Overall, this dashboard shows that </w:t>
      </w:r>
      <w:r w:rsidRPr="000B7227">
        <w:rPr>
          <w:rFonts w:ascii="Times New Roman" w:hAnsi="Times New Roman" w:cs="Times New Roman"/>
          <w:b/>
          <w:bCs/>
          <w:sz w:val="24"/>
          <w:szCs w:val="24"/>
        </w:rPr>
        <w:t>seasonal demand and pricing strategy play a key role in revenue generation</w:t>
      </w:r>
      <w:r w:rsidRPr="000B7227">
        <w:rPr>
          <w:rFonts w:ascii="Times New Roman" w:hAnsi="Times New Roman" w:cs="Times New Roman"/>
          <w:sz w:val="24"/>
          <w:szCs w:val="24"/>
        </w:rPr>
        <w:t>, and businesses can maximize revenue by focusing on mid-range products during high-demand periods.</w:t>
      </w:r>
    </w:p>
    <w:p w14:paraId="15881301" w14:textId="77777777" w:rsidR="000B7227" w:rsidRDefault="000B7227" w:rsidP="000B7227">
      <w:pPr>
        <w:rPr>
          <w:rFonts w:ascii="Times New Roman" w:hAnsi="Times New Roman" w:cs="Times New Roman"/>
          <w:sz w:val="24"/>
          <w:szCs w:val="24"/>
        </w:rPr>
      </w:pPr>
    </w:p>
    <w:p w14:paraId="63251BAE" w14:textId="2CAB1559" w:rsid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lastRenderedPageBreak/>
        <w:drawing>
          <wp:inline distT="0" distB="0" distL="0" distR="0" wp14:anchorId="3A5EC795" wp14:editId="70DA2854">
            <wp:extent cx="5731510" cy="3307080"/>
            <wp:effectExtent l="0" t="0" r="2540" b="7620"/>
            <wp:docPr id="17078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676" name=""/>
                    <pic:cNvPicPr/>
                  </pic:nvPicPr>
                  <pic:blipFill>
                    <a:blip r:embed="rId5"/>
                    <a:stretch>
                      <a:fillRect/>
                    </a:stretch>
                  </pic:blipFill>
                  <pic:spPr>
                    <a:xfrm>
                      <a:off x="0" y="0"/>
                      <a:ext cx="5731510" cy="3307080"/>
                    </a:xfrm>
                    <a:prstGeom prst="rect">
                      <a:avLst/>
                    </a:prstGeom>
                  </pic:spPr>
                </pic:pic>
              </a:graphicData>
            </a:graphic>
          </wp:inline>
        </w:drawing>
      </w:r>
    </w:p>
    <w:p w14:paraId="42BD0843" w14:textId="695A93E0" w:rsidR="000B7227" w:rsidRDefault="000B7227" w:rsidP="000B7227">
      <w:pPr>
        <w:jc w:val="center"/>
        <w:rPr>
          <w:rFonts w:ascii="Times New Roman" w:hAnsi="Times New Roman" w:cs="Times New Roman"/>
          <w:sz w:val="24"/>
          <w:szCs w:val="24"/>
        </w:rPr>
      </w:pPr>
      <w:r>
        <w:rPr>
          <w:rFonts w:ascii="Times New Roman" w:hAnsi="Times New Roman" w:cs="Times New Roman"/>
          <w:sz w:val="24"/>
          <w:szCs w:val="24"/>
        </w:rPr>
        <w:t>Fig 2: Operational Overhead Dashboard</w:t>
      </w:r>
    </w:p>
    <w:p w14:paraId="029408D2"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This dashboard highlights how logistics and shipping costs impact product profitability and operational efficiency.</w:t>
      </w:r>
    </w:p>
    <w:p w14:paraId="04232168"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w:t>
      </w:r>
      <w:r w:rsidRPr="000B7227">
        <w:rPr>
          <w:rFonts w:ascii="Times New Roman" w:hAnsi="Times New Roman" w:cs="Times New Roman"/>
          <w:b/>
          <w:bCs/>
          <w:sz w:val="24"/>
          <w:szCs w:val="24"/>
        </w:rPr>
        <w:t>Freight Ratio vs Price scatter plot</w:t>
      </w:r>
      <w:r w:rsidRPr="000B7227">
        <w:rPr>
          <w:rFonts w:ascii="Times New Roman" w:hAnsi="Times New Roman" w:cs="Times New Roman"/>
          <w:sz w:val="24"/>
          <w:szCs w:val="24"/>
        </w:rPr>
        <w:t xml:space="preserve"> shows that lower-priced products tend to have higher freight ratios, meaning that shipping costs form a larger portion of the product price. This can reduce profitability for budget products. On the other hand, premium products have lower freight ratios, indicating more efficient cost distribution.</w:t>
      </w:r>
    </w:p>
    <w:p w14:paraId="52C54057"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w:t>
      </w:r>
      <w:r w:rsidRPr="000B7227">
        <w:rPr>
          <w:rFonts w:ascii="Times New Roman" w:hAnsi="Times New Roman" w:cs="Times New Roman"/>
          <w:b/>
          <w:bCs/>
          <w:sz w:val="24"/>
          <w:szCs w:val="24"/>
        </w:rPr>
        <w:t>Shipping Overhead by Category graph</w:t>
      </w:r>
      <w:r w:rsidRPr="000B7227">
        <w:rPr>
          <w:rFonts w:ascii="Times New Roman" w:hAnsi="Times New Roman" w:cs="Times New Roman"/>
          <w:sz w:val="24"/>
          <w:szCs w:val="24"/>
        </w:rPr>
        <w:t xml:space="preserve"> shows that certain product categories incur significantly higher shipping costs compared to others. This variation may be due to differences in product size, weight, or delivery distance.</w:t>
      </w:r>
    </w:p>
    <w:p w14:paraId="744224DB"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overall story here is that </w:t>
      </w:r>
      <w:r w:rsidRPr="000B7227">
        <w:rPr>
          <w:rFonts w:ascii="Times New Roman" w:hAnsi="Times New Roman" w:cs="Times New Roman"/>
          <w:b/>
          <w:bCs/>
          <w:sz w:val="24"/>
          <w:szCs w:val="24"/>
        </w:rPr>
        <w:t>logistics costs are not uniform across products</w:t>
      </w:r>
      <w:r w:rsidRPr="000B7227">
        <w:rPr>
          <w:rFonts w:ascii="Times New Roman" w:hAnsi="Times New Roman" w:cs="Times New Roman"/>
          <w:sz w:val="24"/>
          <w:szCs w:val="24"/>
        </w:rPr>
        <w:t>, and certain categories may require pricing adjustments or optimized shipping strategies to maintain profitability.</w:t>
      </w:r>
    </w:p>
    <w:p w14:paraId="754780B0" w14:textId="77777777" w:rsidR="000B7227" w:rsidRDefault="000B7227" w:rsidP="000B7227">
      <w:pPr>
        <w:rPr>
          <w:rFonts w:ascii="Times New Roman" w:hAnsi="Times New Roman" w:cs="Times New Roman"/>
          <w:sz w:val="24"/>
          <w:szCs w:val="24"/>
        </w:rPr>
      </w:pPr>
    </w:p>
    <w:p w14:paraId="249A8115" w14:textId="4A25E4C1" w:rsid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lastRenderedPageBreak/>
        <w:drawing>
          <wp:inline distT="0" distB="0" distL="0" distR="0" wp14:anchorId="2AC59010" wp14:editId="44BE9623">
            <wp:extent cx="5731510" cy="2927985"/>
            <wp:effectExtent l="0" t="0" r="2540" b="5715"/>
            <wp:docPr id="3963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1479" name=""/>
                    <pic:cNvPicPr/>
                  </pic:nvPicPr>
                  <pic:blipFill>
                    <a:blip r:embed="rId6"/>
                    <a:stretch>
                      <a:fillRect/>
                    </a:stretch>
                  </pic:blipFill>
                  <pic:spPr>
                    <a:xfrm>
                      <a:off x="0" y="0"/>
                      <a:ext cx="5731510" cy="2927985"/>
                    </a:xfrm>
                    <a:prstGeom prst="rect">
                      <a:avLst/>
                    </a:prstGeom>
                  </pic:spPr>
                </pic:pic>
              </a:graphicData>
            </a:graphic>
          </wp:inline>
        </w:drawing>
      </w:r>
    </w:p>
    <w:p w14:paraId="3733C7F1" w14:textId="4D371BFA" w:rsidR="000B7227" w:rsidRDefault="000B7227" w:rsidP="000B7227">
      <w:pPr>
        <w:jc w:val="center"/>
        <w:rPr>
          <w:rFonts w:ascii="Times New Roman" w:hAnsi="Times New Roman" w:cs="Times New Roman"/>
          <w:sz w:val="24"/>
          <w:szCs w:val="24"/>
        </w:rPr>
      </w:pPr>
      <w:r>
        <w:rPr>
          <w:rFonts w:ascii="Times New Roman" w:hAnsi="Times New Roman" w:cs="Times New Roman"/>
          <w:sz w:val="24"/>
          <w:szCs w:val="24"/>
        </w:rPr>
        <w:t xml:space="preserve">Fig 3: </w:t>
      </w:r>
      <w:proofErr w:type="spellStart"/>
      <w:r>
        <w:rPr>
          <w:rFonts w:ascii="Times New Roman" w:hAnsi="Times New Roman" w:cs="Times New Roman"/>
          <w:sz w:val="24"/>
          <w:szCs w:val="24"/>
        </w:rPr>
        <w:t>Fulfillment</w:t>
      </w:r>
      <w:proofErr w:type="spellEnd"/>
      <w:r>
        <w:rPr>
          <w:rFonts w:ascii="Times New Roman" w:hAnsi="Times New Roman" w:cs="Times New Roman"/>
          <w:sz w:val="24"/>
          <w:szCs w:val="24"/>
        </w:rPr>
        <w:t xml:space="preserve"> Quality Dashboard</w:t>
      </w:r>
    </w:p>
    <w:p w14:paraId="5EE02F5A"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This dashboard represents how efficiently the e-commerce platform </w:t>
      </w:r>
      <w:proofErr w:type="spellStart"/>
      <w:r w:rsidRPr="000B7227">
        <w:rPr>
          <w:rFonts w:ascii="Times New Roman" w:hAnsi="Times New Roman" w:cs="Times New Roman"/>
          <w:sz w:val="24"/>
          <w:szCs w:val="24"/>
        </w:rPr>
        <w:t>fulfills</w:t>
      </w:r>
      <w:proofErr w:type="spellEnd"/>
      <w:r w:rsidRPr="000B7227">
        <w:rPr>
          <w:rFonts w:ascii="Times New Roman" w:hAnsi="Times New Roman" w:cs="Times New Roman"/>
          <w:sz w:val="24"/>
          <w:szCs w:val="24"/>
        </w:rPr>
        <w:t xml:space="preserve"> customer orders in terms of </w:t>
      </w:r>
      <w:r w:rsidRPr="000B7227">
        <w:rPr>
          <w:rFonts w:ascii="Times New Roman" w:hAnsi="Times New Roman" w:cs="Times New Roman"/>
          <w:b/>
          <w:bCs/>
          <w:sz w:val="24"/>
          <w:szCs w:val="24"/>
        </w:rPr>
        <w:t>delivery performance and order trends over time</w:t>
      </w:r>
      <w:r w:rsidRPr="000B7227">
        <w:rPr>
          <w:rFonts w:ascii="Times New Roman" w:hAnsi="Times New Roman" w:cs="Times New Roman"/>
          <w:sz w:val="24"/>
          <w:szCs w:val="24"/>
        </w:rPr>
        <w:t>.</w:t>
      </w:r>
    </w:p>
    <w:p w14:paraId="59857A2B"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w:t>
      </w:r>
      <w:r w:rsidRPr="000B7227">
        <w:rPr>
          <w:rFonts w:ascii="Times New Roman" w:hAnsi="Times New Roman" w:cs="Times New Roman"/>
          <w:b/>
          <w:bCs/>
          <w:sz w:val="24"/>
          <w:szCs w:val="24"/>
        </w:rPr>
        <w:t>Delivery Performance Map</w:t>
      </w:r>
      <w:r w:rsidRPr="000B7227">
        <w:rPr>
          <w:rFonts w:ascii="Times New Roman" w:hAnsi="Times New Roman" w:cs="Times New Roman"/>
          <w:sz w:val="24"/>
          <w:szCs w:val="24"/>
        </w:rPr>
        <w:t xml:space="preserve"> on the left visualizes the geographical distribution of delivered orders across Brazil. Each point on the map represents a region where orders have been successfully delivered. The higher concentration of points in certain areas indicates regions with strong customer demand and well-established delivery networks. These regions can be identified as key operational zones where the logistics system is functioning effectively. On the other hand, areas with fewer delivery points may indicate either lower demand or potential gaps in delivery coverage, suggesting opportunities for expansion.</w:t>
      </w:r>
    </w:p>
    <w:p w14:paraId="70ACA1BA"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The </w:t>
      </w:r>
      <w:r w:rsidRPr="000B7227">
        <w:rPr>
          <w:rFonts w:ascii="Times New Roman" w:hAnsi="Times New Roman" w:cs="Times New Roman"/>
          <w:b/>
          <w:bCs/>
          <w:sz w:val="24"/>
          <w:szCs w:val="24"/>
        </w:rPr>
        <w:t>Monthly Revenue vs Order Volume graph</w:t>
      </w:r>
      <w:r w:rsidRPr="000B7227">
        <w:rPr>
          <w:rFonts w:ascii="Times New Roman" w:hAnsi="Times New Roman" w:cs="Times New Roman"/>
          <w:sz w:val="24"/>
          <w:szCs w:val="24"/>
        </w:rPr>
        <w:t xml:space="preserve"> on the right highlights the relationship between the number of orders and the revenue generated over time. The trend shows that as order volume increases, revenue also increases proportionally, indicating a strong dependency of revenue on order </w:t>
      </w:r>
      <w:proofErr w:type="spellStart"/>
      <w:r w:rsidRPr="000B7227">
        <w:rPr>
          <w:rFonts w:ascii="Times New Roman" w:hAnsi="Times New Roman" w:cs="Times New Roman"/>
          <w:sz w:val="24"/>
          <w:szCs w:val="24"/>
        </w:rPr>
        <w:t>fulfillment</w:t>
      </w:r>
      <w:proofErr w:type="spellEnd"/>
      <w:r w:rsidRPr="000B7227">
        <w:rPr>
          <w:rFonts w:ascii="Times New Roman" w:hAnsi="Times New Roman" w:cs="Times New Roman"/>
          <w:sz w:val="24"/>
          <w:szCs w:val="24"/>
        </w:rPr>
        <w:t>. Any fluctuations or decline in this trend may indicate seasonal effects, operational delays, or reduced customer demand.</w:t>
      </w:r>
    </w:p>
    <w:p w14:paraId="29C5622B" w14:textId="77777777" w:rsidR="000B7227" w:rsidRP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t xml:space="preserve">Overall, this dashboard tells the story that </w:t>
      </w:r>
      <w:r w:rsidRPr="000B7227">
        <w:rPr>
          <w:rFonts w:ascii="Times New Roman" w:hAnsi="Times New Roman" w:cs="Times New Roman"/>
          <w:b/>
          <w:bCs/>
          <w:sz w:val="24"/>
          <w:szCs w:val="24"/>
        </w:rPr>
        <w:t xml:space="preserve">efficient </w:t>
      </w:r>
      <w:proofErr w:type="spellStart"/>
      <w:r w:rsidRPr="000B7227">
        <w:rPr>
          <w:rFonts w:ascii="Times New Roman" w:hAnsi="Times New Roman" w:cs="Times New Roman"/>
          <w:b/>
          <w:bCs/>
          <w:sz w:val="24"/>
          <w:szCs w:val="24"/>
        </w:rPr>
        <w:t>fulfillment</w:t>
      </w:r>
      <w:proofErr w:type="spellEnd"/>
      <w:r w:rsidRPr="000B7227">
        <w:rPr>
          <w:rFonts w:ascii="Times New Roman" w:hAnsi="Times New Roman" w:cs="Times New Roman"/>
          <w:b/>
          <w:bCs/>
          <w:sz w:val="24"/>
          <w:szCs w:val="24"/>
        </w:rPr>
        <w:t xml:space="preserve"> directly impacts revenue generation and customer satisfaction</w:t>
      </w:r>
      <w:r w:rsidRPr="000B7227">
        <w:rPr>
          <w:rFonts w:ascii="Times New Roman" w:hAnsi="Times New Roman" w:cs="Times New Roman"/>
          <w:sz w:val="24"/>
          <w:szCs w:val="24"/>
        </w:rPr>
        <w:t>. Regions with strong delivery performance contribute significantly to business success, while improving logistics in weaker regions can further enhance overall performance.</w:t>
      </w:r>
    </w:p>
    <w:p w14:paraId="6B7A25CB" w14:textId="77777777" w:rsidR="000B7227" w:rsidRDefault="000B7227" w:rsidP="000B7227">
      <w:pPr>
        <w:rPr>
          <w:rFonts w:ascii="Times New Roman" w:hAnsi="Times New Roman" w:cs="Times New Roman"/>
          <w:sz w:val="24"/>
          <w:szCs w:val="24"/>
        </w:rPr>
      </w:pPr>
    </w:p>
    <w:p w14:paraId="3A8A2FEC" w14:textId="17BA580D" w:rsidR="000B7227" w:rsidRDefault="000B7227" w:rsidP="000B7227">
      <w:pPr>
        <w:rPr>
          <w:rFonts w:ascii="Times New Roman" w:hAnsi="Times New Roman" w:cs="Times New Roman"/>
          <w:sz w:val="24"/>
          <w:szCs w:val="24"/>
        </w:rPr>
      </w:pPr>
      <w:r w:rsidRPr="000B7227">
        <w:rPr>
          <w:rFonts w:ascii="Times New Roman" w:hAnsi="Times New Roman" w:cs="Times New Roman"/>
          <w:sz w:val="24"/>
          <w:szCs w:val="24"/>
        </w:rPr>
        <w:lastRenderedPageBreak/>
        <w:drawing>
          <wp:inline distT="0" distB="0" distL="0" distR="0" wp14:anchorId="62D0B247" wp14:editId="3FAA5309">
            <wp:extent cx="5731510" cy="3086100"/>
            <wp:effectExtent l="0" t="0" r="2540" b="0"/>
            <wp:docPr id="183528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2327" name=""/>
                    <pic:cNvPicPr/>
                  </pic:nvPicPr>
                  <pic:blipFill>
                    <a:blip r:embed="rId7"/>
                    <a:stretch>
                      <a:fillRect/>
                    </a:stretch>
                  </pic:blipFill>
                  <pic:spPr>
                    <a:xfrm>
                      <a:off x="0" y="0"/>
                      <a:ext cx="5731510" cy="3086100"/>
                    </a:xfrm>
                    <a:prstGeom prst="rect">
                      <a:avLst/>
                    </a:prstGeom>
                  </pic:spPr>
                </pic:pic>
              </a:graphicData>
            </a:graphic>
          </wp:inline>
        </w:drawing>
      </w:r>
    </w:p>
    <w:p w14:paraId="3568C35A" w14:textId="5FD317F7" w:rsidR="000B7227" w:rsidRDefault="000B7227" w:rsidP="000B7227">
      <w:pPr>
        <w:jc w:val="center"/>
        <w:rPr>
          <w:rFonts w:ascii="Times New Roman" w:hAnsi="Times New Roman" w:cs="Times New Roman"/>
          <w:sz w:val="24"/>
          <w:szCs w:val="24"/>
        </w:rPr>
      </w:pPr>
      <w:r>
        <w:rPr>
          <w:rFonts w:ascii="Times New Roman" w:hAnsi="Times New Roman" w:cs="Times New Roman"/>
          <w:sz w:val="24"/>
          <w:szCs w:val="24"/>
        </w:rPr>
        <w:t>Fig 4: Transaction health Dashboard</w:t>
      </w:r>
    </w:p>
    <w:p w14:paraId="2693C03C" w14:textId="77777777" w:rsidR="00E54A36" w:rsidRPr="00E54A36" w:rsidRDefault="00E54A36" w:rsidP="00E54A36">
      <w:pPr>
        <w:rPr>
          <w:rFonts w:ascii="Times New Roman" w:hAnsi="Times New Roman" w:cs="Times New Roman"/>
          <w:sz w:val="24"/>
          <w:szCs w:val="24"/>
        </w:rPr>
      </w:pPr>
      <w:r w:rsidRPr="00E54A36">
        <w:rPr>
          <w:rFonts w:ascii="Times New Roman" w:hAnsi="Times New Roman" w:cs="Times New Roman"/>
          <w:sz w:val="24"/>
          <w:szCs w:val="24"/>
        </w:rPr>
        <w:t xml:space="preserve">This dashboard focuses on evaluating the </w:t>
      </w:r>
      <w:r w:rsidRPr="00E54A36">
        <w:rPr>
          <w:rFonts w:ascii="Times New Roman" w:hAnsi="Times New Roman" w:cs="Times New Roman"/>
          <w:b/>
          <w:bCs/>
          <w:sz w:val="24"/>
          <w:szCs w:val="24"/>
        </w:rPr>
        <w:t>efficiency and reliability of the transaction process</w:t>
      </w:r>
      <w:r w:rsidRPr="00E54A36">
        <w:rPr>
          <w:rFonts w:ascii="Times New Roman" w:hAnsi="Times New Roman" w:cs="Times New Roman"/>
          <w:sz w:val="24"/>
          <w:szCs w:val="24"/>
        </w:rPr>
        <w:t xml:space="preserve">, covering both </w:t>
      </w:r>
      <w:r w:rsidRPr="00E54A36">
        <w:rPr>
          <w:rFonts w:ascii="Times New Roman" w:hAnsi="Times New Roman" w:cs="Times New Roman"/>
          <w:b/>
          <w:bCs/>
          <w:sz w:val="24"/>
          <w:szCs w:val="24"/>
        </w:rPr>
        <w:t>order approval time</w:t>
      </w:r>
      <w:r w:rsidRPr="00E54A36">
        <w:rPr>
          <w:rFonts w:ascii="Times New Roman" w:hAnsi="Times New Roman" w:cs="Times New Roman"/>
          <w:sz w:val="24"/>
          <w:szCs w:val="24"/>
        </w:rPr>
        <w:t xml:space="preserve"> and </w:t>
      </w:r>
      <w:r w:rsidRPr="00E54A36">
        <w:rPr>
          <w:rFonts w:ascii="Times New Roman" w:hAnsi="Times New Roman" w:cs="Times New Roman"/>
          <w:b/>
          <w:bCs/>
          <w:sz w:val="24"/>
          <w:szCs w:val="24"/>
        </w:rPr>
        <w:t xml:space="preserve">customer payment </w:t>
      </w:r>
      <w:proofErr w:type="spellStart"/>
      <w:r w:rsidRPr="00E54A36">
        <w:rPr>
          <w:rFonts w:ascii="Times New Roman" w:hAnsi="Times New Roman" w:cs="Times New Roman"/>
          <w:b/>
          <w:bCs/>
          <w:sz w:val="24"/>
          <w:szCs w:val="24"/>
        </w:rPr>
        <w:t>behavior</w:t>
      </w:r>
      <w:proofErr w:type="spellEnd"/>
      <w:r w:rsidRPr="00E54A36">
        <w:rPr>
          <w:rFonts w:ascii="Times New Roman" w:hAnsi="Times New Roman" w:cs="Times New Roman"/>
          <w:sz w:val="24"/>
          <w:szCs w:val="24"/>
        </w:rPr>
        <w:t>.</w:t>
      </w:r>
    </w:p>
    <w:p w14:paraId="0D428A61" w14:textId="77777777" w:rsidR="00E54A36" w:rsidRPr="00E54A36" w:rsidRDefault="00E54A36" w:rsidP="00E54A36">
      <w:pPr>
        <w:rPr>
          <w:rFonts w:ascii="Times New Roman" w:hAnsi="Times New Roman" w:cs="Times New Roman"/>
          <w:sz w:val="24"/>
          <w:szCs w:val="24"/>
        </w:rPr>
      </w:pPr>
      <w:r w:rsidRPr="00E54A36">
        <w:rPr>
          <w:rFonts w:ascii="Times New Roman" w:hAnsi="Times New Roman" w:cs="Times New Roman"/>
          <w:sz w:val="24"/>
          <w:szCs w:val="24"/>
        </w:rPr>
        <w:t xml:space="preserve">The </w:t>
      </w:r>
      <w:r w:rsidRPr="00E54A36">
        <w:rPr>
          <w:rFonts w:ascii="Times New Roman" w:hAnsi="Times New Roman" w:cs="Times New Roman"/>
          <w:b/>
          <w:bCs/>
          <w:sz w:val="24"/>
          <w:szCs w:val="24"/>
        </w:rPr>
        <w:t>Approval Log Histogram</w:t>
      </w:r>
      <w:r w:rsidRPr="00E54A36">
        <w:rPr>
          <w:rFonts w:ascii="Times New Roman" w:hAnsi="Times New Roman" w:cs="Times New Roman"/>
          <w:sz w:val="24"/>
          <w:szCs w:val="24"/>
        </w:rPr>
        <w:t xml:space="preserve"> on the left shows the distribution of time taken for order approvals. The graph is highly concentrated near the lower values, indicating that the majority of orders are approved very quickly. This reflects an efficient order processing system where most transactions are completed without delay. However, the presence of a few bars extending towards higher values indicates that some orders take significantly longer to get approved. These delays could be due to payment verification issues, system bottlenecks, or operational inefficiencies. Although these cases are fewer, they can negatively impact customer experience.</w:t>
      </w:r>
    </w:p>
    <w:p w14:paraId="4CC350C7" w14:textId="77777777" w:rsidR="00E54A36" w:rsidRPr="00E54A36" w:rsidRDefault="00E54A36" w:rsidP="00E54A36">
      <w:pPr>
        <w:rPr>
          <w:rFonts w:ascii="Times New Roman" w:hAnsi="Times New Roman" w:cs="Times New Roman"/>
          <w:sz w:val="24"/>
          <w:szCs w:val="24"/>
        </w:rPr>
      </w:pPr>
      <w:r w:rsidRPr="00E54A36">
        <w:rPr>
          <w:rFonts w:ascii="Times New Roman" w:hAnsi="Times New Roman" w:cs="Times New Roman"/>
          <w:sz w:val="24"/>
          <w:szCs w:val="24"/>
        </w:rPr>
        <w:t xml:space="preserve">The </w:t>
      </w:r>
      <w:r w:rsidRPr="00E54A36">
        <w:rPr>
          <w:rFonts w:ascii="Times New Roman" w:hAnsi="Times New Roman" w:cs="Times New Roman"/>
          <w:b/>
          <w:bCs/>
          <w:sz w:val="24"/>
          <w:szCs w:val="24"/>
        </w:rPr>
        <w:t>Payment Method Analysis</w:t>
      </w:r>
      <w:r w:rsidRPr="00E54A36">
        <w:rPr>
          <w:rFonts w:ascii="Times New Roman" w:hAnsi="Times New Roman" w:cs="Times New Roman"/>
          <w:sz w:val="24"/>
          <w:szCs w:val="24"/>
        </w:rPr>
        <w:t xml:space="preserve"> graph on the right </w:t>
      </w:r>
      <w:proofErr w:type="gramStart"/>
      <w:r w:rsidRPr="00E54A36">
        <w:rPr>
          <w:rFonts w:ascii="Times New Roman" w:hAnsi="Times New Roman" w:cs="Times New Roman"/>
          <w:sz w:val="24"/>
          <w:szCs w:val="24"/>
        </w:rPr>
        <w:t>highlights</w:t>
      </w:r>
      <w:proofErr w:type="gramEnd"/>
      <w:r w:rsidRPr="00E54A36">
        <w:rPr>
          <w:rFonts w:ascii="Times New Roman" w:hAnsi="Times New Roman" w:cs="Times New Roman"/>
          <w:sz w:val="24"/>
          <w:szCs w:val="24"/>
        </w:rPr>
        <w:t xml:space="preserve"> customer preferences in payment options. It clearly shows that </w:t>
      </w:r>
      <w:r w:rsidRPr="00E54A36">
        <w:rPr>
          <w:rFonts w:ascii="Times New Roman" w:hAnsi="Times New Roman" w:cs="Times New Roman"/>
          <w:b/>
          <w:bCs/>
          <w:sz w:val="24"/>
          <w:szCs w:val="24"/>
        </w:rPr>
        <w:t>credit cards dominate the transaction value</w:t>
      </w:r>
      <w:r w:rsidRPr="00E54A36">
        <w:rPr>
          <w:rFonts w:ascii="Times New Roman" w:hAnsi="Times New Roman" w:cs="Times New Roman"/>
          <w:sz w:val="24"/>
          <w:szCs w:val="24"/>
        </w:rPr>
        <w:t xml:space="preserve">, contributing the highest share of total payments. In comparison, other methods like </w:t>
      </w:r>
      <w:proofErr w:type="spellStart"/>
      <w:r w:rsidRPr="00E54A36">
        <w:rPr>
          <w:rFonts w:ascii="Times New Roman" w:hAnsi="Times New Roman" w:cs="Times New Roman"/>
          <w:sz w:val="24"/>
          <w:szCs w:val="24"/>
        </w:rPr>
        <w:t>boleto</w:t>
      </w:r>
      <w:proofErr w:type="spellEnd"/>
      <w:r w:rsidRPr="00E54A36">
        <w:rPr>
          <w:rFonts w:ascii="Times New Roman" w:hAnsi="Times New Roman" w:cs="Times New Roman"/>
          <w:sz w:val="24"/>
          <w:szCs w:val="24"/>
        </w:rPr>
        <w:t xml:space="preserve"> and vouchers contribute significantly less. This indicates that customers prefer fast, secure, and convenient digital payment methods.</w:t>
      </w:r>
    </w:p>
    <w:p w14:paraId="7BFEBC34" w14:textId="77777777" w:rsidR="00E54A36" w:rsidRPr="00E54A36" w:rsidRDefault="00E54A36" w:rsidP="00E54A36">
      <w:pPr>
        <w:rPr>
          <w:rFonts w:ascii="Times New Roman" w:hAnsi="Times New Roman" w:cs="Times New Roman"/>
          <w:sz w:val="24"/>
          <w:szCs w:val="24"/>
        </w:rPr>
      </w:pPr>
      <w:r w:rsidRPr="00E54A36">
        <w:rPr>
          <w:rFonts w:ascii="Times New Roman" w:hAnsi="Times New Roman" w:cs="Times New Roman"/>
          <w:sz w:val="24"/>
          <w:szCs w:val="24"/>
        </w:rPr>
        <w:t xml:space="preserve">Overall, this dashboard tells the story that while the transaction system is generally efficient and smooth, </w:t>
      </w:r>
      <w:r w:rsidRPr="00E54A36">
        <w:rPr>
          <w:rFonts w:ascii="Times New Roman" w:hAnsi="Times New Roman" w:cs="Times New Roman"/>
          <w:b/>
          <w:bCs/>
          <w:sz w:val="24"/>
          <w:szCs w:val="24"/>
        </w:rPr>
        <w:t>customer experience is heavily influenced by fast approvals and preferred payment methods</w:t>
      </w:r>
      <w:r w:rsidRPr="00E54A36">
        <w:rPr>
          <w:rFonts w:ascii="Times New Roman" w:hAnsi="Times New Roman" w:cs="Times New Roman"/>
          <w:sz w:val="24"/>
          <w:szCs w:val="24"/>
        </w:rPr>
        <w:t>. Improving slower approval cases and supporting dominant payment modes can further enhance transaction success and customer satisfaction.</w:t>
      </w:r>
    </w:p>
    <w:p w14:paraId="22ABD4DB" w14:textId="77777777" w:rsidR="000B7227" w:rsidRPr="000B7227" w:rsidRDefault="000B7227" w:rsidP="000B7227">
      <w:pPr>
        <w:rPr>
          <w:rFonts w:ascii="Times New Roman" w:hAnsi="Times New Roman" w:cs="Times New Roman"/>
          <w:sz w:val="24"/>
          <w:szCs w:val="24"/>
        </w:rPr>
      </w:pPr>
    </w:p>
    <w:p w14:paraId="440104E7" w14:textId="77777777" w:rsidR="000B7227" w:rsidRPr="000B7227" w:rsidRDefault="000B7227" w:rsidP="000B7227">
      <w:pPr>
        <w:rPr>
          <w:rFonts w:ascii="Times New Roman" w:hAnsi="Times New Roman" w:cs="Times New Roman"/>
          <w:sz w:val="24"/>
          <w:szCs w:val="24"/>
        </w:rPr>
      </w:pPr>
    </w:p>
    <w:sectPr w:rsidR="000B7227" w:rsidRPr="000B7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27"/>
    <w:rsid w:val="000B7227"/>
    <w:rsid w:val="00727E5E"/>
    <w:rsid w:val="00AA37C3"/>
    <w:rsid w:val="00B42846"/>
    <w:rsid w:val="00E54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C89A"/>
  <w15:chartTrackingRefBased/>
  <w15:docId w15:val="{D2D37243-E001-48A3-A4A2-1774383B3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227"/>
    <w:rPr>
      <w:rFonts w:eastAsiaTheme="majorEastAsia" w:cstheme="majorBidi"/>
      <w:color w:val="272727" w:themeColor="text1" w:themeTint="D8"/>
    </w:rPr>
  </w:style>
  <w:style w:type="paragraph" w:styleId="Title">
    <w:name w:val="Title"/>
    <w:basedOn w:val="Normal"/>
    <w:next w:val="Normal"/>
    <w:link w:val="TitleChar"/>
    <w:uiPriority w:val="10"/>
    <w:qFormat/>
    <w:rsid w:val="000B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227"/>
    <w:pPr>
      <w:spacing w:before="160"/>
      <w:jc w:val="center"/>
    </w:pPr>
    <w:rPr>
      <w:i/>
      <w:iCs/>
      <w:color w:val="404040" w:themeColor="text1" w:themeTint="BF"/>
    </w:rPr>
  </w:style>
  <w:style w:type="character" w:customStyle="1" w:styleId="QuoteChar">
    <w:name w:val="Quote Char"/>
    <w:basedOn w:val="DefaultParagraphFont"/>
    <w:link w:val="Quote"/>
    <w:uiPriority w:val="29"/>
    <w:rsid w:val="000B7227"/>
    <w:rPr>
      <w:i/>
      <w:iCs/>
      <w:color w:val="404040" w:themeColor="text1" w:themeTint="BF"/>
    </w:rPr>
  </w:style>
  <w:style w:type="paragraph" w:styleId="ListParagraph">
    <w:name w:val="List Paragraph"/>
    <w:basedOn w:val="Normal"/>
    <w:uiPriority w:val="34"/>
    <w:qFormat/>
    <w:rsid w:val="000B7227"/>
    <w:pPr>
      <w:ind w:left="720"/>
      <w:contextualSpacing/>
    </w:pPr>
  </w:style>
  <w:style w:type="character" w:styleId="IntenseEmphasis">
    <w:name w:val="Intense Emphasis"/>
    <w:basedOn w:val="DefaultParagraphFont"/>
    <w:uiPriority w:val="21"/>
    <w:qFormat/>
    <w:rsid w:val="000B7227"/>
    <w:rPr>
      <w:i/>
      <w:iCs/>
      <w:color w:val="2F5496" w:themeColor="accent1" w:themeShade="BF"/>
    </w:rPr>
  </w:style>
  <w:style w:type="paragraph" w:styleId="IntenseQuote">
    <w:name w:val="Intense Quote"/>
    <w:basedOn w:val="Normal"/>
    <w:next w:val="Normal"/>
    <w:link w:val="IntenseQuoteChar"/>
    <w:uiPriority w:val="30"/>
    <w:qFormat/>
    <w:rsid w:val="000B7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227"/>
    <w:rPr>
      <w:i/>
      <w:iCs/>
      <w:color w:val="2F5496" w:themeColor="accent1" w:themeShade="BF"/>
    </w:rPr>
  </w:style>
  <w:style w:type="character" w:styleId="IntenseReference">
    <w:name w:val="Intense Reference"/>
    <w:basedOn w:val="DefaultParagraphFont"/>
    <w:uiPriority w:val="32"/>
    <w:qFormat/>
    <w:rsid w:val="000B72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anshuniyal13@outlook.com</dc:creator>
  <cp:keywords/>
  <dc:description/>
  <cp:lastModifiedBy>anshuniyal13@outlook.com</cp:lastModifiedBy>
  <cp:revision>1</cp:revision>
  <dcterms:created xsi:type="dcterms:W3CDTF">2026-03-17T08:24:00Z</dcterms:created>
  <dcterms:modified xsi:type="dcterms:W3CDTF">2026-03-17T08:35:00Z</dcterms:modified>
</cp:coreProperties>
</file>