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000000" w:sz="6"/>
          <w:left w:val="single" w:color="000000" w:sz="6"/>
          <w:bottom w:val="single" w:color="000000" w:sz="6"/>
          <w:right w:val="single" w:color="000000" w:sz="6"/>
          <w:insideH w:val="single" w:color="auto" w:sz="4"/>
          <w:insideV w:val="single" w:color="auto" w:sz="4"/>
        </w:tblBorders>
      </w:tblPr>
      <w:tblGrid>
        <w:gridCol w:w="2303"/>
        <w:gridCol w:w="2930"/>
        <w:gridCol w:w="2093"/>
        <w:gridCol w:w="3140"/>
      </w:tblGrid>
      <w:tr>
        <w:tc>
          <w:tcPr>
            <w:tcW w:type="pct" w:w="11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bCs/>
                <w:i w:val="false"/>
                <w:iCs w:val="false"/>
                <w:color w:val="000000"/>
                <w:sz w:val="20"/>
                <w:szCs w:val="20"/>
              </w:rPr>
              <w:t xml:space="preserve">Student ID :</w:t>
            </w:r>
          </w:p>
        </w:tc>
        <w:tc>
          <w:tcPr>
            <w:tcW w:type="pct" w:w="14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bCs/>
                <w:i w:val="false"/>
                <w:iCs w:val="false"/>
                <w:color w:val="000000"/>
                <w:sz w:val="20"/>
                <w:szCs w:val="20"/>
              </w:rPr>
              <w:t xml:space="preserve">24CS095</w:t>
            </w:r>
          </w:p>
        </w:tc>
        <w:tc>
          <w:tcPr>
            <w:tcW w:type="pct" w:w="10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bCs/>
                <w:i w:val="false"/>
                <w:iCs w:val="false"/>
                <w:color w:val="000000"/>
                <w:sz w:val="20"/>
                <w:szCs w:val="20"/>
              </w:rPr>
              <w:t xml:space="preserve">Student Name:</w:t>
            </w:r>
          </w:p>
        </w:tc>
        <w:tc>
          <w:tcPr>
            <w:tcW w:type="pct" w:w="15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bCs/>
                <w:i w:val="false"/>
                <w:iCs w:val="false"/>
                <w:color w:val="000000"/>
                <w:sz w:val="20"/>
                <w:szCs w:val="20"/>
              </w:rPr>
              <w:t xml:space="preserve">Ansh Sojitra</w:t>
            </w:r>
          </w:p>
        </w:tc>
      </w:tr>
      <w:tr>
        <w:tc>
          <w:tcPr>
            <w:tcW w:type="pct" w:w="11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bCs/>
                <w:i w:val="false"/>
                <w:iCs w:val="false"/>
                <w:color w:val="000000"/>
                <w:sz w:val="20"/>
                <w:szCs w:val="20"/>
              </w:rPr>
              <w:t xml:space="preserve">Subject code &amp;
Name :</w:t>
            </w:r>
          </w:p>
        </w:tc>
        <w:tc>
          <w:tcPr>
            <w:tcW w:type="pct" w:w="14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val="false"/>
                <w:bCs w:val="false"/>
                <w:i w:val="false"/>
                <w:iCs w:val="false"/>
                <w:color w:val="000000"/>
                <w:sz w:val="20"/>
                <w:szCs w:val="20"/>
              </w:rPr>
              <w:t xml:space="preserve">ITUE301: Advanced Web
Development
Frameworks</w:t>
            </w:r>
          </w:p>
        </w:tc>
        <w:tc>
          <w:tcPr>
            <w:tcW w:type="pct" w:w="10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bCs/>
                <w:i w:val="false"/>
                <w:iCs w:val="false"/>
                <w:color w:val="000000"/>
                <w:sz w:val="20"/>
                <w:szCs w:val="20"/>
              </w:rPr>
              <w:t xml:space="preserve">Practical :</w:t>
            </w:r>
          </w:p>
        </w:tc>
        <w:tc>
          <w:tcPr>
            <w:tcW w:type="pct" w:w="15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628"/>
              <w:gridCol w:w="1413"/>
              <w:gridCol w:w="1099"/>
            </w:tblGrid>
            <w:tr>
              <w:tc>
                <w:tcPr>
                  <w:tcW w:type="pct" w:w="1000"/>
                  <w:tcBorders>
                    <w:top w:val="none" w:color="auto" w:sz="0"/>
                    <w:left w:val="none" w:color="auto" w:sz="0"/>
                    <w:bottom w:val="none" w:color="auto" w:sz="0"/>
                    <w:right w:val="none" w:color="auto" w:sz="0"/>
                  </w:tcBorders>
                </w:tcPr>
                <w:p>
                  <w:pPr>
                    <w:spacing w:after="30" w:before="30"/>
                    <w:jc w:val="left"/>
                  </w:pPr>
                  <w:r>
                    <w:rPr>
                      <w:rFonts w:ascii="Calibri" w:cs="Calibri" w:eastAsia="Calibri" w:hAnsi="Calibri"/>
                      <w:b/>
                      <w:bCs/>
                      <w:i w:val="false"/>
                      <w:iCs w:val="false"/>
                      <w:color w:val="000000"/>
                      <w:sz w:val="20"/>
                      <w:szCs w:val="20"/>
                    </w:rPr>
                    <w:t xml:space="preserve">11</w:t>
                  </w:r>
                </w:p>
              </w:tc>
              <w:tc>
                <w:tcPr>
                  <w:tcW w:type="pct" w:w="2250"/>
                  <w:tcBorders>
                    <w:top w:val="none" w:color="auto" w:sz="0"/>
                    <w:left w:val="none" w:color="auto" w:sz="0"/>
                    <w:bottom w:val="none" w:color="auto" w:sz="0"/>
                    <w:right w:val="none" w:color="auto" w:sz="0"/>
                  </w:tcBorders>
                </w:tcPr>
                <w:p>
                  <w:pPr>
                    <w:spacing w:after="30" w:before="30"/>
                    <w:jc w:val="left"/>
                  </w:pPr>
                  <w:r>
                    <w:rPr>
                      <w:rFonts w:ascii="Calibri" w:cs="Calibri" w:eastAsia="Calibri" w:hAnsi="Calibri"/>
                      <w:b/>
                      <w:bCs/>
                      <w:i w:val="false"/>
                      <w:iCs w:val="false"/>
                      <w:color w:val="000000"/>
                      <w:sz w:val="20"/>
                      <w:szCs w:val="20"/>
                    </w:rPr>
                    <w:t xml:space="preserve">Academic Year :</w:t>
                  </w:r>
                </w:p>
              </w:tc>
              <w:tc>
                <w:tcPr>
                  <w:tcW w:type="pct" w:w="1750"/>
                  <w:tcBorders>
                    <w:top w:val="none" w:color="auto" w:sz="0"/>
                    <w:left w:val="none" w:color="auto" w:sz="0"/>
                    <w:bottom w:val="none" w:color="auto" w:sz="0"/>
                    <w:right w:val="none" w:color="auto" w:sz="0"/>
                  </w:tcBorders>
                </w:tcPr>
                <w:p>
                  <w:pPr>
                    <w:spacing w:after="30" w:before="30"/>
                    <w:jc w:val="left"/>
                  </w:pPr>
                  <w:r>
                    <w:rPr>
                      <w:rFonts w:ascii="Calibri" w:cs="Calibri" w:eastAsia="Calibri" w:hAnsi="Calibri"/>
                      <w:b/>
                      <w:bCs/>
                      <w:i w:val="false"/>
                      <w:iCs w:val="false"/>
                      <w:color w:val="000000"/>
                      <w:sz w:val="20"/>
                      <w:szCs w:val="20"/>
                    </w:rPr>
                    <w:t xml:space="preserve">2026-27</w:t>
                  </w:r>
                </w:p>
              </w:tc>
            </w:tr>
          </w:tbl>
          <w:p/>
        </w:tc>
      </w:tr>
    </w:tbl>
    <w:p>
      <w:pPr>
        <w:spacing w:after="60" w:before="120"/>
      </w:pPr>
    </w:p>
    <w:tbl>
      <w:tblPr>
        <w:tblW w:type="pct" w:w="5000"/>
        <w:tblBorders>
          <w:top w:val="single" w:color="000000" w:sz="6"/>
          <w:left w:val="single" w:color="000000" w:sz="6"/>
          <w:bottom w:val="single" w:color="000000" w:sz="6"/>
          <w:right w:val="single" w:color="000000" w:sz="6"/>
          <w:insideH w:val="single" w:color="auto" w:sz="4"/>
          <w:insideV w:val="single" w:color="auto" w:sz="4"/>
        </w:tblBorders>
      </w:tblPr>
      <w:tblGrid>
        <w:gridCol w:w="10466"/>
      </w:tblGrid>
      <w:tr>
        <w:tc>
          <w:tcPr>
            <w:tcW w:type="pct" w:w="50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center"/>
            </w:pPr>
            <w:r>
              <w:rPr>
                <w:rFonts w:ascii="Calibri" w:cs="Calibri" w:eastAsia="Calibri" w:hAnsi="Calibri"/>
                <w:b/>
                <w:bCs/>
                <w:i w:val="false"/>
                <w:iCs w:val="false"/>
                <w:color w:val="000000"/>
                <w:sz w:val="24"/>
                <w:szCs w:val="24"/>
              </w:rPr>
              <w:t xml:space="preserve">Task - 11</w:t>
            </w:r>
          </w:p>
        </w:tc>
      </w:tr>
      <w:tr>
        <w:tc>
          <w:tcPr>
            <w:tcW w:type="pct" w:w="50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center"/>
            </w:pPr>
            <w:r>
              <w:rPr>
                <w:rFonts w:ascii="Calibri" w:cs="Calibri" w:eastAsia="Calibri" w:hAnsi="Calibri"/>
                <w:b/>
                <w:bCs/>
                <w:i w:val="false"/>
                <w:iCs w:val="false"/>
                <w:color w:val="000000"/>
                <w:sz w:val="22"/>
                <w:szCs w:val="22"/>
              </w:rPr>
              <w:t xml:space="preserve">Aim</w:t>
            </w:r>
          </w:p>
        </w:tc>
      </w:tr>
      <w:tr>
        <w:tc>
          <w:tcPr>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both"/>
            </w:pPr>
            <w:r>
              <w:rPr>
                <w:rFonts w:ascii="Calibri" w:cs="Calibri" w:eastAsia="Calibri" w:hAnsi="Calibri"/>
                <w:b w:val="false"/>
                <w:bCs w:val="false"/>
                <w:i w:val="false"/>
                <w:iCs w:val="false"/>
                <w:color w:val="000000"/>
                <w:sz w:val="20"/>
                <w:szCs w:val="20"/>
              </w:rPr>
              <w:t xml:space="preserve">To containerize the full-stack TaskFlow MERN application (React frontend, Express backend, and MongoDB database) using Docker and Docker Compose, configure multi-stage production Dockerfiles with non-root security and health checks, implement internal container networking with DNS service discovery, configure persistent named volumes for database durability across container lifecycles, and document the critical architectural boundary between container-internal networking and browser-accessible host ports.</w:t>
            </w:r>
          </w:p>
        </w:tc>
      </w:tr>
      <w:tr>
        <w:tc>
          <w:tcPr>
            <w:tcW w:type="pct" w:w="50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center"/>
            </w:pPr>
            <w:r>
              <w:rPr>
                <w:rFonts w:ascii="Calibri" w:cs="Calibri" w:eastAsia="Calibri" w:hAnsi="Calibri"/>
                <w:b/>
                <w:bCs/>
                <w:i w:val="false"/>
                <w:iCs w:val="false"/>
                <w:color w:val="000000"/>
                <w:sz w:val="22"/>
                <w:szCs w:val="22"/>
              </w:rPr>
              <w:t xml:space="preserve">Code</w:t>
            </w:r>
          </w:p>
        </w:tc>
      </w:tr>
      <w:tr>
        <w:tc>
          <w:tcPr>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left"/>
            </w:pPr>
            <w:r>
              <w:rPr>
                <w:rFonts w:ascii="Calibri" w:cs="Calibri" w:eastAsia="Calibri" w:hAnsi="Calibri"/>
                <w:b/>
                <w:bCs/>
                <w:i w:val="false"/>
                <w:iCs w:val="false"/>
                <w:color w:val="000000"/>
                <w:sz w:val="19"/>
                <w:szCs w:val="19"/>
              </w:rPr>
              <w:t xml:space="preserve">GitHub Link / Repository Link: https://github.com/AnshSojitra/fullstack-task-manager-charusat-24cs095
Branch: main (origin/main) | Latest commit: build: containerize full stack with Docker Compose | Verified locally &amp; pushed</w:t>
            </w:r>
          </w:p>
          <w:p>
            <w:pPr>
              <w:spacing w:after="40" w:before="60"/>
            </w:pPr>
          </w:p>
          <w:p>
            <w:pPr>
              <w:spacing w:after="30" w:before="30"/>
              <w:jc w:val="left"/>
            </w:pPr>
            <w:r>
              <w:rPr>
                <w:rFonts w:ascii="Calibri" w:cs="Calibri" w:eastAsia="Calibri" w:hAnsi="Calibri"/>
                <w:b/>
                <w:bCs/>
                <w:i w:val="false"/>
                <w:iCs w:val="false"/>
                <w:color w:val="000000"/>
                <w:sz w:val="20"/>
                <w:szCs w:val="20"/>
              </w:rPr>
              <w:t xml:space="preserve">Key Implementation Highlights:</w:t>
            </w:r>
          </w:p>
          <w:p>
            <w:pPr>
              <w:spacing w:after="30" w:before="30"/>
              <w:jc w:val="both"/>
            </w:pPr>
            <w:r>
              <w:rPr>
                <w:rFonts w:ascii="Calibri" w:cs="Calibri" w:eastAsia="Calibri" w:hAnsi="Calibri"/>
                <w:b w:val="false"/>
                <w:bCs w:val="false"/>
                <w:i w:val="false"/>
                <w:iCs w:val="false"/>
                <w:color w:val="000000"/>
                <w:sz w:val="19"/>
                <w:szCs w:val="19"/>
              </w:rPr>
              <w:t xml:space="preserve">1. Hardened Backend Dockerfile (backend/Dockerfile): Built a multi-stage Node.js 20 Alpine image utilizing dumb-init for POSIX signal management, npm ci caching, an automated healthcheck, and running under unprivileged user `node` for host security.
2. Optimized Frontend Dockerfile (frontend/Dockerfile &amp; nginx.conf): Multi-stage build compiling React 19 Vite SPA assets into static bundles served by Nginx 1.27 Alpine with gzip compression and client-side routing fallback (try_files).
3. Multi-Container Orchestration (docker-compose.yml): Unified mongodb (mongo:7.0), backend, and frontend under an isolated bridge network (`taskflow_internal_network`) with strict dependency healthchecks (condition: service_healthy).
4. Service-to-Service DNS Resolution: Backend connects via `mongodb://mongodb:27017/task_manager` using internal Docker Compose DNS rather than localhost.
5. Persistent Data Volume: Configured named volume `taskmanager_mongodb_data` mapped to `/data/db`, ensuring full CRUD persistence through container restarts, stops, and rebuilds.
6. Architectural Networking Boundary Clarified: Documented the distinction between container-internal DNS (used for backend -&gt; MongoDB) and browser-facing host endpoints (client browser runs on the host and calls http://localhost:5000).</w:t>
            </w:r>
          </w:p>
          <w:p>
            <w:pPr>
              <w:spacing w:after="40" w:before="80"/>
            </w:pPr>
          </w:p>
          <w:p>
            <w:pPr>
              <w:spacing w:after="15" w:before="15"/>
            </w:pPr>
            <w:r>
              <w:rPr>
                <w:rFonts w:ascii="Consolas" w:cs="Consolas" w:eastAsia="Consolas" w:hAnsi="Consolas"/>
                <w:b/>
                <w:bCs/>
                <w:color w:val="1E293B"/>
                <w:sz w:val="17"/>
                <w:szCs w:val="17"/>
              </w:rPr>
              <w:t xml:space="preserve">// backend/Dockerfile - Multi-stage Production Container</w:t>
            </w:r>
          </w:p>
          <w:p>
            <w:pPr>
              <w:spacing w:after="15" w:before="15"/>
            </w:pPr>
            <w:r>
              <w:rPr>
                <w:rFonts w:ascii="Consolas" w:cs="Consolas" w:eastAsia="Consolas" w:hAnsi="Consolas"/>
                <w:b w:val="false"/>
                <w:bCs w:val="false"/>
                <w:color w:val="1E293B"/>
                <w:sz w:val="17"/>
                <w:szCs w:val="17"/>
              </w:rPr>
              <w:t xml:space="preserve">FROM node:20-alpine AS runner</w:t>
            </w:r>
          </w:p>
          <w:p>
            <w:pPr>
              <w:spacing w:after="15" w:before="15"/>
            </w:pPr>
            <w:r>
              <w:rPr>
                <w:rFonts w:ascii="Consolas" w:cs="Consolas" w:eastAsia="Consolas" w:hAnsi="Consolas"/>
                <w:b w:val="false"/>
                <w:bCs w:val="false"/>
                <w:color w:val="1E293B"/>
                <w:sz w:val="17"/>
                <w:szCs w:val="17"/>
              </w:rPr>
              <w:t xml:space="preserve">WORKDIR /app</w:t>
            </w:r>
          </w:p>
          <w:p>
            <w:pPr>
              <w:spacing w:after="15" w:before="15"/>
            </w:pPr>
            <w:r>
              <w:rPr>
                <w:rFonts w:ascii="Consolas" w:cs="Consolas" w:eastAsia="Consolas" w:hAnsi="Consolas"/>
                <w:b w:val="false"/>
                <w:bCs w:val="false"/>
                <w:color w:val="1E293B"/>
                <w:sz w:val="17"/>
                <w:szCs w:val="17"/>
              </w:rPr>
              <w:t xml:space="preserve">COPY --from=dependencies /app/node_modules ./node_modules</w:t>
            </w:r>
          </w:p>
          <w:p>
            <w:pPr>
              <w:spacing w:after="15" w:before="15"/>
            </w:pPr>
            <w:r>
              <w:rPr>
                <w:rFonts w:ascii="Consolas" w:cs="Consolas" w:eastAsia="Consolas" w:hAnsi="Consolas"/>
                <w:b w:val="false"/>
                <w:bCs w:val="false"/>
                <w:color w:val="1E293B"/>
                <w:sz w:val="17"/>
                <w:szCs w:val="17"/>
              </w:rPr>
              <w:t xml:space="preserve">COPY app.js config/ middleware/ models/ routes/ utils/ events/ ./</w:t>
            </w:r>
          </w:p>
          <w:p>
            <w:pPr>
              <w:spacing w:after="15" w:before="15"/>
            </w:pPr>
            <w:r>
              <w:rPr>
                <w:rFonts w:ascii="Consolas" w:cs="Consolas" w:eastAsia="Consolas" w:hAnsi="Consolas"/>
                <w:b w:val="false"/>
                <w:bCs w:val="false"/>
                <w:color w:val="1E293B"/>
                <w:sz w:val="17"/>
                <w:szCs w:val="17"/>
              </w:rPr>
              <w:t xml:space="preserve">USER node</w:t>
            </w:r>
          </w:p>
          <w:p>
            <w:pPr>
              <w:spacing w:after="15" w:before="15"/>
            </w:pPr>
            <w:r>
              <w:rPr>
                <w:rFonts w:ascii="Consolas" w:cs="Consolas" w:eastAsia="Consolas" w:hAnsi="Consolas"/>
                <w:b w:val="false"/>
                <w:bCs w:val="false"/>
                <w:color w:val="1E293B"/>
                <w:sz w:val="17"/>
                <w:szCs w:val="17"/>
              </w:rPr>
              <w:t xml:space="preserve">EXPOSE 5000</w:t>
            </w:r>
          </w:p>
          <w:p>
            <w:pPr>
              <w:spacing w:after="15" w:before="15"/>
            </w:pPr>
            <w:r>
              <w:rPr>
                <w:rFonts w:ascii="Consolas" w:cs="Consolas" w:eastAsia="Consolas" w:hAnsi="Consolas"/>
                <w:b w:val="false"/>
                <w:bCs w:val="false"/>
                <w:color w:val="1E293B"/>
                <w:sz w:val="17"/>
                <w:szCs w:val="17"/>
              </w:rPr>
              <w:t xml:space="preserve">HEALTHCHECK --interval=15s --timeout=5s CMD node -e "fetch('http://localhost:5000/api').then(r=&gt;process.exit(r.ok?0:1))"</w:t>
            </w:r>
          </w:p>
          <w:p>
            <w:pPr>
              <w:spacing w:after="15" w:before="15"/>
            </w:pPr>
            <w:r>
              <w:rPr>
                <w:rFonts w:ascii="Consolas" w:cs="Consolas" w:eastAsia="Consolas" w:hAnsi="Consolas"/>
                <w:b w:val="false"/>
                <w:bCs w:val="false"/>
                <w:color w:val="1E293B"/>
                <w:sz w:val="17"/>
                <w:szCs w:val="17"/>
              </w:rPr>
              <w:t xml:space="preserve">CMD ["dumb-init", "node", "app.js"]</w:t>
            </w:r>
          </w:p>
          <w:p>
            <w:pPr>
              <w:spacing w:after="40" w:before="60"/>
            </w:pPr>
          </w:p>
          <w:p>
            <w:pPr>
              <w:spacing w:after="15" w:before="15"/>
            </w:pPr>
            <w:r>
              <w:rPr>
                <w:rFonts w:ascii="Consolas" w:cs="Consolas" w:eastAsia="Consolas" w:hAnsi="Consolas"/>
                <w:b/>
                <w:bCs/>
                <w:color w:val="1E293B"/>
                <w:sz w:val="17"/>
                <w:szCs w:val="17"/>
              </w:rPr>
              <w:t xml:space="preserve">// frontend/Dockerfile - Vite Build + Nginx Runner</w:t>
            </w:r>
          </w:p>
          <w:p>
            <w:pPr>
              <w:spacing w:after="15" w:before="15"/>
            </w:pPr>
            <w:r>
              <w:rPr>
                <w:rFonts w:ascii="Consolas" w:cs="Consolas" w:eastAsia="Consolas" w:hAnsi="Consolas"/>
                <w:b w:val="false"/>
                <w:bCs w:val="false"/>
                <w:color w:val="1E293B"/>
                <w:sz w:val="17"/>
                <w:szCs w:val="17"/>
              </w:rPr>
              <w:t xml:space="preserve">FROM node:20-alpine AS builder</w:t>
            </w:r>
          </w:p>
          <w:p>
            <w:pPr>
              <w:spacing w:after="15" w:before="15"/>
            </w:pPr>
            <w:r>
              <w:rPr>
                <w:rFonts w:ascii="Consolas" w:cs="Consolas" w:eastAsia="Consolas" w:hAnsi="Consolas"/>
                <w:b w:val="false"/>
                <w:bCs w:val="false"/>
                <w:color w:val="1E293B"/>
                <w:sz w:val="17"/>
                <w:szCs w:val="17"/>
              </w:rPr>
              <w:t xml:space="preserve">ARG VITE_API_BASE_URL=http://localhost:5000</w:t>
            </w:r>
          </w:p>
          <w:p>
            <w:pPr>
              <w:spacing w:after="15" w:before="15"/>
            </w:pPr>
            <w:r>
              <w:rPr>
                <w:rFonts w:ascii="Consolas" w:cs="Consolas" w:eastAsia="Consolas" w:hAnsi="Consolas"/>
                <w:b w:val="false"/>
                <w:bCs w:val="false"/>
                <w:color w:val="1E293B"/>
                <w:sz w:val="17"/>
                <w:szCs w:val="17"/>
              </w:rPr>
              <w:t xml:space="preserve">COPY package*.json ./ &amp;&amp; RUN npm ci &amp;&amp; COPY . ./ &amp;&amp; RUN npm run build</w:t>
            </w:r>
          </w:p>
          <w:p>
            <w:pPr>
              <w:spacing w:after="15" w:before="15"/>
            </w:pPr>
            <w:r>
              <w:rPr>
                <w:rFonts w:ascii="Consolas" w:cs="Consolas" w:eastAsia="Consolas" w:hAnsi="Consolas"/>
                <w:b w:val="false"/>
                <w:bCs w:val="false"/>
                <w:color w:val="1E293B"/>
                <w:sz w:val="17"/>
                <w:szCs w:val="17"/>
              </w:rPr>
              <w:t xml:space="preserve">FROM nginx:1.27-alpine AS runner</w:t>
            </w:r>
          </w:p>
          <w:p>
            <w:pPr>
              <w:spacing w:after="15" w:before="15"/>
            </w:pPr>
            <w:r>
              <w:rPr>
                <w:rFonts w:ascii="Consolas" w:cs="Consolas" w:eastAsia="Consolas" w:hAnsi="Consolas"/>
                <w:b w:val="false"/>
                <w:bCs w:val="false"/>
                <w:color w:val="1E293B"/>
                <w:sz w:val="17"/>
                <w:szCs w:val="17"/>
              </w:rPr>
              <w:t xml:space="preserve">COPY --from=builder /app/dist /usr/share/nginx/html</w:t>
            </w:r>
          </w:p>
          <w:p>
            <w:pPr>
              <w:spacing w:after="15" w:before="15"/>
            </w:pPr>
            <w:r>
              <w:rPr>
                <w:rFonts w:ascii="Consolas" w:cs="Consolas" w:eastAsia="Consolas" w:hAnsi="Consolas"/>
                <w:b w:val="false"/>
                <w:bCs w:val="false"/>
                <w:color w:val="1E293B"/>
                <w:sz w:val="17"/>
                <w:szCs w:val="17"/>
              </w:rPr>
              <w:t xml:space="preserve">COPY nginx.conf /etc/nginx/conf.d/default.conf</w:t>
            </w:r>
          </w:p>
          <w:p>
            <w:pPr>
              <w:spacing w:after="15" w:before="15"/>
            </w:pPr>
            <w:r>
              <w:rPr>
                <w:rFonts w:ascii="Consolas" w:cs="Consolas" w:eastAsia="Consolas" w:hAnsi="Consolas"/>
                <w:b w:val="false"/>
                <w:bCs w:val="false"/>
                <w:color w:val="1E293B"/>
                <w:sz w:val="17"/>
                <w:szCs w:val="17"/>
              </w:rPr>
              <w:t xml:space="preserve">EXPOSE 80</w:t>
            </w:r>
          </w:p>
          <w:p>
            <w:pPr>
              <w:spacing w:after="40" w:before="60"/>
            </w:pPr>
          </w:p>
          <w:p>
            <w:pPr>
              <w:spacing w:after="15" w:before="15"/>
            </w:pPr>
            <w:r>
              <w:rPr>
                <w:rFonts w:ascii="Consolas" w:cs="Consolas" w:eastAsia="Consolas" w:hAnsi="Consolas"/>
                <w:b/>
                <w:bCs/>
                <w:color w:val="1E293B"/>
                <w:sz w:val="17"/>
                <w:szCs w:val="17"/>
              </w:rPr>
              <w:t xml:space="preserve">// docker-compose.yml - Full-Stack Orchestration</w:t>
            </w:r>
          </w:p>
          <w:p>
            <w:pPr>
              <w:spacing w:after="15" w:before="15"/>
            </w:pPr>
            <w:r>
              <w:rPr>
                <w:rFonts w:ascii="Consolas" w:cs="Consolas" w:eastAsia="Consolas" w:hAnsi="Consolas"/>
                <w:b w:val="false"/>
                <w:bCs w:val="false"/>
                <w:color w:val="1E293B"/>
                <w:sz w:val="17"/>
                <w:szCs w:val="17"/>
              </w:rPr>
              <w:t xml:space="preserve">services:</w:t>
            </w:r>
          </w:p>
          <w:p>
            <w:pPr>
              <w:spacing w:after="15" w:before="15"/>
            </w:pPr>
            <w:r>
              <w:rPr>
                <w:rFonts w:ascii="Consolas" w:cs="Consolas" w:eastAsia="Consolas" w:hAnsi="Consolas"/>
                <w:b w:val="false"/>
                <w:bCs w:val="false"/>
                <w:color w:val="1E293B"/>
                <w:sz w:val="17"/>
                <w:szCs w:val="17"/>
              </w:rPr>
              <w:t xml:space="preserve">  mongodb:</w:t>
            </w:r>
          </w:p>
          <w:p>
            <w:pPr>
              <w:spacing w:after="15" w:before="15"/>
            </w:pPr>
            <w:r>
              <w:rPr>
                <w:rFonts w:ascii="Consolas" w:cs="Consolas" w:eastAsia="Consolas" w:hAnsi="Consolas"/>
                <w:b w:val="false"/>
                <w:bCs w:val="false"/>
                <w:color w:val="1E293B"/>
                <w:sz w:val="17"/>
                <w:szCs w:val="17"/>
              </w:rPr>
              <w:t xml:space="preserve">    image: mongo:7.0</w:t>
            </w:r>
          </w:p>
          <w:p>
            <w:pPr>
              <w:spacing w:after="15" w:before="15"/>
            </w:pPr>
            <w:r>
              <w:rPr>
                <w:rFonts w:ascii="Consolas" w:cs="Consolas" w:eastAsia="Consolas" w:hAnsi="Consolas"/>
                <w:b w:val="false"/>
                <w:bCs w:val="false"/>
                <w:color w:val="1E293B"/>
                <w:sz w:val="17"/>
                <w:szCs w:val="17"/>
              </w:rPr>
              <w:t xml:space="preserve">    volumes: [ mongodb_data:/data/db ]</w:t>
            </w:r>
          </w:p>
          <w:p>
            <w:pPr>
              <w:spacing w:after="15" w:before="15"/>
            </w:pPr>
            <w:r>
              <w:rPr>
                <w:rFonts w:ascii="Consolas" w:cs="Consolas" w:eastAsia="Consolas" w:hAnsi="Consolas"/>
                <w:b w:val="false"/>
                <w:bCs w:val="false"/>
                <w:color w:val="1E293B"/>
                <w:sz w:val="17"/>
                <w:szCs w:val="17"/>
              </w:rPr>
              <w:t xml:space="preserve">    healthcheck: { test: ["CMD", "mongosh", "--eval", "db.adminCommand('ping')"] }</w:t>
            </w:r>
          </w:p>
          <w:p>
            <w:pPr>
              <w:spacing w:after="15" w:before="15"/>
            </w:pPr>
            <w:r>
              <w:rPr>
                <w:rFonts w:ascii="Consolas" w:cs="Consolas" w:eastAsia="Consolas" w:hAnsi="Consolas"/>
                <w:b w:val="false"/>
                <w:bCs w:val="false"/>
                <w:color w:val="1E293B"/>
                <w:sz w:val="17"/>
                <w:szCs w:val="17"/>
              </w:rPr>
              <w:t xml:space="preserve">  backend:</w:t>
            </w:r>
          </w:p>
          <w:p>
            <w:pPr>
              <w:spacing w:after="15" w:before="15"/>
            </w:pPr>
            <w:r>
              <w:rPr>
                <w:rFonts w:ascii="Consolas" w:cs="Consolas" w:eastAsia="Consolas" w:hAnsi="Consolas"/>
                <w:b w:val="false"/>
                <w:bCs w:val="false"/>
                <w:color w:val="1E293B"/>
                <w:sz w:val="17"/>
                <w:szCs w:val="17"/>
              </w:rPr>
              <w:t xml:space="preserve">    build: ./backend</w:t>
            </w:r>
          </w:p>
          <w:p>
            <w:pPr>
              <w:spacing w:after="15" w:before="15"/>
            </w:pPr>
            <w:r>
              <w:rPr>
                <w:rFonts w:ascii="Consolas" w:cs="Consolas" w:eastAsia="Consolas" w:hAnsi="Consolas"/>
                <w:b w:val="false"/>
                <w:bCs w:val="false"/>
                <w:color w:val="1E293B"/>
                <w:sz w:val="17"/>
                <w:szCs w:val="17"/>
              </w:rPr>
              <w:t xml:space="preserve">    environment: [ MONGO_URI=mongodb://mongodb:27017/task_manager ]</w:t>
            </w:r>
          </w:p>
          <w:p>
            <w:pPr>
              <w:spacing w:after="15" w:before="15"/>
            </w:pPr>
            <w:r>
              <w:rPr>
                <w:rFonts w:ascii="Consolas" w:cs="Consolas" w:eastAsia="Consolas" w:hAnsi="Consolas"/>
                <w:b w:val="false"/>
                <w:bCs w:val="false"/>
                <w:color w:val="1E293B"/>
                <w:sz w:val="17"/>
                <w:szCs w:val="17"/>
              </w:rPr>
              <w:t xml:space="preserve">    depends_on: { mongodb: { condition: service_healthy } }</w:t>
            </w:r>
          </w:p>
          <w:p>
            <w:pPr>
              <w:spacing w:after="15" w:before="15"/>
            </w:pPr>
            <w:r>
              <w:rPr>
                <w:rFonts w:ascii="Consolas" w:cs="Consolas" w:eastAsia="Consolas" w:hAnsi="Consolas"/>
                <w:b w:val="false"/>
                <w:bCs w:val="false"/>
                <w:color w:val="1E293B"/>
                <w:sz w:val="17"/>
                <w:szCs w:val="17"/>
              </w:rPr>
              <w:t xml:space="preserve">  frontend:</w:t>
            </w:r>
          </w:p>
          <w:p>
            <w:pPr>
              <w:spacing w:after="15" w:before="15"/>
            </w:pPr>
            <w:r>
              <w:rPr>
                <w:rFonts w:ascii="Consolas" w:cs="Consolas" w:eastAsia="Consolas" w:hAnsi="Consolas"/>
                <w:b w:val="false"/>
                <w:bCs w:val="false"/>
                <w:color w:val="1E293B"/>
                <w:sz w:val="17"/>
                <w:szCs w:val="17"/>
              </w:rPr>
              <w:t xml:space="preserve">    build: ./frontend</w:t>
            </w:r>
          </w:p>
          <w:p>
            <w:pPr>
              <w:spacing w:after="15" w:before="15"/>
            </w:pPr>
            <w:r>
              <w:rPr>
                <w:rFonts w:ascii="Consolas" w:cs="Consolas" w:eastAsia="Consolas" w:hAnsi="Consolas"/>
                <w:b w:val="false"/>
                <w:bCs w:val="false"/>
                <w:color w:val="1E293B"/>
                <w:sz w:val="17"/>
                <w:szCs w:val="17"/>
              </w:rPr>
              <w:t xml:space="preserve">    ports: [ "3000:80" ]</w:t>
            </w:r>
          </w:p>
          <w:p>
            <w:pPr>
              <w:spacing w:after="15" w:before="15"/>
            </w:pPr>
            <w:r>
              <w:rPr>
                <w:rFonts w:ascii="Consolas" w:cs="Consolas" w:eastAsia="Consolas" w:hAnsi="Consolas"/>
                <w:b w:val="false"/>
                <w:bCs w:val="false"/>
                <w:color w:val="1E293B"/>
                <w:sz w:val="17"/>
                <w:szCs w:val="17"/>
              </w:rPr>
              <w:t xml:space="preserve">    depends_on: { backend: { condition: service_healthy } }</w:t>
            </w:r>
          </w:p>
          <w:p>
            <w:pPr>
              <w:spacing w:after="15" w:before="15"/>
            </w:pPr>
            <w:r>
              <w:rPr>
                <w:rFonts w:ascii="Consolas" w:cs="Consolas" w:eastAsia="Consolas" w:hAnsi="Consolas"/>
                <w:b w:val="false"/>
                <w:bCs w:val="false"/>
                <w:color w:val="1E293B"/>
                <w:sz w:val="17"/>
                <w:szCs w:val="17"/>
              </w:rPr>
              <w:t xml:space="preserve">volumes: { mongodb_data: { name: taskmanager_mongodb_data } }</w:t>
            </w:r>
          </w:p>
        </w:tc>
      </w:tr>
      <w:tr>
        <w:tc>
          <w:tcPr>
            <w:tcW w:type="pct" w:w="5000"/>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30" w:before="30"/>
              <w:jc w:val="center"/>
            </w:pPr>
            <w:r>
              <w:rPr>
                <w:rFonts w:ascii="Calibri" w:cs="Calibri" w:eastAsia="Calibri" w:hAnsi="Calibri"/>
                <w:b/>
                <w:bCs/>
                <w:i w:val="false"/>
                <w:iCs w:val="false"/>
                <w:color w:val="000000"/>
                <w:sz w:val="22"/>
                <w:szCs w:val="22"/>
              </w:rPr>
              <w:t xml:space="preserve">Output</w:t>
            </w:r>
          </w:p>
        </w:tc>
      </w:tr>
      <w:tr>
        <w:tc>
          <w:tcPr>
            <w:gridSpan w:val="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before="140"/>
              <w:jc w:val="center"/>
            </w:pPr>
            <w:r>
              <w:drawing>
                <wp:inline distT="0" distB="0" distL="0" distR="0">
                  <wp:extent cx="4762500" cy="2476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76500"/>
                          </a:xfrm>
                          <a:prstGeom prst="rect">
                            <a:avLst/>
                          </a:prstGeom>
                        </pic:spPr>
                      </pic:pic>
                    </a:graphicData>
                  </a:graphic>
                </wp:inline>
              </w:drawing>
            </w:r>
          </w:p>
          <w:p>
            <w:pPr>
              <w:spacing w:after="160" w:before="40"/>
              <w:jc w:val="center"/>
            </w:pPr>
            <w:r>
              <w:rPr>
                <w:rFonts w:ascii="Calibri" w:cs="Calibri" w:eastAsia="Calibri" w:hAnsi="Calibri"/>
                <w:b w:val="false"/>
                <w:bCs w:val="false"/>
                <w:i/>
                <w:iCs/>
                <w:color w:val="1F2937"/>
                <w:sz w:val="19"/>
                <w:szCs w:val="19"/>
              </w:rPr>
              <w:t xml:space="preserve">Figure 1: Docker Compose Configuration &amp; Service Dependency Graph Validation (docker compose config)</w:t>
            </w:r>
          </w:p>
          <w:p>
            <w:pPr>
              <w:spacing w:after="60" w:before="140"/>
              <w:jc w:val="center"/>
            </w:pPr>
            <w:r>
              <w:drawing>
                <wp:inline distT="0" distB="0" distL="0" distR="0">
                  <wp:extent cx="4762500" cy="2286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86000"/>
                          </a:xfrm>
                          <a:prstGeom prst="rect">
                            <a:avLst/>
                          </a:prstGeom>
                        </pic:spPr>
                      </pic:pic>
                    </a:graphicData>
                  </a:graphic>
                </wp:inline>
              </w:drawing>
            </w:r>
          </w:p>
          <w:p>
            <w:pPr>
              <w:spacing w:after="160" w:before="40"/>
              <w:jc w:val="center"/>
            </w:pPr>
            <w:r>
              <w:rPr>
                <w:rFonts w:ascii="Calibri" w:cs="Calibri" w:eastAsia="Calibri" w:hAnsi="Calibri"/>
                <w:b w:val="false"/>
                <w:bCs w:val="false"/>
                <w:i/>
                <w:iCs/>
                <w:color w:val="1F2937"/>
                <w:sz w:val="19"/>
                <w:szCs w:val="19"/>
              </w:rPr>
              <w:t xml:space="preserve">Figure 2: Multi-Stage Image Build and Container Startup (docker compose up --build -d)</w:t>
            </w:r>
          </w:p>
          <w:p>
            <w:pPr>
              <w:spacing w:after="60" w:before="140"/>
              <w:jc w:val="center"/>
            </w:pPr>
            <w:r>
              <w:drawing>
                <wp:inline distT="0" distB="0" distL="0" distR="0">
                  <wp:extent cx="4762500" cy="1714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before="40"/>
              <w:jc w:val="center"/>
            </w:pPr>
            <w:r>
              <w:rPr>
                <w:rFonts w:ascii="Calibri" w:cs="Calibri" w:eastAsia="Calibri" w:hAnsi="Calibri"/>
                <w:b w:val="false"/>
                <w:bCs w:val="false"/>
                <w:i/>
                <w:iCs/>
                <w:color w:val="1F2937"/>
                <w:sz w:val="19"/>
                <w:szCs w:val="19"/>
              </w:rPr>
              <w:t xml:space="preserve">Figure 3: Docker Compose ps - Running Containers and Verified Healthchecks (mongodb, backend, frontend)</w:t>
            </w:r>
          </w:p>
          <w:p>
            <w:pPr>
              <w:spacing w:after="60" w:before="140"/>
              <w:jc w:val="center"/>
            </w:pPr>
            <w:r>
              <w:drawing>
                <wp:inline distT="0" distB="0" distL="0" distR="0">
                  <wp:extent cx="4762500" cy="2095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095500"/>
                          </a:xfrm>
                          <a:prstGeom prst="rect">
                            <a:avLst/>
                          </a:prstGeom>
                        </pic:spPr>
                      </pic:pic>
                    </a:graphicData>
                  </a:graphic>
                </wp:inline>
              </w:drawing>
            </w:r>
          </w:p>
          <w:p>
            <w:pPr>
              <w:spacing w:after="160" w:before="40"/>
              <w:jc w:val="center"/>
            </w:pPr>
            <w:r>
              <w:rPr>
                <w:rFonts w:ascii="Calibri" w:cs="Calibri" w:eastAsia="Calibri" w:hAnsi="Calibri"/>
                <w:b w:val="false"/>
                <w:bCs w:val="false"/>
                <w:i/>
                <w:iCs/>
                <w:color w:val="1F2937"/>
                <w:sz w:val="19"/>
                <w:szCs w:val="19"/>
              </w:rPr>
              <w:t xml:space="preserve">Figure 4: Internal DNS Resolution &amp; Service-to-Service MongoDB Connectivity (mongodb://mongodb:27017)</w:t>
            </w:r>
          </w:p>
          <w:p>
            <w:pPr>
              <w:spacing w:after="60" w:before="140"/>
              <w:jc w:val="center"/>
            </w:pPr>
            <w:r>
              <w:drawing>
                <wp:inline distT="0" distB="0" distL="0" distR="0">
                  <wp:extent cx="4762500" cy="2286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86000"/>
                          </a:xfrm>
                          <a:prstGeom prst="rect">
                            <a:avLst/>
                          </a:prstGeom>
                        </pic:spPr>
                      </pic:pic>
                    </a:graphicData>
                  </a:graphic>
                </wp:inline>
              </w:drawing>
            </w:r>
          </w:p>
          <w:p>
            <w:pPr>
              <w:spacing w:after="160" w:before="40"/>
              <w:jc w:val="center"/>
            </w:pPr>
            <w:r>
              <w:rPr>
                <w:rFonts w:ascii="Calibri" w:cs="Calibri" w:eastAsia="Calibri" w:hAnsi="Calibri"/>
                <w:b w:val="false"/>
                <w:bCs w:val="false"/>
                <w:i/>
                <w:iCs/>
                <w:color w:val="1F2937"/>
                <w:sz w:val="19"/>
                <w:szCs w:val="19"/>
              </w:rPr>
              <w:t xml:space="preserve">Figure 5: Frontend Nginx Web Delivery (Port 3000) and Browser-to-Backend HTTP Roundtrip (Port 5000)</w:t>
            </w:r>
          </w:p>
          <w:p>
            <w:pPr>
              <w:spacing w:after="60" w:before="140"/>
              <w:jc w:val="center"/>
            </w:pPr>
            <w:r>
              <w:drawing>
                <wp:inline distT="0" distB="0" distL="0" distR="0">
                  <wp:extent cx="4762500" cy="20955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95500"/>
                          </a:xfrm>
                          <a:prstGeom prst="rect">
                            <a:avLst/>
                          </a:prstGeom>
                        </pic:spPr>
                      </pic:pic>
                    </a:graphicData>
                  </a:graphic>
                </wp:inline>
              </w:drawing>
            </w:r>
          </w:p>
          <w:p>
            <w:pPr>
              <w:spacing w:after="160" w:before="40"/>
              <w:jc w:val="center"/>
            </w:pPr>
            <w:r>
              <w:rPr>
                <w:rFonts w:ascii="Calibri" w:cs="Calibri" w:eastAsia="Calibri" w:hAnsi="Calibri"/>
                <w:b w:val="false"/>
                <w:bCs w:val="false"/>
                <w:i/>
                <w:iCs/>
                <w:color w:val="1F2937"/>
                <w:sz w:val="19"/>
                <w:szCs w:val="19"/>
              </w:rPr>
              <w:t xml:space="preserve">Figure 6: MongoDB Named Volume Data Persistence Across Container Restarts (taskmanager_mongodb_data)</w:t>
            </w:r>
          </w:p>
          <w:p>
            <w:pPr>
              <w:spacing w:after="60" w:before="140"/>
              <w:jc w:val="center"/>
            </w:pPr>
            <w:r>
              <w:drawing>
                <wp:inline distT="0" distB="0" distL="0" distR="0">
                  <wp:extent cx="4762500" cy="23812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81250"/>
                          </a:xfrm>
                          <a:prstGeom prst="rect">
                            <a:avLst/>
                          </a:prstGeom>
                        </pic:spPr>
                      </pic:pic>
                    </a:graphicData>
                  </a:graphic>
                </wp:inline>
              </w:drawing>
            </w:r>
          </w:p>
          <w:p>
            <w:pPr>
              <w:spacing w:after="160" w:before="40"/>
              <w:jc w:val="center"/>
            </w:pPr>
            <w:r>
              <w:rPr>
                <w:rFonts w:ascii="Calibri" w:cs="Calibri" w:eastAsia="Calibri" w:hAnsi="Calibri"/>
                <w:b w:val="false"/>
                <w:bCs w:val="false"/>
                <w:i/>
                <w:iCs/>
                <w:color w:val="1F2937"/>
                <w:sz w:val="19"/>
                <w:szCs w:val="19"/>
              </w:rPr>
              <w:t xml:space="preserve">Figure 7: Git Status, Commit Log (build: containerize full stack), and Verified Branch Review</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5000"/>
      <w:tblBorders>
        <w:top w:val="single" w:color="7F1D1D" w:sz="12"/>
        <w:left w:val="none" w:color="auto" w:sz="0"/>
        <w:bottom w:val="none" w:color="auto" w:sz="0"/>
        <w:right w:val="none" w:color="auto" w:sz="0"/>
        <w:insideH w:val="single" w:color="auto" w:sz="4"/>
        <w:insideV w:val="single" w:color="auto" w:sz="4"/>
      </w:tblBorders>
    </w:tblPr>
    <w:tblGrid>
      <w:gridCol w:w="8373"/>
      <w:gridCol w:w="2093"/>
    </w:tblGrid>
    <w:tr>
      <w:tc>
        <w:tcPr>
          <w:tcW w:type="pct" w:w="4000"/>
          <w:tcBorders>
            <w:top w:val="single" w:color="7F1D1D" w:sz="12"/>
            <w:left w:val="none" w:color="auto" w:sz="0"/>
            <w:bottom w:val="none" w:color="auto" w:sz="0"/>
            <w:right w:val="none" w:color="auto" w:sz="0"/>
          </w:tcBorders>
        </w:tcPr>
        <w:p>
          <w:r>
            <w:rPr>
              <w:rFonts w:ascii="Calibri" w:cs="Calibri" w:eastAsia="Calibri" w:hAnsi="Calibri"/>
              <w:sz w:val="18"/>
              <w:szCs w:val="18"/>
            </w:rPr>
            <w:t xml:space="preserve">Department of Computer Science and Engineering, CSPIT</w:t>
          </w:r>
        </w:p>
      </w:tc>
      <w:tc>
        <w:tcPr>
          <w:tcW w:type="pct" w:w="1000"/>
          <w:tcBorders>
            <w:top w:val="single" w:color="7F1D1D" w:sz="12"/>
            <w:left w:val="none" w:color="auto" w:sz="0"/>
            <w:bottom w:val="none" w:color="auto" w:sz="0"/>
            <w:right w:val="none" w:color="auto" w:sz="0"/>
          </w:tcBorders>
        </w:tcPr>
        <w:p>
          <w:pPr>
            <w:jc w:val="right"/>
          </w:pPr>
          <w:r>
            <w:rPr>
              <w:rFonts w:ascii="Calibri" w:cs="Calibri" w:eastAsia="Calibri" w:hAnsi="Calibri"/>
              <w:sz w:val="18"/>
              <w:szCs w:val="18"/>
            </w:rPr>
            <w:t xml:space="preserve">Page </w:t>
          </w:r>
          <w:r>
            <w:rPr>
              <w:rFonts w:ascii="Calibri" w:cs="Calibri" w:eastAsia="Calibri" w:hAnsi="Calibri"/>
              <w:sz w:val="18"/>
              <w:szCs w:val="18"/>
            </w:rPr>
            <w:fldChar w:fldCharType="begin"/>
          </w:r>
          <w:r>
            <w:rPr>
              <w:rFonts w:ascii="Calibri" w:cs="Calibri" w:eastAsia="Calibri" w:hAnsi="Calibri"/>
              <w:sz w:val="18"/>
              <w:szCs w:val="18"/>
            </w:rPr>
            <w:instrText xml:space="preserve">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7326"/>
      <w:gridCol w:w="3140"/>
    </w:tblGrid>
    <w:tr>
      <w:tc>
        <w:tcPr>
          <w:tcW w:type="pct" w:w="3500"/>
          <w:tcBorders>
            <w:top w:val="none" w:color="auto" w:sz="0"/>
            <w:left w:val="none" w:color="auto" w:sz="0"/>
            <w:bottom w:val="none" w:color="auto" w:sz="0"/>
            <w:right w:val="none" w:color="auto" w:sz="0"/>
          </w:tcBorders>
        </w:tcPr>
        <w:p>
          <w:r>
            <w:rPr>
              <w:rFonts w:ascii="Calibri" w:cs="Calibri" w:eastAsia="Calibri" w:hAnsi="Calibri"/>
              <w:b/>
              <w:bCs/>
              <w:sz w:val="18"/>
              <w:szCs w:val="18"/>
            </w:rPr>
            <w:t xml:space="preserve">ITUE301: Advanced Web Development Frameworks</w:t>
          </w:r>
        </w:p>
      </w:tc>
      <w:tc>
        <w:tcPr>
          <w:tcW w:type="pct" w:w="1500"/>
          <w:tcBorders>
            <w:top w:val="none" w:color="auto" w:sz="0"/>
            <w:left w:val="none" w:color="auto" w:sz="0"/>
            <w:bottom w:val="none" w:color="auto" w:sz="0"/>
            <w:right w:val="none" w:color="auto" w:sz="0"/>
          </w:tcBorders>
        </w:tcPr>
        <w:p>
          <w:pPr>
            <w:jc w:val="right"/>
          </w:pPr>
          <w:r>
            <w:rPr>
              <w:rFonts w:ascii="Calibri" w:cs="Calibri" w:eastAsia="Calibri" w:hAnsi="Calibri"/>
              <w:b/>
              <w:bCs/>
              <w:sz w:val="20"/>
              <w:szCs w:val="20"/>
            </w:rPr>
            <w:t xml:space="preserve">24CS095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54df856733c8dc2df11272aecf59a425579020b.png"/><Relationship Id="rId10" Type="http://schemas.openxmlformats.org/officeDocument/2006/relationships/image" Target="media/9537333de66048f4ff9580f852fc9d27c0c073e6.png"/><Relationship Id="rId11" Type="http://schemas.openxmlformats.org/officeDocument/2006/relationships/image" Target="media/3726be3a493d320bd55d9389d25f7e6cb051452d.png"/><Relationship Id="rId12" Type="http://schemas.openxmlformats.org/officeDocument/2006/relationships/image" Target="media/ec6f4d184eb0f44abe8fec3b5d24628a1e195a1e.png"/><Relationship Id="rId13" Type="http://schemas.openxmlformats.org/officeDocument/2006/relationships/image" Target="media/6b2efac337af801ce58168962b2e76b78be27bcf.png"/><Relationship Id="rId14" Type="http://schemas.openxmlformats.org/officeDocument/2006/relationships/image" Target="media/247b3ca566572241fae9621dde6cc39f17212dc0.png"/><Relationship Id="rId15" Type="http://schemas.openxmlformats.org/officeDocument/2006/relationships/image" Target="media/55079250ab874c25cb90bb9a283d3f16ef6be1b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2026-10-26T09:02:59.021Z</dcterms:created>
  <dcterms:modified xsi:type="dcterms:W3CDTF">2026-10-26T09:02:59.023Z</dcterms:modified>
</cp:coreProperties>
</file>

<file path=docProps/custom.xml><?xml version="1.0" encoding="utf-8"?>
<Properties xmlns="http://schemas.openxmlformats.org/officeDocument/2006/custom-properties" xmlns:vt="http://schemas.openxmlformats.org/officeDocument/2006/docPropsVTypes"/>
</file>