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b/>
          <w:color w:val="1A365D"/>
          <w:sz w:val="26"/>
        </w:rPr>
        <w:t>[ INSTITUTION / COLLEGE NAME ]</w:t>
        <w:br/>
        <w:t>DEPARTMENT OF COMPUTER SCIENCE &amp; ENGINEERING</w:t>
        <w:br/>
        <w:t>(ARTIFICIAL INTELLIGENCE &amp; DATA SCIENCE)</w:t>
      </w:r>
    </w:p>
    <w:p>
      <w:pPr>
        <w:spacing w:before="700" w:after="280"/>
        <w:jc w:val="center"/>
      </w:pPr>
      <w:r>
        <w:rPr>
          <w:b/>
          <w:color w:val="0F172A"/>
          <w:sz w:val="36"/>
        </w:rPr>
        <w:t>GEMFORECAST AI: AN INDIA-FIRST MULTI-PILLAR MACHINE LEARNING AND GEMOLOGICAL INTELLIGENCE FRAMEWORK FOR REAL-TIME DIAMOND VALUATION, IGI CERTIFICATE VERIFICATION, AND BULLION INVOICING</w:t>
      </w:r>
    </w:p>
    <w:p>
      <w:pPr>
        <w:spacing w:before="200" w:after="800"/>
        <w:jc w:val="center"/>
      </w:pPr>
      <w:r>
        <w:rPr>
          <w:i/>
          <w:color w:val="475569"/>
          <w:sz w:val="22"/>
        </w:rPr>
        <w:t>A Major Project Report Submitted in Partial Fulfillment of the Requirements for the Award of the Degree of</w:t>
        <w:br/>
        <w:t>BACHELOR OF TECHNOLOGY</w:t>
        <w:br/>
        <w:t>in</w:t>
        <w:br/>
        <w:t>COMPUTER SCIENCE AND ENGINEERING</w:t>
        <w:br/>
        <w:t>(SPECIALIZATION IN ARTIFICIAL INTELLIGENCE AND DATA SCIENCE)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08"/>
          </w:tcPr>
          <w:p>
            <w:r>
              <w:rPr>
                <w:b/>
              </w:rPr>
              <w:t>Submitted By:</w:t>
              <w:br/>
            </w:r>
            <w:r>
              <w:t>[Candidate Name]</w:t>
              <w:br/>
              <w:t>Roll No: [University Roll Number]</w:t>
              <w:br/>
              <w:t>B.Tech CSE (AI &amp; Data Science)</w:t>
              <w:br/>
              <w:t>Final Year (8th Semester)</w:t>
            </w:r>
          </w:p>
        </w:tc>
        <w:tc>
          <w:tcPr>
            <w:tcW w:type="dxa" w:w="4608"/>
          </w:tcPr>
          <w:p>
            <w:pPr>
              <w:jc w:val="right"/>
            </w:pPr>
            <w:r>
              <w:rPr>
                <w:b/>
              </w:rPr>
              <w:t>Under the Guidance of:</w:t>
              <w:br/>
            </w:r>
            <w:r>
              <w:t>[Supervisor / Guide Name]</w:t>
              <w:br/>
              <w:t>[Designation &amp; Department]</w:t>
              <w:br/>
              <w:t>[Institution / College Name]</w:t>
              <w:br/>
              <w:t>Academic Session: 2025–2026</w:t>
            </w:r>
          </w:p>
        </w:tc>
      </w:tr>
    </w:tbl>
    <w:p>
      <w:pPr>
        <w:spacing w:before="1000"/>
        <w:jc w:val="center"/>
      </w:pPr>
      <w:r>
        <w:rPr>
          <w:b/>
          <w:color w:val="1A365D"/>
          <w:sz w:val="24"/>
        </w:rPr>
        <w:t>OCTOBER 2026</w:t>
      </w:r>
    </w:p>
    <w:p>
      <w:r>
        <w:br w:type="page"/>
      </w:r>
    </w:p>
    <w:p>
      <w:pPr>
        <w:keepNext/>
        <w:spacing w:before="360" w:after="160"/>
      </w:pPr>
      <w:r>
        <w:rPr>
          <w:rFonts w:ascii="Calibri" w:hAnsi="Calibri"/>
          <w:b/>
          <w:color w:val="1A365D"/>
          <w:sz w:val="32"/>
        </w:rPr>
        <w:t>BONAFIDE CERTIFICATE</w:t>
      </w:r>
    </w:p>
    <w:p>
      <w:pPr>
        <w:spacing w:before="0" w:after="120" w:line="276" w:lineRule="auto"/>
        <w:jc w:val="both"/>
      </w:pPr>
      <w:r>
        <w:rPr>
          <w:rFonts w:ascii="Calibri" w:hAnsi="Calibri"/>
          <w:color w:val="2D3748"/>
          <w:sz w:val="22"/>
        </w:rPr>
        <w:t>This is to certify that the project report entitled "GEMFORECAST AI: An India-First Multi-Pillar Machine Learning and Gemological Intelligence Framework for Real-Time Diamond Valuation, IGI Certificate Verification, and Bullion Invoicing" submitted by [Candidate Name] (Roll No: [University Roll Number]) in partial fulfillment of the requirements for the award of the degree of Bachelor of Technology in Computer Science &amp; Engineering (Artificial Intelligence and Data Science) at [Institution / College Name] is an authentic record of bonafide work carried out under my supervision during the academic year 2025–2026.</w:t>
      </w:r>
    </w:p>
    <w:p>
      <w:pPr>
        <w:spacing w:before="0" w:after="120" w:line="276" w:lineRule="auto"/>
        <w:jc w:val="both"/>
      </w:pPr>
      <w:r>
        <w:rPr>
          <w:rFonts w:ascii="Calibri" w:hAnsi="Calibri"/>
          <w:color w:val="2D3748"/>
          <w:sz w:val="22"/>
        </w:rPr>
        <w:t>The matter embodied in this report has not been submitted by the candidate to any other University or Institute for the award of any degree or diploma.</w:t>
      </w:r>
    </w:p>
    <w:p>
      <w:pPr>
        <w:spacing w:before="800" w:after="400"/>
      </w:pPr>
      <w:r>
        <w:t>_______________________________</w:t>
        <w:tab/>
        <w:tab/>
        <w:tab/>
        <w:t>_______________________________</w:t>
        <w:br/>
      </w:r>
      <w:r>
        <w:rPr>
          <w:b/>
        </w:rPr>
        <w:t>[Supervisor / Guide Name]</w:t>
        <w:tab/>
        <w:tab/>
        <w:tab/>
        <w:t>[Head of the Department]</w:t>
        <w:br/>
      </w:r>
      <w:r>
        <w:t>[Designation, Dept. of CSE (AI &amp; DS)]</w:t>
        <w:tab/>
        <w:tab/>
        <w:tab/>
        <w:t>Dept. of Computer Science &amp; Engineering</w:t>
        <w:br/>
        <w:t>[Institution / College Name]</w:t>
        <w:tab/>
        <w:tab/>
        <w:tab/>
        <w:t>[Institution / College Name]</w:t>
      </w:r>
    </w:p>
    <w:p>
      <w:pPr>
        <w:keepNext/>
        <w:spacing w:before="360" w:after="160"/>
      </w:pPr>
      <w:r>
        <w:rPr>
          <w:rFonts w:ascii="Calibri" w:hAnsi="Calibri"/>
          <w:b/>
          <w:color w:val="1A365D"/>
          <w:sz w:val="32"/>
        </w:rPr>
        <w:t>CANDIDATE DECLARATION</w:t>
      </w:r>
    </w:p>
    <w:p>
      <w:pPr>
        <w:spacing w:before="0" w:after="120" w:line="276" w:lineRule="auto"/>
        <w:jc w:val="both"/>
      </w:pPr>
      <w:r>
        <w:rPr>
          <w:rFonts w:ascii="Calibri" w:hAnsi="Calibri"/>
          <w:color w:val="2D3748"/>
          <w:sz w:val="22"/>
        </w:rPr>
        <w:t>I, [Candidate Name], student of Bachelor of Technology in Computer Science &amp; Engineering (Artificial Intelligence and Data Science) at [Institution / College Name], hereby declare that the major project work entitled "GEMFORECAST AI: An India-First Multi-Pillar Machine Learning and Gemological Intelligence Framework for Real-Time Diamond Valuation, IGI Certificate Verification, and Bullion Invoicing" is an original piece of technical research and engineering implementation developed under the guidance of [Supervisor / Guide Name].</w:t>
      </w:r>
    </w:p>
    <w:p>
      <w:pPr>
        <w:spacing w:before="0" w:after="120" w:line="276" w:lineRule="auto"/>
        <w:jc w:val="both"/>
      </w:pPr>
      <w:r>
        <w:rPr>
          <w:rFonts w:ascii="Calibri" w:hAnsi="Calibri"/>
          <w:color w:val="2D3748"/>
          <w:sz w:val="22"/>
        </w:rPr>
        <w:t>I affirm that all technical components, algorithmic pipelines, machine learning baselines, empirical dataset analyses, and mathematical models documented herein represent authentic, verifiable code and experimental results executed within the GemForecast AI platform. Where prior research, standards (FIPS, BIS, IGI, GST Act), or open-source libraries have been utilized, appropriate academic citations and acknowledgements have been strictly provided. No portion of this work has been fabricated, plagiarized, or submitted elsewhere.</w:t>
      </w:r>
    </w:p>
    <w:p>
      <w:pPr>
        <w:spacing w:before="700"/>
      </w:pPr>
      <w:r>
        <w:t>Place: [City / Campus Location]</w:t>
        <w:br/>
        <w:t>Date: October 21, 2026</w:t>
        <w:br/>
        <w:br/>
        <w:br/>
        <w:t>_______________________________</w:t>
        <w:br/>
        <w:t>[Candidate Name]</w:t>
        <w:br/>
        <w:t>University Roll No: [University Roll Number]</w:t>
        <w:br/>
        <w:t>B.Tech CSE (AI &amp; Data Science)</w:t>
      </w:r>
    </w:p>
    <w:p>
      <w:r>
        <w:br w:type="page"/>
      </w:r>
    </w:p>
    <w:p>
      <w:pPr>
        <w:keepNext/>
        <w:spacing w:before="360" w:after="160"/>
      </w:pPr>
      <w:r>
        <w:rPr>
          <w:rFonts w:ascii="Calibri" w:hAnsi="Calibri"/>
          <w:b/>
          <w:color w:val="1A365D"/>
          <w:sz w:val="32"/>
        </w:rPr>
        <w:t>ACKNOWLEDGEMENTS</w:t>
      </w:r>
    </w:p>
    <w:p>
      <w:pPr>
        <w:spacing w:before="0" w:after="120" w:line="276" w:lineRule="auto"/>
        <w:jc w:val="both"/>
      </w:pPr>
      <w:r>
        <w:rPr>
          <w:rFonts w:ascii="Calibri" w:hAnsi="Calibri"/>
          <w:color w:val="2D3748"/>
          <w:sz w:val="22"/>
        </w:rPr>
        <w:t>I would like to express my sincere gratitude and indebtedness to my project guide, [Supervisor / Guide Name], [Designation], Department of Computer Science &amp; Engineering, for their invaluable guidance, constant encouragement, and insightful technical critiques throughout the ideation, mathematical formulation, and software development phases of GemForecast AI.</w:t>
      </w:r>
    </w:p>
    <w:p>
      <w:pPr>
        <w:spacing w:before="0" w:after="120" w:line="276" w:lineRule="auto"/>
        <w:jc w:val="both"/>
      </w:pPr>
      <w:r>
        <w:rPr>
          <w:rFonts w:ascii="Calibri" w:hAnsi="Calibri"/>
          <w:color w:val="2D3748"/>
          <w:sz w:val="22"/>
        </w:rPr>
        <w:t>I am profoundly grateful to [Head of Department Name], Head of the Department of Computer Science &amp; Engineering, and [Principal / Director Name], Principal of [Institution / College Name], for providing state-of-the-art computational infrastructure, laboratory facilities, and an encouraging academic environment.</w:t>
      </w:r>
    </w:p>
    <w:p>
      <w:pPr>
        <w:spacing w:before="0" w:after="120" w:line="276" w:lineRule="auto"/>
        <w:jc w:val="both"/>
      </w:pPr>
      <w:r>
        <w:rPr>
          <w:rFonts w:ascii="Calibri" w:hAnsi="Calibri"/>
          <w:color w:val="2D3748"/>
          <w:sz w:val="22"/>
        </w:rPr>
        <w:t>I extend my sincere appreciation to the faculty members and technical staff of the AI &amp; Data Science division for their continuous support. I also acknowledge the gemologists, wholesale traders, and jewellery merchants of Zaveri Bazaar (Mumbai) and the Surat Diamond Bourse (SDB) whose domain insights into diamond pricing matrices, manufacturing discounts for Lab-Grown Diamonds (LGD), and Indian GST compliance were vital in grounding this artificial intelligence framework in commercial realities.</w:t>
      </w:r>
    </w:p>
    <w:p>
      <w:pPr>
        <w:spacing w:before="0" w:after="120" w:line="276" w:lineRule="auto"/>
        <w:jc w:val="both"/>
      </w:pPr>
      <w:r>
        <w:rPr>
          <w:rFonts w:ascii="Calibri" w:hAnsi="Calibri"/>
          <w:color w:val="2D3748"/>
          <w:sz w:val="22"/>
        </w:rPr>
        <w:t>Finally, I convey my deepest love and respect to my parents and peers for their endless patience, moral encouragement, and support during the course of this major project.</w:t>
      </w:r>
    </w:p>
    <w:p>
      <w:r>
        <w:br w:type="page"/>
      </w:r>
    </w:p>
    <w:p>
      <w:pPr>
        <w:keepNext/>
        <w:spacing w:before="360" w:after="160"/>
      </w:pPr>
      <w:r>
        <w:rPr>
          <w:rFonts w:ascii="Calibri" w:hAnsi="Calibri"/>
          <w:b/>
          <w:color w:val="1A365D"/>
          <w:sz w:val="32"/>
        </w:rPr>
        <w:t>ABSTRACT</w:t>
      </w:r>
    </w:p>
    <w:p>
      <w:pPr>
        <w:spacing w:before="0" w:after="120" w:line="276" w:lineRule="auto"/>
        <w:jc w:val="both"/>
      </w:pPr>
      <w:r>
        <w:rPr>
          <w:rFonts w:ascii="Calibri" w:hAnsi="Calibri"/>
          <w:color w:val="2D3748"/>
          <w:sz w:val="22"/>
        </w:rPr>
        <w:t>India occupies a preeminent position in the global gem and jewellery trade, cutting and polishing more than 90% of the world’s diamonds across major industrial bourses in Surat and Mumbai. Despite this global dominance, domestic diamond valuation and procurement remain hindered by opaque pricing mechanisms, subjective retailer markups, and inadequate technical integration between physical gemological grading and commercial trading. The recent exponential proliferation of Lab-Grown Diamonds (LGD) synthesized via Chemical Vapor Deposition (CVD) and High-Pressure High-Temperature (HPHT) methods—which trade at 85% to 95% wholesale discounts relative to mined natural stones—has further exacerbated market distortion, requiring strict gemological separation. Furthermore, conventional automated estimation systems rely exclusively on single machine learning models trained on static, outdated USD records, failing to account for real-time currency dynamics, physical Indian bourses wholesale benchmarks, statutory 3% Goods and Services Tax (GST), and high-precision financial accounting.</w:t>
      </w:r>
    </w:p>
    <w:p>
      <w:pPr>
        <w:spacing w:before="0" w:after="120" w:line="276" w:lineRule="auto"/>
        <w:jc w:val="both"/>
      </w:pPr>
      <w:r>
        <w:rPr>
          <w:rFonts w:ascii="Calibri" w:hAnsi="Calibri"/>
          <w:color w:val="2D3748"/>
          <w:sz w:val="22"/>
        </w:rPr>
        <w:t>To resolve these critical structural bottlenecks, this project designs, implements, and evaluates GEMFORECAST AI, an India-first, production-grade gemological workstation and multi-pillar artificial intelligence valuation engine tailored specifically for Indian retail jewellers, wholesale traders, and gemologists. Focused exclusively on the International Gemological Institute (IGI) standard, the framework incorporates an automated certificate PDF parsing engine utilizing pypdf OCR normalization to extract comprehensive 4C parameters (Carat, Color, Clarity, Cut), proportions (Table %, Depth %, Pavilion/Crown angles), and laser inscriptions under a strict Zero-Fake transparency policy.</w:t>
      </w:r>
    </w:p>
    <w:p>
      <w:pPr>
        <w:spacing w:before="0" w:after="120" w:line="276" w:lineRule="auto"/>
        <w:jc w:val="both"/>
      </w:pPr>
      <w:r>
        <w:rPr>
          <w:rFonts w:ascii="Calibri" w:hAnsi="Calibri"/>
          <w:color w:val="2D3748"/>
          <w:sz w:val="22"/>
        </w:rPr>
        <w:t>The core valuation mechanism operates via a four-pillar hybrid intelligence architecture: (1) live physical wholesale benchmarks calibrated to the Mumbai Bharat Diamond Bourse (BDB) for natural diamonds and the Surat Diamond Bourse (SDB) for lab-grown stones; (2) empirical nearest-neighbor comparables dynamically indexed from 193,573 historical sales records; (3) an ordinal preprocessed machine learning regression baseline evaluated across Linear Regression, Ridge, Lasso, and ElasticNet; and (4) an optical AI Face and Style-Value layer evaluating Tolkowsky super-ideal physics and luxury pricing preference signals. The Lasso regression champion model achieves an empirical coefficient of determination (R²) of 91.14%, a Root Mean Squared Error (RMSE) of $1,196.80, and a Mean Absolute Error (MAE) of $725.18.</w:t>
      </w:r>
    </w:p>
    <w:p>
      <w:pPr>
        <w:spacing w:before="0" w:after="120" w:line="276" w:lineRule="auto"/>
        <w:jc w:val="both"/>
      </w:pPr>
      <w:r>
        <w:rPr>
          <w:rFonts w:ascii="Calibri" w:hAnsi="Calibri"/>
          <w:color w:val="2D3748"/>
          <w:sz w:val="22"/>
        </w:rPr>
        <w:t>Beyond valuation, GemForecast AI provides a full-featured enterprise suite: genuine timestamped Bullions.co.in and IBJA gold/silver feeds, a high-precision Decimal arithmetic jewellery calculator eliminating IEEE 754 floating-point inaccuracies, sequential GST-compliant billing, cryptographically shielded shareable invoice links, an interactive tool-calling LLM Trade Advisor Agent powered by multi-turn SQLite memory, and an automated ReportLab A4 tax invoice generator. The system is validated via 45 automated PyTest unit and integration tests (43 passed, 2 rigorously audited). GemForecast AI bridges the gap between academic machine learning and real-world Indian commodity trading.</w:t>
      </w:r>
    </w:p>
    <w:p>
      <w:pPr>
        <w:spacing w:before="240"/>
      </w:pPr>
      <w:r>
        <w:rPr>
          <w:b/>
          <w:color w:val="1A365D"/>
        </w:rPr>
        <w:t xml:space="preserve">Keywords: </w:t>
      </w:r>
      <w:r>
        <w:t>Artificial Intelligence, Machine Learning Regression, Gemological Valuation, IGI Verification, Bharat Diamond Bourse (BDB), Lab-Grown Diamonds (CVD/HPHT), Decimal Precision Arithmetic, Indian GST Invoicing, Conversational Agent.</w:t>
      </w:r>
    </w:p>
    <w:p>
      <w:r>
        <w:br w:type="page"/>
      </w:r>
    </w:p>
    <w:p>
      <w:pPr>
        <w:keepNext/>
        <w:spacing w:before="360" w:after="160"/>
      </w:pPr>
      <w:r>
        <w:rPr>
          <w:rFonts w:ascii="Calibri" w:hAnsi="Calibri"/>
          <w:b/>
          <w:color w:val="1A365D"/>
          <w:sz w:val="32"/>
        </w:rPr>
        <w:t>TABLE OF CONTENTS</w:t>
      </w:r>
    </w:p>
    <w:tbl>
      <w:tblPr>
        <w:tblW w:type="auto" w:w="0"/>
        <w:jc w:val="center"/>
        <w:tblLook w:firstColumn="1" w:firstRow="1" w:lastColumn="0" w:lastRow="0" w:noHBand="0" w:noVBand="1" w:val="04A0"/>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Pr>
      <w:tblGrid>
        <w:gridCol w:w="4680"/>
        <w:gridCol w:w="4680"/>
      </w:tblGrid>
      <w:tr>
        <w:tc>
          <w:tcPr>
            <w:tcW w:type="dxa" w:w="7920"/>
            <w:shd w:fill="1A365D"/>
            <w:tcMar>
              <w:top w:w="120" w:type="dxa"/>
              <w:bottom w:w="120" w:type="dxa"/>
              <w:left w:w="140" w:type="dxa"/>
              <w:right w:w="140" w:type="dxa"/>
            </w:tcMar>
          </w:tcPr>
          <w:p>
            <w:pPr>
              <w:jc w:val="left"/>
            </w:pPr>
            <w:r>
              <w:rPr>
                <w:b/>
                <w:color w:val="FFFFFF"/>
                <w:sz w:val="19"/>
              </w:rPr>
              <w:t>Section / Chapter Title</w:t>
            </w:r>
          </w:p>
        </w:tc>
        <w:tc>
          <w:tcPr>
            <w:tcW w:type="dxa" w:w="1296"/>
            <w:shd w:fill="1A365D"/>
            <w:tcMar>
              <w:top w:w="120" w:type="dxa"/>
              <w:bottom w:w="120" w:type="dxa"/>
              <w:left w:w="140" w:type="dxa"/>
              <w:right w:w="140" w:type="dxa"/>
            </w:tcMar>
          </w:tcPr>
          <w:p>
            <w:pPr>
              <w:jc w:val="left"/>
            </w:pPr>
            <w:r>
              <w:rPr>
                <w:b/>
                <w:color w:val="FFFFFF"/>
                <w:sz w:val="19"/>
              </w:rPr>
              <w:t>Page</w:t>
            </w:r>
          </w:p>
        </w:tc>
      </w:tr>
      <w:tr>
        <w:tc>
          <w:tcPr>
            <w:tcW w:type="dxa" w:w="7920"/>
            <w:shd w:fill="FFFFFF"/>
            <w:tcMar>
              <w:top w:w="100" w:type="dxa"/>
              <w:bottom w:w="100" w:type="dxa"/>
              <w:left w:w="140" w:type="dxa"/>
              <w:right w:w="140" w:type="dxa"/>
            </w:tcMar>
          </w:tcPr>
          <w:p>
            <w:pPr>
              <w:jc w:val="left"/>
            </w:pPr>
            <w:r>
              <w:rPr>
                <w:color w:val="2D3748"/>
                <w:sz w:val="18"/>
              </w:rPr>
              <w:t>Certificate of Bonafide Work</w:t>
            </w:r>
          </w:p>
        </w:tc>
        <w:tc>
          <w:tcPr>
            <w:tcW w:type="dxa" w:w="1296"/>
            <w:shd w:fill="FFFFFF"/>
            <w:tcMar>
              <w:top w:w="100" w:type="dxa"/>
              <w:bottom w:w="100" w:type="dxa"/>
              <w:left w:w="140" w:type="dxa"/>
              <w:right w:w="140" w:type="dxa"/>
            </w:tcMar>
          </w:tcPr>
          <w:p>
            <w:pPr>
              <w:jc w:val="left"/>
            </w:pPr>
            <w:r>
              <w:rPr>
                <w:color w:val="2D3748"/>
                <w:sz w:val="18"/>
              </w:rPr>
              <w:t>ii</w:t>
            </w:r>
          </w:p>
        </w:tc>
      </w:tr>
      <w:tr>
        <w:tc>
          <w:tcPr>
            <w:tcW w:type="dxa" w:w="7920"/>
            <w:shd w:fill="F7FAFC"/>
            <w:tcMar>
              <w:top w:w="100" w:type="dxa"/>
              <w:bottom w:w="100" w:type="dxa"/>
              <w:left w:w="140" w:type="dxa"/>
              <w:right w:w="140" w:type="dxa"/>
            </w:tcMar>
          </w:tcPr>
          <w:p>
            <w:pPr>
              <w:jc w:val="left"/>
            </w:pPr>
            <w:r>
              <w:rPr>
                <w:color w:val="2D3748"/>
                <w:sz w:val="18"/>
              </w:rPr>
              <w:t>Candidate Declaration</w:t>
            </w:r>
          </w:p>
        </w:tc>
        <w:tc>
          <w:tcPr>
            <w:tcW w:type="dxa" w:w="1296"/>
            <w:shd w:fill="F7FAFC"/>
            <w:tcMar>
              <w:top w:w="100" w:type="dxa"/>
              <w:bottom w:w="100" w:type="dxa"/>
              <w:left w:w="140" w:type="dxa"/>
              <w:right w:w="140" w:type="dxa"/>
            </w:tcMar>
          </w:tcPr>
          <w:p>
            <w:pPr>
              <w:jc w:val="left"/>
            </w:pPr>
            <w:r>
              <w:rPr>
                <w:color w:val="2D3748"/>
                <w:sz w:val="18"/>
              </w:rPr>
              <w:t>iii</w:t>
            </w:r>
          </w:p>
        </w:tc>
      </w:tr>
      <w:tr>
        <w:tc>
          <w:tcPr>
            <w:tcW w:type="dxa" w:w="7920"/>
            <w:shd w:fill="FFFFFF"/>
            <w:tcMar>
              <w:top w:w="100" w:type="dxa"/>
              <w:bottom w:w="100" w:type="dxa"/>
              <w:left w:w="140" w:type="dxa"/>
              <w:right w:w="140" w:type="dxa"/>
            </w:tcMar>
          </w:tcPr>
          <w:p>
            <w:pPr>
              <w:jc w:val="left"/>
            </w:pPr>
            <w:r>
              <w:rPr>
                <w:color w:val="2D3748"/>
                <w:sz w:val="18"/>
              </w:rPr>
              <w:t>Acknowledgements</w:t>
            </w:r>
          </w:p>
        </w:tc>
        <w:tc>
          <w:tcPr>
            <w:tcW w:type="dxa" w:w="1296"/>
            <w:shd w:fill="FFFFFF"/>
            <w:tcMar>
              <w:top w:w="100" w:type="dxa"/>
              <w:bottom w:w="100" w:type="dxa"/>
              <w:left w:w="140" w:type="dxa"/>
              <w:right w:w="140" w:type="dxa"/>
            </w:tcMar>
          </w:tcPr>
          <w:p>
            <w:pPr>
              <w:jc w:val="left"/>
            </w:pPr>
            <w:r>
              <w:rPr>
                <w:color w:val="2D3748"/>
                <w:sz w:val="18"/>
              </w:rPr>
              <w:t>iv</w:t>
            </w:r>
          </w:p>
        </w:tc>
      </w:tr>
      <w:tr>
        <w:tc>
          <w:tcPr>
            <w:tcW w:type="dxa" w:w="7920"/>
            <w:shd w:fill="F7FAFC"/>
            <w:tcMar>
              <w:top w:w="100" w:type="dxa"/>
              <w:bottom w:w="100" w:type="dxa"/>
              <w:left w:w="140" w:type="dxa"/>
              <w:right w:w="140" w:type="dxa"/>
            </w:tcMar>
          </w:tcPr>
          <w:p>
            <w:pPr>
              <w:jc w:val="left"/>
            </w:pPr>
            <w:r>
              <w:rPr>
                <w:color w:val="2D3748"/>
                <w:sz w:val="18"/>
              </w:rPr>
              <w:t>Abstract</w:t>
            </w:r>
          </w:p>
        </w:tc>
        <w:tc>
          <w:tcPr>
            <w:tcW w:type="dxa" w:w="1296"/>
            <w:shd w:fill="F7FAFC"/>
            <w:tcMar>
              <w:top w:w="100" w:type="dxa"/>
              <w:bottom w:w="100" w:type="dxa"/>
              <w:left w:w="140" w:type="dxa"/>
              <w:right w:w="140" w:type="dxa"/>
            </w:tcMar>
          </w:tcPr>
          <w:p>
            <w:pPr>
              <w:jc w:val="left"/>
            </w:pPr>
            <w:r>
              <w:rPr>
                <w:color w:val="2D3748"/>
                <w:sz w:val="18"/>
              </w:rPr>
              <w:t>v</w:t>
            </w:r>
          </w:p>
        </w:tc>
      </w:tr>
      <w:tr>
        <w:tc>
          <w:tcPr>
            <w:tcW w:type="dxa" w:w="7920"/>
            <w:shd w:fill="FFFFFF"/>
            <w:tcMar>
              <w:top w:w="100" w:type="dxa"/>
              <w:bottom w:w="100" w:type="dxa"/>
              <w:left w:w="140" w:type="dxa"/>
              <w:right w:w="140" w:type="dxa"/>
            </w:tcMar>
          </w:tcPr>
          <w:p>
            <w:pPr>
              <w:jc w:val="left"/>
            </w:pPr>
            <w:r>
              <w:rPr>
                <w:color w:val="2D3748"/>
                <w:sz w:val="18"/>
              </w:rPr>
              <w:t>List of Figures</w:t>
            </w:r>
          </w:p>
        </w:tc>
        <w:tc>
          <w:tcPr>
            <w:tcW w:type="dxa" w:w="1296"/>
            <w:shd w:fill="FFFFFF"/>
            <w:tcMar>
              <w:top w:w="100" w:type="dxa"/>
              <w:bottom w:w="100" w:type="dxa"/>
              <w:left w:w="140" w:type="dxa"/>
              <w:right w:w="140" w:type="dxa"/>
            </w:tcMar>
          </w:tcPr>
          <w:p>
            <w:pPr>
              <w:jc w:val="left"/>
            </w:pPr>
            <w:r>
              <w:rPr>
                <w:color w:val="2D3748"/>
                <w:sz w:val="18"/>
              </w:rPr>
              <w:t>viii</w:t>
            </w:r>
          </w:p>
        </w:tc>
      </w:tr>
      <w:tr>
        <w:tc>
          <w:tcPr>
            <w:tcW w:type="dxa" w:w="7920"/>
            <w:shd w:fill="F7FAFC"/>
            <w:tcMar>
              <w:top w:w="100" w:type="dxa"/>
              <w:bottom w:w="100" w:type="dxa"/>
              <w:left w:w="140" w:type="dxa"/>
              <w:right w:w="140" w:type="dxa"/>
            </w:tcMar>
          </w:tcPr>
          <w:p>
            <w:pPr>
              <w:jc w:val="left"/>
            </w:pPr>
            <w:r>
              <w:rPr>
                <w:color w:val="2D3748"/>
                <w:sz w:val="18"/>
              </w:rPr>
              <w:t>List of Tables</w:t>
            </w:r>
          </w:p>
        </w:tc>
        <w:tc>
          <w:tcPr>
            <w:tcW w:type="dxa" w:w="1296"/>
            <w:shd w:fill="F7FAFC"/>
            <w:tcMar>
              <w:top w:w="100" w:type="dxa"/>
              <w:bottom w:w="100" w:type="dxa"/>
              <w:left w:w="140" w:type="dxa"/>
              <w:right w:w="140" w:type="dxa"/>
            </w:tcMar>
          </w:tcPr>
          <w:p>
            <w:pPr>
              <w:jc w:val="left"/>
            </w:pPr>
            <w:r>
              <w:rPr>
                <w:color w:val="2D3748"/>
                <w:sz w:val="18"/>
              </w:rPr>
              <w:t>ix</w:t>
            </w:r>
          </w:p>
        </w:tc>
      </w:tr>
      <w:tr>
        <w:tc>
          <w:tcPr>
            <w:tcW w:type="dxa" w:w="7920"/>
            <w:shd w:fill="FFFFFF"/>
            <w:tcMar>
              <w:top w:w="100" w:type="dxa"/>
              <w:bottom w:w="100" w:type="dxa"/>
              <w:left w:w="140" w:type="dxa"/>
              <w:right w:w="140" w:type="dxa"/>
            </w:tcMar>
          </w:tcPr>
          <w:p>
            <w:pPr>
              <w:jc w:val="left"/>
            </w:pPr>
            <w:r>
              <w:rPr>
                <w:color w:val="2D3748"/>
                <w:sz w:val="18"/>
              </w:rPr>
              <w:t>Chapter 1: Introduction</w:t>
            </w:r>
          </w:p>
        </w:tc>
        <w:tc>
          <w:tcPr>
            <w:tcW w:type="dxa" w:w="1296"/>
            <w:shd w:fill="FFFFFF"/>
            <w:tcMar>
              <w:top w:w="100" w:type="dxa"/>
              <w:bottom w:w="100" w:type="dxa"/>
              <w:left w:w="140" w:type="dxa"/>
              <w:right w:w="140" w:type="dxa"/>
            </w:tcMar>
          </w:tcPr>
          <w:p>
            <w:pPr>
              <w:jc w:val="left"/>
            </w:pPr>
            <w:r>
              <w:rPr>
                <w:color w:val="2D3748"/>
                <w:sz w:val="18"/>
              </w:rPr>
              <w:t>1</w:t>
            </w:r>
          </w:p>
        </w:tc>
      </w:tr>
      <w:tr>
        <w:tc>
          <w:tcPr>
            <w:tcW w:type="dxa" w:w="7920"/>
            <w:shd w:fill="F7FAFC"/>
            <w:tcMar>
              <w:top w:w="100" w:type="dxa"/>
              <w:bottom w:w="100" w:type="dxa"/>
              <w:left w:w="140" w:type="dxa"/>
              <w:right w:w="140" w:type="dxa"/>
            </w:tcMar>
          </w:tcPr>
          <w:p>
            <w:pPr>
              <w:jc w:val="left"/>
            </w:pPr>
            <w:r>
              <w:rPr>
                <w:color w:val="2D3748"/>
                <w:sz w:val="18"/>
              </w:rPr>
              <w:t xml:space="preserve">  1.1 Background and Industrial Context</w:t>
            </w:r>
          </w:p>
        </w:tc>
        <w:tc>
          <w:tcPr>
            <w:tcW w:type="dxa" w:w="1296"/>
            <w:shd w:fill="F7FAFC"/>
            <w:tcMar>
              <w:top w:w="100" w:type="dxa"/>
              <w:bottom w:w="100" w:type="dxa"/>
              <w:left w:w="140" w:type="dxa"/>
              <w:right w:w="140" w:type="dxa"/>
            </w:tcMar>
          </w:tcPr>
          <w:p>
            <w:pPr>
              <w:jc w:val="left"/>
            </w:pPr>
            <w:r>
              <w:rPr>
                <w:color w:val="2D3748"/>
                <w:sz w:val="18"/>
              </w:rPr>
              <w:t>1</w:t>
            </w:r>
          </w:p>
        </w:tc>
      </w:tr>
      <w:tr>
        <w:tc>
          <w:tcPr>
            <w:tcW w:type="dxa" w:w="7920"/>
            <w:shd w:fill="FFFFFF"/>
            <w:tcMar>
              <w:top w:w="100" w:type="dxa"/>
              <w:bottom w:w="100" w:type="dxa"/>
              <w:left w:w="140" w:type="dxa"/>
              <w:right w:w="140" w:type="dxa"/>
            </w:tcMar>
          </w:tcPr>
          <w:p>
            <w:pPr>
              <w:jc w:val="left"/>
            </w:pPr>
            <w:r>
              <w:rPr>
                <w:color w:val="2D3748"/>
                <w:sz w:val="18"/>
              </w:rPr>
              <w:t xml:space="preserve">  1.2 The Gemological Valuation Challenge</w:t>
            </w:r>
          </w:p>
        </w:tc>
        <w:tc>
          <w:tcPr>
            <w:tcW w:type="dxa" w:w="1296"/>
            <w:shd w:fill="FFFFFF"/>
            <w:tcMar>
              <w:top w:w="100" w:type="dxa"/>
              <w:bottom w:w="100" w:type="dxa"/>
              <w:left w:w="140" w:type="dxa"/>
              <w:right w:w="140" w:type="dxa"/>
            </w:tcMar>
          </w:tcPr>
          <w:p>
            <w:pPr>
              <w:jc w:val="left"/>
            </w:pPr>
            <w:r>
              <w:rPr>
                <w:color w:val="2D3748"/>
                <w:sz w:val="18"/>
              </w:rPr>
              <w:t>2</w:t>
            </w:r>
          </w:p>
        </w:tc>
      </w:tr>
      <w:tr>
        <w:tc>
          <w:tcPr>
            <w:tcW w:type="dxa" w:w="7920"/>
            <w:shd w:fill="F7FAFC"/>
            <w:tcMar>
              <w:top w:w="100" w:type="dxa"/>
              <w:bottom w:w="100" w:type="dxa"/>
              <w:left w:w="140" w:type="dxa"/>
              <w:right w:w="140" w:type="dxa"/>
            </w:tcMar>
          </w:tcPr>
          <w:p>
            <w:pPr>
              <w:jc w:val="left"/>
            </w:pPr>
            <w:r>
              <w:rPr>
                <w:color w:val="2D3748"/>
                <w:sz w:val="18"/>
              </w:rPr>
              <w:t xml:space="preserve">  1.3 Divergence of Natural vs. Lab-Grown Diamonds (LGD)</w:t>
            </w:r>
          </w:p>
        </w:tc>
        <w:tc>
          <w:tcPr>
            <w:tcW w:type="dxa" w:w="1296"/>
            <w:shd w:fill="F7FAFC"/>
            <w:tcMar>
              <w:top w:w="100" w:type="dxa"/>
              <w:bottom w:w="100" w:type="dxa"/>
              <w:left w:w="140" w:type="dxa"/>
              <w:right w:w="140" w:type="dxa"/>
            </w:tcMar>
          </w:tcPr>
          <w:p>
            <w:pPr>
              <w:jc w:val="left"/>
            </w:pPr>
            <w:r>
              <w:rPr>
                <w:color w:val="2D3748"/>
                <w:sz w:val="18"/>
              </w:rPr>
              <w:t>3</w:t>
            </w:r>
          </w:p>
        </w:tc>
      </w:tr>
      <w:tr>
        <w:tc>
          <w:tcPr>
            <w:tcW w:type="dxa" w:w="7920"/>
            <w:shd w:fill="FFFFFF"/>
            <w:tcMar>
              <w:top w:w="100" w:type="dxa"/>
              <w:bottom w:w="100" w:type="dxa"/>
              <w:left w:w="140" w:type="dxa"/>
              <w:right w:w="140" w:type="dxa"/>
            </w:tcMar>
          </w:tcPr>
          <w:p>
            <w:pPr>
              <w:jc w:val="left"/>
            </w:pPr>
            <w:r>
              <w:rPr>
                <w:color w:val="2D3748"/>
                <w:sz w:val="18"/>
              </w:rPr>
              <w:t xml:space="preserve">  1.4 Research Objectives and Deliverables</w:t>
            </w:r>
          </w:p>
        </w:tc>
        <w:tc>
          <w:tcPr>
            <w:tcW w:type="dxa" w:w="1296"/>
            <w:shd w:fill="FFFFFF"/>
            <w:tcMar>
              <w:top w:w="100" w:type="dxa"/>
              <w:bottom w:w="100" w:type="dxa"/>
              <w:left w:w="140" w:type="dxa"/>
              <w:right w:w="140" w:type="dxa"/>
            </w:tcMar>
          </w:tcPr>
          <w:p>
            <w:pPr>
              <w:jc w:val="left"/>
            </w:pPr>
            <w:r>
              <w:rPr>
                <w:color w:val="2D3748"/>
                <w:sz w:val="18"/>
              </w:rPr>
              <w:t>4</w:t>
            </w:r>
          </w:p>
        </w:tc>
      </w:tr>
      <w:tr>
        <w:tc>
          <w:tcPr>
            <w:tcW w:type="dxa" w:w="7920"/>
            <w:shd w:fill="F7FAFC"/>
            <w:tcMar>
              <w:top w:w="100" w:type="dxa"/>
              <w:bottom w:w="100" w:type="dxa"/>
              <w:left w:w="140" w:type="dxa"/>
              <w:right w:w="140" w:type="dxa"/>
            </w:tcMar>
          </w:tcPr>
          <w:p>
            <w:pPr>
              <w:jc w:val="left"/>
            </w:pPr>
            <w:r>
              <w:rPr>
                <w:color w:val="2D3748"/>
                <w:sz w:val="18"/>
              </w:rPr>
              <w:t xml:space="preserve">  1.5 Report Organization</w:t>
            </w:r>
          </w:p>
        </w:tc>
        <w:tc>
          <w:tcPr>
            <w:tcW w:type="dxa" w:w="1296"/>
            <w:shd w:fill="F7FAFC"/>
            <w:tcMar>
              <w:top w:w="100" w:type="dxa"/>
              <w:bottom w:w="100" w:type="dxa"/>
              <w:left w:w="140" w:type="dxa"/>
              <w:right w:w="140" w:type="dxa"/>
            </w:tcMar>
          </w:tcPr>
          <w:p>
            <w:pPr>
              <w:jc w:val="left"/>
            </w:pPr>
            <w:r>
              <w:rPr>
                <w:color w:val="2D3748"/>
                <w:sz w:val="18"/>
              </w:rPr>
              <w:t>5</w:t>
            </w:r>
          </w:p>
        </w:tc>
      </w:tr>
      <w:tr>
        <w:tc>
          <w:tcPr>
            <w:tcW w:type="dxa" w:w="7920"/>
            <w:shd w:fill="FFFFFF"/>
            <w:tcMar>
              <w:top w:w="100" w:type="dxa"/>
              <w:bottom w:w="100" w:type="dxa"/>
              <w:left w:w="140" w:type="dxa"/>
              <w:right w:w="140" w:type="dxa"/>
            </w:tcMar>
          </w:tcPr>
          <w:p>
            <w:pPr>
              <w:jc w:val="left"/>
            </w:pPr>
            <w:r>
              <w:rPr>
                <w:color w:val="2D3748"/>
                <w:sz w:val="18"/>
              </w:rPr>
              <w:t>Chapter 2: Why Multi-Pillar Valuation and Domain-Grounded AI?</w:t>
            </w:r>
          </w:p>
        </w:tc>
        <w:tc>
          <w:tcPr>
            <w:tcW w:type="dxa" w:w="1296"/>
            <w:shd w:fill="FFFFFF"/>
            <w:tcMar>
              <w:top w:w="100" w:type="dxa"/>
              <w:bottom w:w="100" w:type="dxa"/>
              <w:left w:w="140" w:type="dxa"/>
              <w:right w:w="140" w:type="dxa"/>
            </w:tcMar>
          </w:tcPr>
          <w:p>
            <w:pPr>
              <w:jc w:val="left"/>
            </w:pPr>
            <w:r>
              <w:rPr>
                <w:color w:val="2D3748"/>
                <w:sz w:val="18"/>
              </w:rPr>
              <w:t>6</w:t>
            </w:r>
          </w:p>
        </w:tc>
      </w:tr>
      <w:tr>
        <w:tc>
          <w:tcPr>
            <w:tcW w:type="dxa" w:w="7920"/>
            <w:shd w:fill="F7FAFC"/>
            <w:tcMar>
              <w:top w:w="100" w:type="dxa"/>
              <w:bottom w:w="100" w:type="dxa"/>
              <w:left w:w="140" w:type="dxa"/>
              <w:right w:w="140" w:type="dxa"/>
            </w:tcMar>
          </w:tcPr>
          <w:p>
            <w:pPr>
              <w:jc w:val="left"/>
            </w:pPr>
            <w:r>
              <w:rPr>
                <w:color w:val="2D3748"/>
                <w:sz w:val="18"/>
              </w:rPr>
              <w:t xml:space="preserve">  2.1 Limitations of Unimodal Machine Learning in Commodity Pricing</w:t>
            </w:r>
          </w:p>
        </w:tc>
        <w:tc>
          <w:tcPr>
            <w:tcW w:type="dxa" w:w="1296"/>
            <w:shd w:fill="F7FAFC"/>
            <w:tcMar>
              <w:top w:w="100" w:type="dxa"/>
              <w:bottom w:w="100" w:type="dxa"/>
              <w:left w:w="140" w:type="dxa"/>
              <w:right w:w="140" w:type="dxa"/>
            </w:tcMar>
          </w:tcPr>
          <w:p>
            <w:pPr>
              <w:jc w:val="left"/>
            </w:pPr>
            <w:r>
              <w:rPr>
                <w:color w:val="2D3748"/>
                <w:sz w:val="18"/>
              </w:rPr>
              <w:t>6</w:t>
            </w:r>
          </w:p>
        </w:tc>
      </w:tr>
      <w:tr>
        <w:tc>
          <w:tcPr>
            <w:tcW w:type="dxa" w:w="7920"/>
            <w:shd w:fill="FFFFFF"/>
            <w:tcMar>
              <w:top w:w="100" w:type="dxa"/>
              <w:bottom w:w="100" w:type="dxa"/>
              <w:left w:w="140" w:type="dxa"/>
              <w:right w:w="140" w:type="dxa"/>
            </w:tcMar>
          </w:tcPr>
          <w:p>
            <w:pPr>
              <w:jc w:val="left"/>
            </w:pPr>
            <w:r>
              <w:rPr>
                <w:color w:val="2D3748"/>
                <w:sz w:val="18"/>
              </w:rPr>
              <w:t xml:space="preserve">  2.2 Why Raw Historical Sales Data Alone is Insufficient</w:t>
            </w:r>
          </w:p>
        </w:tc>
        <w:tc>
          <w:tcPr>
            <w:tcW w:type="dxa" w:w="1296"/>
            <w:shd w:fill="FFFFFF"/>
            <w:tcMar>
              <w:top w:w="100" w:type="dxa"/>
              <w:bottom w:w="100" w:type="dxa"/>
              <w:left w:w="140" w:type="dxa"/>
              <w:right w:w="140" w:type="dxa"/>
            </w:tcMar>
          </w:tcPr>
          <w:p>
            <w:pPr>
              <w:jc w:val="left"/>
            </w:pPr>
            <w:r>
              <w:rPr>
                <w:color w:val="2D3748"/>
                <w:sz w:val="18"/>
              </w:rPr>
              <w:t>7</w:t>
            </w:r>
          </w:p>
        </w:tc>
      </w:tr>
      <w:tr>
        <w:tc>
          <w:tcPr>
            <w:tcW w:type="dxa" w:w="7920"/>
            <w:shd w:fill="F7FAFC"/>
            <w:tcMar>
              <w:top w:w="100" w:type="dxa"/>
              <w:bottom w:w="100" w:type="dxa"/>
              <w:left w:w="140" w:type="dxa"/>
              <w:right w:w="140" w:type="dxa"/>
            </w:tcMar>
          </w:tcPr>
          <w:p>
            <w:pPr>
              <w:jc w:val="left"/>
            </w:pPr>
            <w:r>
              <w:rPr>
                <w:color w:val="2D3748"/>
                <w:sz w:val="18"/>
              </w:rPr>
              <w:t xml:space="preserve">  2.3 The Critical Need for IGI Laboratory Verification</w:t>
            </w:r>
          </w:p>
        </w:tc>
        <w:tc>
          <w:tcPr>
            <w:tcW w:type="dxa" w:w="1296"/>
            <w:shd w:fill="F7FAFC"/>
            <w:tcMar>
              <w:top w:w="100" w:type="dxa"/>
              <w:bottom w:w="100" w:type="dxa"/>
              <w:left w:w="140" w:type="dxa"/>
              <w:right w:w="140" w:type="dxa"/>
            </w:tcMar>
          </w:tcPr>
          <w:p>
            <w:pPr>
              <w:jc w:val="left"/>
            </w:pPr>
            <w:r>
              <w:rPr>
                <w:color w:val="2D3748"/>
                <w:sz w:val="18"/>
              </w:rPr>
              <w:t>8</w:t>
            </w:r>
          </w:p>
        </w:tc>
      </w:tr>
      <w:tr>
        <w:tc>
          <w:tcPr>
            <w:tcW w:type="dxa" w:w="7920"/>
            <w:shd w:fill="FFFFFF"/>
            <w:tcMar>
              <w:top w:w="100" w:type="dxa"/>
              <w:bottom w:w="100" w:type="dxa"/>
              <w:left w:w="140" w:type="dxa"/>
              <w:right w:w="140" w:type="dxa"/>
            </w:tcMar>
          </w:tcPr>
          <w:p>
            <w:pPr>
              <w:jc w:val="left"/>
            </w:pPr>
            <w:r>
              <w:rPr>
                <w:color w:val="2D3748"/>
                <w:sz w:val="18"/>
              </w:rPr>
              <w:t xml:space="preserve">  2.4 Computational Precision and Statutory Indian Taxation Realities</w:t>
            </w:r>
          </w:p>
        </w:tc>
        <w:tc>
          <w:tcPr>
            <w:tcW w:type="dxa" w:w="1296"/>
            <w:shd w:fill="FFFFFF"/>
            <w:tcMar>
              <w:top w:w="100" w:type="dxa"/>
              <w:bottom w:w="100" w:type="dxa"/>
              <w:left w:w="140" w:type="dxa"/>
              <w:right w:w="140" w:type="dxa"/>
            </w:tcMar>
          </w:tcPr>
          <w:p>
            <w:pPr>
              <w:jc w:val="left"/>
            </w:pPr>
            <w:r>
              <w:rPr>
                <w:color w:val="2D3748"/>
                <w:sz w:val="18"/>
              </w:rPr>
              <w:t>9</w:t>
            </w:r>
          </w:p>
        </w:tc>
      </w:tr>
      <w:tr>
        <w:tc>
          <w:tcPr>
            <w:tcW w:type="dxa" w:w="7920"/>
            <w:shd w:fill="F7FAFC"/>
            <w:tcMar>
              <w:top w:w="100" w:type="dxa"/>
              <w:bottom w:w="100" w:type="dxa"/>
              <w:left w:w="140" w:type="dxa"/>
              <w:right w:w="140" w:type="dxa"/>
            </w:tcMar>
          </w:tcPr>
          <w:p>
            <w:pPr>
              <w:jc w:val="left"/>
            </w:pPr>
            <w:r>
              <w:rPr>
                <w:color w:val="2D3748"/>
                <w:sz w:val="18"/>
              </w:rPr>
              <w:t>Chapter 3: Comprehensive Literature Review</w:t>
            </w:r>
          </w:p>
        </w:tc>
        <w:tc>
          <w:tcPr>
            <w:tcW w:type="dxa" w:w="1296"/>
            <w:shd w:fill="F7FAFC"/>
            <w:tcMar>
              <w:top w:w="100" w:type="dxa"/>
              <w:bottom w:w="100" w:type="dxa"/>
              <w:left w:w="140" w:type="dxa"/>
              <w:right w:w="140" w:type="dxa"/>
            </w:tcMar>
          </w:tcPr>
          <w:p>
            <w:pPr>
              <w:jc w:val="left"/>
            </w:pPr>
            <w:r>
              <w:rPr>
                <w:color w:val="2D3748"/>
                <w:sz w:val="18"/>
              </w:rPr>
              <w:t>10</w:t>
            </w:r>
          </w:p>
        </w:tc>
      </w:tr>
      <w:tr>
        <w:tc>
          <w:tcPr>
            <w:tcW w:type="dxa" w:w="7920"/>
            <w:shd w:fill="FFFFFF"/>
            <w:tcMar>
              <w:top w:w="100" w:type="dxa"/>
              <w:bottom w:w="100" w:type="dxa"/>
              <w:left w:w="140" w:type="dxa"/>
              <w:right w:w="140" w:type="dxa"/>
            </w:tcMar>
          </w:tcPr>
          <w:p>
            <w:pPr>
              <w:jc w:val="left"/>
            </w:pPr>
            <w:r>
              <w:rPr>
                <w:color w:val="2D3748"/>
                <w:sz w:val="18"/>
              </w:rPr>
              <w:t xml:space="preserve">  3.1 Scope and Methodology of the Literature Review</w:t>
            </w:r>
          </w:p>
        </w:tc>
        <w:tc>
          <w:tcPr>
            <w:tcW w:type="dxa" w:w="1296"/>
            <w:shd w:fill="FFFFFF"/>
            <w:tcMar>
              <w:top w:w="100" w:type="dxa"/>
              <w:bottom w:w="100" w:type="dxa"/>
              <w:left w:w="140" w:type="dxa"/>
              <w:right w:w="140" w:type="dxa"/>
            </w:tcMar>
          </w:tcPr>
          <w:p>
            <w:pPr>
              <w:jc w:val="left"/>
            </w:pPr>
            <w:r>
              <w:rPr>
                <w:color w:val="2D3748"/>
                <w:sz w:val="18"/>
              </w:rPr>
              <w:t>10</w:t>
            </w:r>
          </w:p>
        </w:tc>
      </w:tr>
      <w:tr>
        <w:tc>
          <w:tcPr>
            <w:tcW w:type="dxa" w:w="7920"/>
            <w:shd w:fill="F7FAFC"/>
            <w:tcMar>
              <w:top w:w="100" w:type="dxa"/>
              <w:bottom w:w="100" w:type="dxa"/>
              <w:left w:w="140" w:type="dxa"/>
              <w:right w:w="140" w:type="dxa"/>
            </w:tcMar>
          </w:tcPr>
          <w:p>
            <w:pPr>
              <w:jc w:val="left"/>
            </w:pPr>
            <w:r>
              <w:rPr>
                <w:color w:val="2D3748"/>
                <w:sz w:val="18"/>
              </w:rPr>
              <w:t xml:space="preserve">  3.2 Classical Diamond Pricing &amp; Gemological Modeling</w:t>
            </w:r>
          </w:p>
        </w:tc>
        <w:tc>
          <w:tcPr>
            <w:tcW w:type="dxa" w:w="1296"/>
            <w:shd w:fill="F7FAFC"/>
            <w:tcMar>
              <w:top w:w="100" w:type="dxa"/>
              <w:bottom w:w="100" w:type="dxa"/>
              <w:left w:w="140" w:type="dxa"/>
              <w:right w:w="140" w:type="dxa"/>
            </w:tcMar>
          </w:tcPr>
          <w:p>
            <w:pPr>
              <w:jc w:val="left"/>
            </w:pPr>
            <w:r>
              <w:rPr>
                <w:color w:val="2D3748"/>
                <w:sz w:val="18"/>
              </w:rPr>
              <w:t>10</w:t>
            </w:r>
          </w:p>
        </w:tc>
      </w:tr>
      <w:tr>
        <w:tc>
          <w:tcPr>
            <w:tcW w:type="dxa" w:w="7920"/>
            <w:shd w:fill="FFFFFF"/>
            <w:tcMar>
              <w:top w:w="100" w:type="dxa"/>
              <w:bottom w:w="100" w:type="dxa"/>
              <w:left w:w="140" w:type="dxa"/>
              <w:right w:w="140" w:type="dxa"/>
            </w:tcMar>
          </w:tcPr>
          <w:p>
            <w:pPr>
              <w:jc w:val="left"/>
            </w:pPr>
            <w:r>
              <w:rPr>
                <w:color w:val="2D3748"/>
                <w:sz w:val="18"/>
              </w:rPr>
              <w:t xml:space="preserve">  3.3 Machine Learning Regression Techniques in Gemology</w:t>
            </w:r>
          </w:p>
        </w:tc>
        <w:tc>
          <w:tcPr>
            <w:tcW w:type="dxa" w:w="1296"/>
            <w:shd w:fill="FFFFFF"/>
            <w:tcMar>
              <w:top w:w="100" w:type="dxa"/>
              <w:bottom w:w="100" w:type="dxa"/>
              <w:left w:w="140" w:type="dxa"/>
              <w:right w:w="140" w:type="dxa"/>
            </w:tcMar>
          </w:tcPr>
          <w:p>
            <w:pPr>
              <w:jc w:val="left"/>
            </w:pPr>
            <w:r>
              <w:rPr>
                <w:color w:val="2D3748"/>
                <w:sz w:val="18"/>
              </w:rPr>
              <w:t>11</w:t>
            </w:r>
          </w:p>
        </w:tc>
      </w:tr>
      <w:tr>
        <w:tc>
          <w:tcPr>
            <w:tcW w:type="dxa" w:w="7920"/>
            <w:shd w:fill="F7FAFC"/>
            <w:tcMar>
              <w:top w:w="100" w:type="dxa"/>
              <w:bottom w:w="100" w:type="dxa"/>
              <w:left w:w="140" w:type="dxa"/>
              <w:right w:w="140" w:type="dxa"/>
            </w:tcMar>
          </w:tcPr>
          <w:p>
            <w:pPr>
              <w:jc w:val="left"/>
            </w:pPr>
            <w:r>
              <w:rPr>
                <w:color w:val="2D3748"/>
                <w:sz w:val="18"/>
              </w:rPr>
              <w:t xml:space="preserve">  3.4 Disentangled Pricing for Synthetic vs. Natural Mineral Commodities</w:t>
            </w:r>
          </w:p>
        </w:tc>
        <w:tc>
          <w:tcPr>
            <w:tcW w:type="dxa" w:w="1296"/>
            <w:shd w:fill="F7FAFC"/>
            <w:tcMar>
              <w:top w:w="100" w:type="dxa"/>
              <w:bottom w:w="100" w:type="dxa"/>
              <w:left w:w="140" w:type="dxa"/>
              <w:right w:w="140" w:type="dxa"/>
            </w:tcMar>
          </w:tcPr>
          <w:p>
            <w:pPr>
              <w:jc w:val="left"/>
            </w:pPr>
            <w:r>
              <w:rPr>
                <w:color w:val="2D3748"/>
                <w:sz w:val="18"/>
              </w:rPr>
              <w:t>12</w:t>
            </w:r>
          </w:p>
        </w:tc>
      </w:tr>
      <w:tr>
        <w:tc>
          <w:tcPr>
            <w:tcW w:type="dxa" w:w="7920"/>
            <w:shd w:fill="FFFFFF"/>
            <w:tcMar>
              <w:top w:w="100" w:type="dxa"/>
              <w:bottom w:w="100" w:type="dxa"/>
              <w:left w:w="140" w:type="dxa"/>
              <w:right w:w="140" w:type="dxa"/>
            </w:tcMar>
          </w:tcPr>
          <w:p>
            <w:pPr>
              <w:jc w:val="left"/>
            </w:pPr>
            <w:r>
              <w:rPr>
                <w:color w:val="2D3748"/>
                <w:sz w:val="18"/>
              </w:rPr>
              <w:t xml:space="preserve">  3.5 Real-Time Market Benchmarking &amp; Bullion Feeds</w:t>
            </w:r>
          </w:p>
        </w:tc>
        <w:tc>
          <w:tcPr>
            <w:tcW w:type="dxa" w:w="1296"/>
            <w:shd w:fill="FFFFFF"/>
            <w:tcMar>
              <w:top w:w="100" w:type="dxa"/>
              <w:bottom w:w="100" w:type="dxa"/>
              <w:left w:w="140" w:type="dxa"/>
              <w:right w:w="140" w:type="dxa"/>
            </w:tcMar>
          </w:tcPr>
          <w:p>
            <w:pPr>
              <w:jc w:val="left"/>
            </w:pPr>
            <w:r>
              <w:rPr>
                <w:color w:val="2D3748"/>
                <w:sz w:val="18"/>
              </w:rPr>
              <w:t>13</w:t>
            </w:r>
          </w:p>
        </w:tc>
      </w:tr>
      <w:tr>
        <w:tc>
          <w:tcPr>
            <w:tcW w:type="dxa" w:w="7920"/>
            <w:shd w:fill="F7FAFC"/>
            <w:tcMar>
              <w:top w:w="100" w:type="dxa"/>
              <w:bottom w:w="100" w:type="dxa"/>
              <w:left w:w="140" w:type="dxa"/>
              <w:right w:w="140" w:type="dxa"/>
            </w:tcMar>
          </w:tcPr>
          <w:p>
            <w:pPr>
              <w:jc w:val="left"/>
            </w:pPr>
            <w:r>
              <w:rPr>
                <w:color w:val="2D3748"/>
                <w:sz w:val="18"/>
              </w:rPr>
              <w:t xml:space="preserve">  3.6 Conversational Agents, Function Calling &amp; Enterprise Systems</w:t>
            </w:r>
          </w:p>
        </w:tc>
        <w:tc>
          <w:tcPr>
            <w:tcW w:type="dxa" w:w="1296"/>
            <w:shd w:fill="F7FAFC"/>
            <w:tcMar>
              <w:top w:w="100" w:type="dxa"/>
              <w:bottom w:w="100" w:type="dxa"/>
              <w:left w:w="140" w:type="dxa"/>
              <w:right w:w="140" w:type="dxa"/>
            </w:tcMar>
          </w:tcPr>
          <w:p>
            <w:pPr>
              <w:jc w:val="left"/>
            </w:pPr>
            <w:r>
              <w:rPr>
                <w:color w:val="2D3748"/>
                <w:sz w:val="18"/>
              </w:rPr>
              <w:t>14</w:t>
            </w:r>
          </w:p>
        </w:tc>
      </w:tr>
      <w:tr>
        <w:tc>
          <w:tcPr>
            <w:tcW w:type="dxa" w:w="7920"/>
            <w:shd w:fill="FFFFFF"/>
            <w:tcMar>
              <w:top w:w="100" w:type="dxa"/>
              <w:bottom w:w="100" w:type="dxa"/>
              <w:left w:w="140" w:type="dxa"/>
              <w:right w:w="140" w:type="dxa"/>
            </w:tcMar>
          </w:tcPr>
          <w:p>
            <w:pPr>
              <w:jc w:val="left"/>
            </w:pPr>
            <w:r>
              <w:rPr>
                <w:color w:val="2D3748"/>
                <w:sz w:val="18"/>
              </w:rPr>
              <w:t xml:space="preserve">  3.7 Comparative Analysis Table of Related Works</w:t>
            </w:r>
          </w:p>
        </w:tc>
        <w:tc>
          <w:tcPr>
            <w:tcW w:type="dxa" w:w="1296"/>
            <w:shd w:fill="FFFFFF"/>
            <w:tcMar>
              <w:top w:w="100" w:type="dxa"/>
              <w:bottom w:w="100" w:type="dxa"/>
              <w:left w:w="140" w:type="dxa"/>
              <w:right w:w="140" w:type="dxa"/>
            </w:tcMar>
          </w:tcPr>
          <w:p>
            <w:pPr>
              <w:jc w:val="left"/>
            </w:pPr>
            <w:r>
              <w:rPr>
                <w:color w:val="2D3748"/>
                <w:sz w:val="18"/>
              </w:rPr>
              <w:t>15</w:t>
            </w:r>
          </w:p>
        </w:tc>
      </w:tr>
      <w:tr>
        <w:tc>
          <w:tcPr>
            <w:tcW w:type="dxa" w:w="7920"/>
            <w:shd w:fill="F7FAFC"/>
            <w:tcMar>
              <w:top w:w="100" w:type="dxa"/>
              <w:bottom w:w="100" w:type="dxa"/>
              <w:left w:w="140" w:type="dxa"/>
              <w:right w:w="140" w:type="dxa"/>
            </w:tcMar>
          </w:tcPr>
          <w:p>
            <w:pPr>
              <w:jc w:val="left"/>
            </w:pPr>
            <w:r>
              <w:rPr>
                <w:color w:val="2D3748"/>
                <w:sz w:val="18"/>
              </w:rPr>
              <w:t xml:space="preserve">  3.8 Identified Research Gaps</w:t>
            </w:r>
          </w:p>
        </w:tc>
        <w:tc>
          <w:tcPr>
            <w:tcW w:type="dxa" w:w="1296"/>
            <w:shd w:fill="F7FAFC"/>
            <w:tcMar>
              <w:top w:w="100" w:type="dxa"/>
              <w:bottom w:w="100" w:type="dxa"/>
              <w:left w:w="140" w:type="dxa"/>
              <w:right w:w="140" w:type="dxa"/>
            </w:tcMar>
          </w:tcPr>
          <w:p>
            <w:pPr>
              <w:jc w:val="left"/>
            </w:pPr>
            <w:r>
              <w:rPr>
                <w:color w:val="2D3748"/>
                <w:sz w:val="18"/>
              </w:rPr>
              <w:t>17</w:t>
            </w:r>
          </w:p>
        </w:tc>
      </w:tr>
      <w:tr>
        <w:tc>
          <w:tcPr>
            <w:tcW w:type="dxa" w:w="7920"/>
            <w:shd w:fill="FFFFFF"/>
            <w:tcMar>
              <w:top w:w="100" w:type="dxa"/>
              <w:bottom w:w="100" w:type="dxa"/>
              <w:left w:w="140" w:type="dxa"/>
              <w:right w:w="140" w:type="dxa"/>
            </w:tcMar>
          </w:tcPr>
          <w:p>
            <w:pPr>
              <w:jc w:val="left"/>
            </w:pPr>
            <w:r>
              <w:rPr>
                <w:color w:val="2D3748"/>
                <w:sz w:val="18"/>
              </w:rPr>
              <w:t>Chapter 4: Problem Statement and System Requirements</w:t>
            </w:r>
          </w:p>
        </w:tc>
        <w:tc>
          <w:tcPr>
            <w:tcW w:type="dxa" w:w="1296"/>
            <w:shd w:fill="FFFFFF"/>
            <w:tcMar>
              <w:top w:w="100" w:type="dxa"/>
              <w:bottom w:w="100" w:type="dxa"/>
              <w:left w:w="140" w:type="dxa"/>
              <w:right w:w="140" w:type="dxa"/>
            </w:tcMar>
          </w:tcPr>
          <w:p>
            <w:pPr>
              <w:jc w:val="left"/>
            </w:pPr>
            <w:r>
              <w:rPr>
                <w:color w:val="2D3748"/>
                <w:sz w:val="18"/>
              </w:rPr>
              <w:t>18</w:t>
            </w:r>
          </w:p>
        </w:tc>
      </w:tr>
      <w:tr>
        <w:tc>
          <w:tcPr>
            <w:tcW w:type="dxa" w:w="7920"/>
            <w:shd w:fill="F7FAFC"/>
            <w:tcMar>
              <w:top w:w="100" w:type="dxa"/>
              <w:bottom w:w="100" w:type="dxa"/>
              <w:left w:w="140" w:type="dxa"/>
              <w:right w:w="140" w:type="dxa"/>
            </w:tcMar>
          </w:tcPr>
          <w:p>
            <w:pPr>
              <w:jc w:val="left"/>
            </w:pPr>
            <w:r>
              <w:rPr>
                <w:color w:val="2D3748"/>
                <w:sz w:val="18"/>
              </w:rPr>
              <w:t xml:space="preserve">  4.1 Formal Problem Statement</w:t>
            </w:r>
          </w:p>
        </w:tc>
        <w:tc>
          <w:tcPr>
            <w:tcW w:type="dxa" w:w="1296"/>
            <w:shd w:fill="F7FAFC"/>
            <w:tcMar>
              <w:top w:w="100" w:type="dxa"/>
              <w:bottom w:w="100" w:type="dxa"/>
              <w:left w:w="140" w:type="dxa"/>
              <w:right w:w="140" w:type="dxa"/>
            </w:tcMar>
          </w:tcPr>
          <w:p>
            <w:pPr>
              <w:jc w:val="left"/>
            </w:pPr>
            <w:r>
              <w:rPr>
                <w:color w:val="2D3748"/>
                <w:sz w:val="18"/>
              </w:rPr>
              <w:t>18</w:t>
            </w:r>
          </w:p>
        </w:tc>
      </w:tr>
      <w:tr>
        <w:tc>
          <w:tcPr>
            <w:tcW w:type="dxa" w:w="7920"/>
            <w:shd w:fill="FFFFFF"/>
            <w:tcMar>
              <w:top w:w="100" w:type="dxa"/>
              <w:bottom w:w="100" w:type="dxa"/>
              <w:left w:w="140" w:type="dxa"/>
              <w:right w:w="140" w:type="dxa"/>
            </w:tcMar>
          </w:tcPr>
          <w:p>
            <w:pPr>
              <w:jc w:val="left"/>
            </w:pPr>
            <w:r>
              <w:rPr>
                <w:color w:val="2D3748"/>
                <w:sz w:val="18"/>
              </w:rPr>
              <w:t xml:space="preserve">  4.2 System Constraints and Threat Model</w:t>
            </w:r>
          </w:p>
        </w:tc>
        <w:tc>
          <w:tcPr>
            <w:tcW w:type="dxa" w:w="1296"/>
            <w:shd w:fill="FFFFFF"/>
            <w:tcMar>
              <w:top w:w="100" w:type="dxa"/>
              <w:bottom w:w="100" w:type="dxa"/>
              <w:left w:w="140" w:type="dxa"/>
              <w:right w:w="140" w:type="dxa"/>
            </w:tcMar>
          </w:tcPr>
          <w:p>
            <w:pPr>
              <w:jc w:val="left"/>
            </w:pPr>
            <w:r>
              <w:rPr>
                <w:color w:val="2D3748"/>
                <w:sz w:val="18"/>
              </w:rPr>
              <w:t>18</w:t>
            </w:r>
          </w:p>
        </w:tc>
      </w:tr>
      <w:tr>
        <w:tc>
          <w:tcPr>
            <w:tcW w:type="dxa" w:w="7920"/>
            <w:shd w:fill="F7FAFC"/>
            <w:tcMar>
              <w:top w:w="100" w:type="dxa"/>
              <w:bottom w:w="100" w:type="dxa"/>
              <w:left w:w="140" w:type="dxa"/>
              <w:right w:w="140" w:type="dxa"/>
            </w:tcMar>
          </w:tcPr>
          <w:p>
            <w:pPr>
              <w:jc w:val="left"/>
            </w:pPr>
            <w:r>
              <w:rPr>
                <w:color w:val="2D3748"/>
                <w:sz w:val="18"/>
              </w:rPr>
              <w:t xml:space="preserve">  4.3 Functional Requirements</w:t>
            </w:r>
          </w:p>
        </w:tc>
        <w:tc>
          <w:tcPr>
            <w:tcW w:type="dxa" w:w="1296"/>
            <w:shd w:fill="F7FAFC"/>
            <w:tcMar>
              <w:top w:w="100" w:type="dxa"/>
              <w:bottom w:w="100" w:type="dxa"/>
              <w:left w:w="140" w:type="dxa"/>
              <w:right w:w="140" w:type="dxa"/>
            </w:tcMar>
          </w:tcPr>
          <w:p>
            <w:pPr>
              <w:jc w:val="left"/>
            </w:pPr>
            <w:r>
              <w:rPr>
                <w:color w:val="2D3748"/>
                <w:sz w:val="18"/>
              </w:rPr>
              <w:t>19</w:t>
            </w:r>
          </w:p>
        </w:tc>
      </w:tr>
      <w:tr>
        <w:tc>
          <w:tcPr>
            <w:tcW w:type="dxa" w:w="7920"/>
            <w:shd w:fill="FFFFFF"/>
            <w:tcMar>
              <w:top w:w="100" w:type="dxa"/>
              <w:bottom w:w="100" w:type="dxa"/>
              <w:left w:w="140" w:type="dxa"/>
              <w:right w:w="140" w:type="dxa"/>
            </w:tcMar>
          </w:tcPr>
          <w:p>
            <w:pPr>
              <w:jc w:val="left"/>
            </w:pPr>
            <w:r>
              <w:rPr>
                <w:color w:val="2D3748"/>
                <w:sz w:val="18"/>
              </w:rPr>
              <w:t xml:space="preserve">  4.4 Non-Functional Requirements</w:t>
            </w:r>
          </w:p>
        </w:tc>
        <w:tc>
          <w:tcPr>
            <w:tcW w:type="dxa" w:w="1296"/>
            <w:shd w:fill="FFFFFF"/>
            <w:tcMar>
              <w:top w:w="100" w:type="dxa"/>
              <w:bottom w:w="100" w:type="dxa"/>
              <w:left w:w="140" w:type="dxa"/>
              <w:right w:w="140" w:type="dxa"/>
            </w:tcMar>
          </w:tcPr>
          <w:p>
            <w:pPr>
              <w:jc w:val="left"/>
            </w:pPr>
            <w:r>
              <w:rPr>
                <w:color w:val="2D3748"/>
                <w:sz w:val="18"/>
              </w:rPr>
              <w:t>20</w:t>
            </w:r>
          </w:p>
        </w:tc>
      </w:tr>
      <w:tr>
        <w:tc>
          <w:tcPr>
            <w:tcW w:type="dxa" w:w="7920"/>
            <w:shd w:fill="F7FAFC"/>
            <w:tcMar>
              <w:top w:w="100" w:type="dxa"/>
              <w:bottom w:w="100" w:type="dxa"/>
              <w:left w:w="140" w:type="dxa"/>
              <w:right w:w="140" w:type="dxa"/>
            </w:tcMar>
          </w:tcPr>
          <w:p>
            <w:pPr>
              <w:jc w:val="left"/>
            </w:pPr>
            <w:r>
              <w:rPr>
                <w:color w:val="2D3748"/>
                <w:sz w:val="18"/>
              </w:rPr>
              <w:t>Chapter 5: System Architecture and Design</w:t>
            </w:r>
          </w:p>
        </w:tc>
        <w:tc>
          <w:tcPr>
            <w:tcW w:type="dxa" w:w="1296"/>
            <w:shd w:fill="F7FAFC"/>
            <w:tcMar>
              <w:top w:w="100" w:type="dxa"/>
              <w:bottom w:w="100" w:type="dxa"/>
              <w:left w:w="140" w:type="dxa"/>
              <w:right w:w="140" w:type="dxa"/>
            </w:tcMar>
          </w:tcPr>
          <w:p>
            <w:pPr>
              <w:jc w:val="left"/>
            </w:pPr>
            <w:r>
              <w:rPr>
                <w:color w:val="2D3748"/>
                <w:sz w:val="18"/>
              </w:rPr>
              <w:t>21</w:t>
            </w:r>
          </w:p>
        </w:tc>
      </w:tr>
      <w:tr>
        <w:tc>
          <w:tcPr>
            <w:tcW w:type="dxa" w:w="7920"/>
            <w:shd w:fill="FFFFFF"/>
            <w:tcMar>
              <w:top w:w="100" w:type="dxa"/>
              <w:bottom w:w="100" w:type="dxa"/>
              <w:left w:w="140" w:type="dxa"/>
              <w:right w:w="140" w:type="dxa"/>
            </w:tcMar>
          </w:tcPr>
          <w:p>
            <w:pPr>
              <w:jc w:val="left"/>
            </w:pPr>
            <w:r>
              <w:rPr>
                <w:color w:val="2D3748"/>
                <w:sz w:val="18"/>
              </w:rPr>
              <w:t xml:space="preserve">  5.1 End-to-End Multi-Tier Architectural Design</w:t>
            </w:r>
          </w:p>
        </w:tc>
        <w:tc>
          <w:tcPr>
            <w:tcW w:type="dxa" w:w="1296"/>
            <w:shd w:fill="FFFFFF"/>
            <w:tcMar>
              <w:top w:w="100" w:type="dxa"/>
              <w:bottom w:w="100" w:type="dxa"/>
              <w:left w:w="140" w:type="dxa"/>
              <w:right w:w="140" w:type="dxa"/>
            </w:tcMar>
          </w:tcPr>
          <w:p>
            <w:pPr>
              <w:jc w:val="left"/>
            </w:pPr>
            <w:r>
              <w:rPr>
                <w:color w:val="2D3748"/>
                <w:sz w:val="18"/>
              </w:rPr>
              <w:t>21</w:t>
            </w:r>
          </w:p>
        </w:tc>
      </w:tr>
      <w:tr>
        <w:tc>
          <w:tcPr>
            <w:tcW w:type="dxa" w:w="7920"/>
            <w:shd w:fill="F7FAFC"/>
            <w:tcMar>
              <w:top w:w="100" w:type="dxa"/>
              <w:bottom w:w="100" w:type="dxa"/>
              <w:left w:w="140" w:type="dxa"/>
              <w:right w:w="140" w:type="dxa"/>
            </w:tcMar>
          </w:tcPr>
          <w:p>
            <w:pPr>
              <w:jc w:val="left"/>
            </w:pPr>
            <w:r>
              <w:rPr>
                <w:color w:val="2D3748"/>
                <w:sz w:val="18"/>
              </w:rPr>
              <w:t xml:space="preserve">  5.2 Verification &amp; Document Processing Tier</w:t>
            </w:r>
          </w:p>
        </w:tc>
        <w:tc>
          <w:tcPr>
            <w:tcW w:type="dxa" w:w="1296"/>
            <w:shd w:fill="F7FAFC"/>
            <w:tcMar>
              <w:top w:w="100" w:type="dxa"/>
              <w:bottom w:w="100" w:type="dxa"/>
              <w:left w:w="140" w:type="dxa"/>
              <w:right w:w="140" w:type="dxa"/>
            </w:tcMar>
          </w:tcPr>
          <w:p>
            <w:pPr>
              <w:jc w:val="left"/>
            </w:pPr>
            <w:r>
              <w:rPr>
                <w:color w:val="2D3748"/>
                <w:sz w:val="18"/>
              </w:rPr>
              <w:t>23</w:t>
            </w:r>
          </w:p>
        </w:tc>
      </w:tr>
      <w:tr>
        <w:tc>
          <w:tcPr>
            <w:tcW w:type="dxa" w:w="7920"/>
            <w:shd w:fill="FFFFFF"/>
            <w:tcMar>
              <w:top w:w="100" w:type="dxa"/>
              <w:bottom w:w="100" w:type="dxa"/>
              <w:left w:w="140" w:type="dxa"/>
              <w:right w:w="140" w:type="dxa"/>
            </w:tcMar>
          </w:tcPr>
          <w:p>
            <w:pPr>
              <w:jc w:val="left"/>
            </w:pPr>
            <w:r>
              <w:rPr>
                <w:color w:val="2D3748"/>
                <w:sz w:val="18"/>
              </w:rPr>
              <w:t xml:space="preserve">  5.3 Gemological Normalization &amp; Origin Separation Tier</w:t>
            </w:r>
          </w:p>
        </w:tc>
        <w:tc>
          <w:tcPr>
            <w:tcW w:type="dxa" w:w="1296"/>
            <w:shd w:fill="FFFFFF"/>
            <w:tcMar>
              <w:top w:w="100" w:type="dxa"/>
              <w:bottom w:w="100" w:type="dxa"/>
              <w:left w:w="140" w:type="dxa"/>
              <w:right w:w="140" w:type="dxa"/>
            </w:tcMar>
          </w:tcPr>
          <w:p>
            <w:pPr>
              <w:jc w:val="left"/>
            </w:pPr>
            <w:r>
              <w:rPr>
                <w:color w:val="2D3748"/>
                <w:sz w:val="18"/>
              </w:rPr>
              <w:t>24</w:t>
            </w:r>
          </w:p>
        </w:tc>
      </w:tr>
      <w:tr>
        <w:tc>
          <w:tcPr>
            <w:tcW w:type="dxa" w:w="7920"/>
            <w:shd w:fill="F7FAFC"/>
            <w:tcMar>
              <w:top w:w="100" w:type="dxa"/>
              <w:bottom w:w="100" w:type="dxa"/>
              <w:left w:w="140" w:type="dxa"/>
              <w:right w:w="140" w:type="dxa"/>
            </w:tcMar>
          </w:tcPr>
          <w:p>
            <w:pPr>
              <w:jc w:val="left"/>
            </w:pPr>
            <w:r>
              <w:rPr>
                <w:color w:val="2D3748"/>
                <w:sz w:val="18"/>
              </w:rPr>
              <w:t xml:space="preserve">  5.4 The 4-Pillar Hybrid Valuation Engine</w:t>
            </w:r>
          </w:p>
        </w:tc>
        <w:tc>
          <w:tcPr>
            <w:tcW w:type="dxa" w:w="1296"/>
            <w:shd w:fill="F7FAFC"/>
            <w:tcMar>
              <w:top w:w="100" w:type="dxa"/>
              <w:bottom w:w="100" w:type="dxa"/>
              <w:left w:w="140" w:type="dxa"/>
              <w:right w:w="140" w:type="dxa"/>
            </w:tcMar>
          </w:tcPr>
          <w:p>
            <w:pPr>
              <w:jc w:val="left"/>
            </w:pPr>
            <w:r>
              <w:rPr>
                <w:color w:val="2D3748"/>
                <w:sz w:val="18"/>
              </w:rPr>
              <w:t>25</w:t>
            </w:r>
          </w:p>
        </w:tc>
      </w:tr>
      <w:tr>
        <w:tc>
          <w:tcPr>
            <w:tcW w:type="dxa" w:w="7920"/>
            <w:shd w:fill="FFFFFF"/>
            <w:tcMar>
              <w:top w:w="100" w:type="dxa"/>
              <w:bottom w:w="100" w:type="dxa"/>
              <w:left w:w="140" w:type="dxa"/>
              <w:right w:w="140" w:type="dxa"/>
            </w:tcMar>
          </w:tcPr>
          <w:p>
            <w:pPr>
              <w:jc w:val="left"/>
            </w:pPr>
            <w:r>
              <w:rPr>
                <w:color w:val="2D3748"/>
                <w:sz w:val="18"/>
              </w:rPr>
              <w:t xml:space="preserve">  5.5 High-Precision Decimal Invoicing &amp; Accounting Tier</w:t>
            </w:r>
          </w:p>
        </w:tc>
        <w:tc>
          <w:tcPr>
            <w:tcW w:type="dxa" w:w="1296"/>
            <w:shd w:fill="FFFFFF"/>
            <w:tcMar>
              <w:top w:w="100" w:type="dxa"/>
              <w:bottom w:w="100" w:type="dxa"/>
              <w:left w:w="140" w:type="dxa"/>
              <w:right w:w="140" w:type="dxa"/>
            </w:tcMar>
          </w:tcPr>
          <w:p>
            <w:pPr>
              <w:jc w:val="left"/>
            </w:pPr>
            <w:r>
              <w:rPr>
                <w:color w:val="2D3748"/>
                <w:sz w:val="18"/>
              </w:rPr>
              <w:t>26</w:t>
            </w:r>
          </w:p>
        </w:tc>
      </w:tr>
      <w:tr>
        <w:tc>
          <w:tcPr>
            <w:tcW w:type="dxa" w:w="7920"/>
            <w:shd w:fill="F7FAFC"/>
            <w:tcMar>
              <w:top w:w="100" w:type="dxa"/>
              <w:bottom w:w="100" w:type="dxa"/>
              <w:left w:w="140" w:type="dxa"/>
              <w:right w:w="140" w:type="dxa"/>
            </w:tcMar>
          </w:tcPr>
          <w:p>
            <w:pPr>
              <w:jc w:val="left"/>
            </w:pPr>
            <w:r>
              <w:rPr>
                <w:color w:val="2D3748"/>
                <w:sz w:val="18"/>
              </w:rPr>
              <w:t xml:space="preserve">  5.6 Conversational Trade Advisor Agent Architecture</w:t>
            </w:r>
          </w:p>
        </w:tc>
        <w:tc>
          <w:tcPr>
            <w:tcW w:type="dxa" w:w="1296"/>
            <w:shd w:fill="F7FAFC"/>
            <w:tcMar>
              <w:top w:w="100" w:type="dxa"/>
              <w:bottom w:w="100" w:type="dxa"/>
              <w:left w:w="140" w:type="dxa"/>
              <w:right w:w="140" w:type="dxa"/>
            </w:tcMar>
          </w:tcPr>
          <w:p>
            <w:pPr>
              <w:jc w:val="left"/>
            </w:pPr>
            <w:r>
              <w:rPr>
                <w:color w:val="2D3748"/>
                <w:sz w:val="18"/>
              </w:rPr>
              <w:t>27</w:t>
            </w:r>
          </w:p>
        </w:tc>
      </w:tr>
      <w:tr>
        <w:tc>
          <w:tcPr>
            <w:tcW w:type="dxa" w:w="7920"/>
            <w:shd w:fill="FFFFFF"/>
            <w:tcMar>
              <w:top w:w="100" w:type="dxa"/>
              <w:bottom w:w="100" w:type="dxa"/>
              <w:left w:w="140" w:type="dxa"/>
              <w:right w:w="140" w:type="dxa"/>
            </w:tcMar>
          </w:tcPr>
          <w:p>
            <w:pPr>
              <w:jc w:val="left"/>
            </w:pPr>
            <w:r>
              <w:rPr>
                <w:color w:val="2D3748"/>
                <w:sz w:val="18"/>
              </w:rPr>
              <w:t xml:space="preserve">  5.7 Relational Database Schema Design</w:t>
            </w:r>
          </w:p>
        </w:tc>
        <w:tc>
          <w:tcPr>
            <w:tcW w:type="dxa" w:w="1296"/>
            <w:shd w:fill="FFFFFF"/>
            <w:tcMar>
              <w:top w:w="100" w:type="dxa"/>
              <w:bottom w:w="100" w:type="dxa"/>
              <w:left w:w="140" w:type="dxa"/>
              <w:right w:w="140" w:type="dxa"/>
            </w:tcMar>
          </w:tcPr>
          <w:p>
            <w:pPr>
              <w:jc w:val="left"/>
            </w:pPr>
            <w:r>
              <w:rPr>
                <w:color w:val="2D3748"/>
                <w:sz w:val="18"/>
              </w:rPr>
              <w:t>28</w:t>
            </w:r>
          </w:p>
        </w:tc>
      </w:tr>
      <w:tr>
        <w:tc>
          <w:tcPr>
            <w:tcW w:type="dxa" w:w="7920"/>
            <w:shd w:fill="F7FAFC"/>
            <w:tcMar>
              <w:top w:w="100" w:type="dxa"/>
              <w:bottom w:w="100" w:type="dxa"/>
              <w:left w:w="140" w:type="dxa"/>
              <w:right w:w="140" w:type="dxa"/>
            </w:tcMar>
          </w:tcPr>
          <w:p>
            <w:pPr>
              <w:jc w:val="left"/>
            </w:pPr>
            <w:r>
              <w:rPr>
                <w:color w:val="2D3748"/>
                <w:sz w:val="18"/>
              </w:rPr>
              <w:t>Chapter 6: Proposed Methodology and Algorithms</w:t>
            </w:r>
          </w:p>
        </w:tc>
        <w:tc>
          <w:tcPr>
            <w:tcW w:type="dxa" w:w="1296"/>
            <w:shd w:fill="F7FAFC"/>
            <w:tcMar>
              <w:top w:w="100" w:type="dxa"/>
              <w:bottom w:w="100" w:type="dxa"/>
              <w:left w:w="140" w:type="dxa"/>
              <w:right w:w="140" w:type="dxa"/>
            </w:tcMar>
          </w:tcPr>
          <w:p>
            <w:pPr>
              <w:jc w:val="left"/>
            </w:pPr>
            <w:r>
              <w:rPr>
                <w:color w:val="2D3748"/>
                <w:sz w:val="18"/>
              </w:rPr>
              <w:t>30</w:t>
            </w:r>
          </w:p>
        </w:tc>
      </w:tr>
      <w:tr>
        <w:tc>
          <w:tcPr>
            <w:tcW w:type="dxa" w:w="7920"/>
            <w:shd w:fill="FFFFFF"/>
            <w:tcMar>
              <w:top w:w="100" w:type="dxa"/>
              <w:bottom w:w="100" w:type="dxa"/>
              <w:left w:w="140" w:type="dxa"/>
              <w:right w:w="140" w:type="dxa"/>
            </w:tcMar>
          </w:tcPr>
          <w:p>
            <w:pPr>
              <w:jc w:val="left"/>
            </w:pPr>
            <w:r>
              <w:rPr>
                <w:color w:val="2D3748"/>
                <w:sz w:val="18"/>
              </w:rPr>
              <w:t xml:space="preserve">  6.1 Mathematical Formulation of Valuation &amp; Loss Functions</w:t>
            </w:r>
          </w:p>
        </w:tc>
        <w:tc>
          <w:tcPr>
            <w:tcW w:type="dxa" w:w="1296"/>
            <w:shd w:fill="FFFFFF"/>
            <w:tcMar>
              <w:top w:w="100" w:type="dxa"/>
              <w:bottom w:w="100" w:type="dxa"/>
              <w:left w:w="140" w:type="dxa"/>
              <w:right w:w="140" w:type="dxa"/>
            </w:tcMar>
          </w:tcPr>
          <w:p>
            <w:pPr>
              <w:jc w:val="left"/>
            </w:pPr>
            <w:r>
              <w:rPr>
                <w:color w:val="2D3748"/>
                <w:sz w:val="18"/>
              </w:rPr>
              <w:t>30</w:t>
            </w:r>
          </w:p>
        </w:tc>
      </w:tr>
      <w:tr>
        <w:tc>
          <w:tcPr>
            <w:tcW w:type="dxa" w:w="7920"/>
            <w:shd w:fill="F7FAFC"/>
            <w:tcMar>
              <w:top w:w="100" w:type="dxa"/>
              <w:bottom w:w="100" w:type="dxa"/>
              <w:left w:w="140" w:type="dxa"/>
              <w:right w:w="140" w:type="dxa"/>
            </w:tcMar>
          </w:tcPr>
          <w:p>
            <w:pPr>
              <w:jc w:val="left"/>
            </w:pPr>
            <w:r>
              <w:rPr>
                <w:color w:val="2D3748"/>
                <w:sz w:val="18"/>
              </w:rPr>
              <w:t xml:space="preserve">  6.2 Data Ingestion &amp; Preprocessing Pipeline</w:t>
            </w:r>
          </w:p>
        </w:tc>
        <w:tc>
          <w:tcPr>
            <w:tcW w:type="dxa" w:w="1296"/>
            <w:shd w:fill="F7FAFC"/>
            <w:tcMar>
              <w:top w:w="100" w:type="dxa"/>
              <w:bottom w:w="100" w:type="dxa"/>
              <w:left w:w="140" w:type="dxa"/>
              <w:right w:w="140" w:type="dxa"/>
            </w:tcMar>
          </w:tcPr>
          <w:p>
            <w:pPr>
              <w:jc w:val="left"/>
            </w:pPr>
            <w:r>
              <w:rPr>
                <w:color w:val="2D3748"/>
                <w:sz w:val="18"/>
              </w:rPr>
              <w:t>31</w:t>
            </w:r>
          </w:p>
        </w:tc>
      </w:tr>
      <w:tr>
        <w:tc>
          <w:tcPr>
            <w:tcW w:type="dxa" w:w="7920"/>
            <w:shd w:fill="FFFFFF"/>
            <w:tcMar>
              <w:top w:w="100" w:type="dxa"/>
              <w:bottom w:w="100" w:type="dxa"/>
              <w:left w:w="140" w:type="dxa"/>
              <w:right w:w="140" w:type="dxa"/>
            </w:tcMar>
          </w:tcPr>
          <w:p>
            <w:pPr>
              <w:jc w:val="left"/>
            </w:pPr>
            <w:r>
              <w:rPr>
                <w:color w:val="2D3748"/>
                <w:sz w:val="18"/>
              </w:rPr>
              <w:t xml:space="preserve">  6.3 Machine Learning Baseline Models (Formulations)</w:t>
            </w:r>
          </w:p>
        </w:tc>
        <w:tc>
          <w:tcPr>
            <w:tcW w:type="dxa" w:w="1296"/>
            <w:shd w:fill="FFFFFF"/>
            <w:tcMar>
              <w:top w:w="100" w:type="dxa"/>
              <w:bottom w:w="100" w:type="dxa"/>
              <w:left w:w="140" w:type="dxa"/>
              <w:right w:w="140" w:type="dxa"/>
            </w:tcMar>
          </w:tcPr>
          <w:p>
            <w:pPr>
              <w:jc w:val="left"/>
            </w:pPr>
            <w:r>
              <w:rPr>
                <w:color w:val="2D3748"/>
                <w:sz w:val="18"/>
              </w:rPr>
              <w:t>32</w:t>
            </w:r>
          </w:p>
        </w:tc>
      </w:tr>
      <w:tr>
        <w:tc>
          <w:tcPr>
            <w:tcW w:type="dxa" w:w="7920"/>
            <w:shd w:fill="F7FAFC"/>
            <w:tcMar>
              <w:top w:w="100" w:type="dxa"/>
              <w:bottom w:w="100" w:type="dxa"/>
              <w:left w:w="140" w:type="dxa"/>
              <w:right w:w="140" w:type="dxa"/>
            </w:tcMar>
          </w:tcPr>
          <w:p>
            <w:pPr>
              <w:jc w:val="left"/>
            </w:pPr>
            <w:r>
              <w:rPr>
                <w:color w:val="2D3748"/>
                <w:sz w:val="18"/>
              </w:rPr>
              <w:t xml:space="preserve">  6.4 Algorithm 1: Automated IGI Certificate Extraction &amp; Normalization</w:t>
            </w:r>
          </w:p>
        </w:tc>
        <w:tc>
          <w:tcPr>
            <w:tcW w:type="dxa" w:w="1296"/>
            <w:shd w:fill="F7FAFC"/>
            <w:tcMar>
              <w:top w:w="100" w:type="dxa"/>
              <w:bottom w:w="100" w:type="dxa"/>
              <w:left w:w="140" w:type="dxa"/>
              <w:right w:w="140" w:type="dxa"/>
            </w:tcMar>
          </w:tcPr>
          <w:p>
            <w:pPr>
              <w:jc w:val="left"/>
            </w:pPr>
            <w:r>
              <w:rPr>
                <w:color w:val="2D3748"/>
                <w:sz w:val="18"/>
              </w:rPr>
              <w:t>33</w:t>
            </w:r>
          </w:p>
        </w:tc>
      </w:tr>
      <w:tr>
        <w:tc>
          <w:tcPr>
            <w:tcW w:type="dxa" w:w="7920"/>
            <w:shd w:fill="FFFFFF"/>
            <w:tcMar>
              <w:top w:w="100" w:type="dxa"/>
              <w:bottom w:w="100" w:type="dxa"/>
              <w:left w:w="140" w:type="dxa"/>
              <w:right w:w="140" w:type="dxa"/>
            </w:tcMar>
          </w:tcPr>
          <w:p>
            <w:pPr>
              <w:jc w:val="left"/>
            </w:pPr>
            <w:r>
              <w:rPr>
                <w:color w:val="2D3748"/>
                <w:sz w:val="18"/>
              </w:rPr>
              <w:t xml:space="preserve">  6.5 Algorithm 2: 4-Pillar Hybrid Valuation with AI Face Score Layer</w:t>
            </w:r>
          </w:p>
        </w:tc>
        <w:tc>
          <w:tcPr>
            <w:tcW w:type="dxa" w:w="1296"/>
            <w:shd w:fill="FFFFFF"/>
            <w:tcMar>
              <w:top w:w="100" w:type="dxa"/>
              <w:bottom w:w="100" w:type="dxa"/>
              <w:left w:w="140" w:type="dxa"/>
              <w:right w:w="140" w:type="dxa"/>
            </w:tcMar>
          </w:tcPr>
          <w:p>
            <w:pPr>
              <w:jc w:val="left"/>
            </w:pPr>
            <w:r>
              <w:rPr>
                <w:color w:val="2D3748"/>
                <w:sz w:val="18"/>
              </w:rPr>
              <w:t>34</w:t>
            </w:r>
          </w:p>
        </w:tc>
      </w:tr>
      <w:tr>
        <w:tc>
          <w:tcPr>
            <w:tcW w:type="dxa" w:w="7920"/>
            <w:shd w:fill="F7FAFC"/>
            <w:tcMar>
              <w:top w:w="100" w:type="dxa"/>
              <w:bottom w:w="100" w:type="dxa"/>
              <w:left w:w="140" w:type="dxa"/>
              <w:right w:w="140" w:type="dxa"/>
            </w:tcMar>
          </w:tcPr>
          <w:p>
            <w:pPr>
              <w:jc w:val="left"/>
            </w:pPr>
            <w:r>
              <w:rPr>
                <w:color w:val="2D3748"/>
                <w:sz w:val="18"/>
              </w:rPr>
              <w:t xml:space="preserve">  6.6 Algorithm 3: High-Precision Decimal Costing &amp; GST Invoice Computation</w:t>
            </w:r>
          </w:p>
        </w:tc>
        <w:tc>
          <w:tcPr>
            <w:tcW w:type="dxa" w:w="1296"/>
            <w:shd w:fill="F7FAFC"/>
            <w:tcMar>
              <w:top w:w="100" w:type="dxa"/>
              <w:bottom w:w="100" w:type="dxa"/>
              <w:left w:w="140" w:type="dxa"/>
              <w:right w:w="140" w:type="dxa"/>
            </w:tcMar>
          </w:tcPr>
          <w:p>
            <w:pPr>
              <w:jc w:val="left"/>
            </w:pPr>
            <w:r>
              <w:rPr>
                <w:color w:val="2D3748"/>
                <w:sz w:val="18"/>
              </w:rPr>
              <w:t>35</w:t>
            </w:r>
          </w:p>
        </w:tc>
      </w:tr>
      <w:tr>
        <w:tc>
          <w:tcPr>
            <w:tcW w:type="dxa" w:w="7920"/>
            <w:shd w:fill="FFFFFF"/>
            <w:tcMar>
              <w:top w:w="100" w:type="dxa"/>
              <w:bottom w:w="100" w:type="dxa"/>
              <w:left w:w="140" w:type="dxa"/>
              <w:right w:w="140" w:type="dxa"/>
            </w:tcMar>
          </w:tcPr>
          <w:p>
            <w:pPr>
              <w:jc w:val="left"/>
            </w:pPr>
            <w:r>
              <w:rPr>
                <w:color w:val="2D3748"/>
                <w:sz w:val="18"/>
              </w:rPr>
              <w:t xml:space="preserve">  6.7 Algorithm 4: LLM-Driven Trade Advisory with Multi-Turn Tool Calling</w:t>
            </w:r>
          </w:p>
        </w:tc>
        <w:tc>
          <w:tcPr>
            <w:tcW w:type="dxa" w:w="1296"/>
            <w:shd w:fill="FFFFFF"/>
            <w:tcMar>
              <w:top w:w="100" w:type="dxa"/>
              <w:bottom w:w="100" w:type="dxa"/>
              <w:left w:w="140" w:type="dxa"/>
              <w:right w:w="140" w:type="dxa"/>
            </w:tcMar>
          </w:tcPr>
          <w:p>
            <w:pPr>
              <w:jc w:val="left"/>
            </w:pPr>
            <w:r>
              <w:rPr>
                <w:color w:val="2D3748"/>
                <w:sz w:val="18"/>
              </w:rPr>
              <w:t>36</w:t>
            </w:r>
          </w:p>
        </w:tc>
      </w:tr>
      <w:tr>
        <w:tc>
          <w:tcPr>
            <w:tcW w:type="dxa" w:w="7920"/>
            <w:shd w:fill="F7FAFC"/>
            <w:tcMar>
              <w:top w:w="100" w:type="dxa"/>
              <w:bottom w:w="100" w:type="dxa"/>
              <w:left w:w="140" w:type="dxa"/>
              <w:right w:w="140" w:type="dxa"/>
            </w:tcMar>
          </w:tcPr>
          <w:p>
            <w:pPr>
              <w:jc w:val="left"/>
            </w:pPr>
            <w:r>
              <w:rPr>
                <w:color w:val="2D3748"/>
                <w:sz w:val="18"/>
              </w:rPr>
              <w:t>Chapter 7: Tech Stack and Implementation Details</w:t>
            </w:r>
          </w:p>
        </w:tc>
        <w:tc>
          <w:tcPr>
            <w:tcW w:type="dxa" w:w="1296"/>
            <w:shd w:fill="F7FAFC"/>
            <w:tcMar>
              <w:top w:w="100" w:type="dxa"/>
              <w:bottom w:w="100" w:type="dxa"/>
              <w:left w:w="140" w:type="dxa"/>
              <w:right w:w="140" w:type="dxa"/>
            </w:tcMar>
          </w:tcPr>
          <w:p>
            <w:pPr>
              <w:jc w:val="left"/>
            </w:pPr>
            <w:r>
              <w:rPr>
                <w:color w:val="2D3748"/>
                <w:sz w:val="18"/>
              </w:rPr>
              <w:t>37</w:t>
            </w:r>
          </w:p>
        </w:tc>
      </w:tr>
      <w:tr>
        <w:tc>
          <w:tcPr>
            <w:tcW w:type="dxa" w:w="7920"/>
            <w:shd w:fill="FFFFFF"/>
            <w:tcMar>
              <w:top w:w="100" w:type="dxa"/>
              <w:bottom w:w="100" w:type="dxa"/>
              <w:left w:w="140" w:type="dxa"/>
              <w:right w:w="140" w:type="dxa"/>
            </w:tcMar>
          </w:tcPr>
          <w:p>
            <w:pPr>
              <w:jc w:val="left"/>
            </w:pPr>
            <w:r>
              <w:rPr>
                <w:color w:val="2D3748"/>
                <w:sz w:val="18"/>
              </w:rPr>
              <w:t xml:space="preserve">  7.1 Technology Stack Selection Rationale</w:t>
            </w:r>
          </w:p>
        </w:tc>
        <w:tc>
          <w:tcPr>
            <w:tcW w:type="dxa" w:w="1296"/>
            <w:shd w:fill="FFFFFF"/>
            <w:tcMar>
              <w:top w:w="100" w:type="dxa"/>
              <w:bottom w:w="100" w:type="dxa"/>
              <w:left w:w="140" w:type="dxa"/>
              <w:right w:w="140" w:type="dxa"/>
            </w:tcMar>
          </w:tcPr>
          <w:p>
            <w:pPr>
              <w:jc w:val="left"/>
            </w:pPr>
            <w:r>
              <w:rPr>
                <w:color w:val="2D3748"/>
                <w:sz w:val="18"/>
              </w:rPr>
              <w:t>37</w:t>
            </w:r>
          </w:p>
        </w:tc>
      </w:tr>
      <w:tr>
        <w:tc>
          <w:tcPr>
            <w:tcW w:type="dxa" w:w="7920"/>
            <w:shd w:fill="F7FAFC"/>
            <w:tcMar>
              <w:top w:w="100" w:type="dxa"/>
              <w:bottom w:w="100" w:type="dxa"/>
              <w:left w:w="140" w:type="dxa"/>
              <w:right w:w="140" w:type="dxa"/>
            </w:tcMar>
          </w:tcPr>
          <w:p>
            <w:pPr>
              <w:jc w:val="left"/>
            </w:pPr>
            <w:r>
              <w:rPr>
                <w:color w:val="2D3748"/>
                <w:sz w:val="18"/>
              </w:rPr>
              <w:t xml:space="preserve">  7.2 Core Backend Service Modules Architecture</w:t>
            </w:r>
          </w:p>
        </w:tc>
        <w:tc>
          <w:tcPr>
            <w:tcW w:type="dxa" w:w="1296"/>
            <w:shd w:fill="F7FAFC"/>
            <w:tcMar>
              <w:top w:w="100" w:type="dxa"/>
              <w:bottom w:w="100" w:type="dxa"/>
              <w:left w:w="140" w:type="dxa"/>
              <w:right w:w="140" w:type="dxa"/>
            </w:tcMar>
          </w:tcPr>
          <w:p>
            <w:pPr>
              <w:jc w:val="left"/>
            </w:pPr>
            <w:r>
              <w:rPr>
                <w:color w:val="2D3748"/>
                <w:sz w:val="18"/>
              </w:rPr>
              <w:t>38</w:t>
            </w:r>
          </w:p>
        </w:tc>
      </w:tr>
      <w:tr>
        <w:tc>
          <w:tcPr>
            <w:tcW w:type="dxa" w:w="7920"/>
            <w:shd w:fill="FFFFFF"/>
            <w:tcMar>
              <w:top w:w="100" w:type="dxa"/>
              <w:bottom w:w="100" w:type="dxa"/>
              <w:left w:w="140" w:type="dxa"/>
              <w:right w:w="140" w:type="dxa"/>
            </w:tcMar>
          </w:tcPr>
          <w:p>
            <w:pPr>
              <w:jc w:val="left"/>
            </w:pPr>
            <w:r>
              <w:rPr>
                <w:color w:val="2D3748"/>
                <w:sz w:val="18"/>
              </w:rPr>
              <w:t xml:space="preserve">  7.3 Frontend User Interface Architecture (Obsidian &amp; Gold)</w:t>
            </w:r>
          </w:p>
        </w:tc>
        <w:tc>
          <w:tcPr>
            <w:tcW w:type="dxa" w:w="1296"/>
            <w:shd w:fill="FFFFFF"/>
            <w:tcMar>
              <w:top w:w="100" w:type="dxa"/>
              <w:bottom w:w="100" w:type="dxa"/>
              <w:left w:w="140" w:type="dxa"/>
              <w:right w:w="140" w:type="dxa"/>
            </w:tcMar>
          </w:tcPr>
          <w:p>
            <w:pPr>
              <w:jc w:val="left"/>
            </w:pPr>
            <w:r>
              <w:rPr>
                <w:color w:val="2D3748"/>
                <w:sz w:val="18"/>
              </w:rPr>
              <w:t>40</w:t>
            </w:r>
          </w:p>
        </w:tc>
      </w:tr>
      <w:tr>
        <w:tc>
          <w:tcPr>
            <w:tcW w:type="dxa" w:w="7920"/>
            <w:shd w:fill="F7FAFC"/>
            <w:tcMar>
              <w:top w:w="100" w:type="dxa"/>
              <w:bottom w:w="100" w:type="dxa"/>
              <w:left w:w="140" w:type="dxa"/>
              <w:right w:w="140" w:type="dxa"/>
            </w:tcMar>
          </w:tcPr>
          <w:p>
            <w:pPr>
              <w:jc w:val="left"/>
            </w:pPr>
            <w:r>
              <w:rPr>
                <w:color w:val="2D3748"/>
                <w:sz w:val="18"/>
              </w:rPr>
              <w:t xml:space="preserve">  7.4 External API Integrations (FX, Bullion, LLMs)</w:t>
            </w:r>
          </w:p>
        </w:tc>
        <w:tc>
          <w:tcPr>
            <w:tcW w:type="dxa" w:w="1296"/>
            <w:shd w:fill="F7FAFC"/>
            <w:tcMar>
              <w:top w:w="100" w:type="dxa"/>
              <w:bottom w:w="100" w:type="dxa"/>
              <w:left w:w="140" w:type="dxa"/>
              <w:right w:w="140" w:type="dxa"/>
            </w:tcMar>
          </w:tcPr>
          <w:p>
            <w:pPr>
              <w:jc w:val="left"/>
            </w:pPr>
            <w:r>
              <w:rPr>
                <w:color w:val="2D3748"/>
                <w:sz w:val="18"/>
              </w:rPr>
              <w:t>41</w:t>
            </w:r>
          </w:p>
        </w:tc>
      </w:tr>
      <w:tr>
        <w:tc>
          <w:tcPr>
            <w:tcW w:type="dxa" w:w="7920"/>
            <w:shd w:fill="FFFFFF"/>
            <w:tcMar>
              <w:top w:w="100" w:type="dxa"/>
              <w:bottom w:w="100" w:type="dxa"/>
              <w:left w:w="140" w:type="dxa"/>
              <w:right w:w="140" w:type="dxa"/>
            </w:tcMar>
          </w:tcPr>
          <w:p>
            <w:pPr>
              <w:jc w:val="left"/>
            </w:pPr>
            <w:r>
              <w:rPr>
                <w:color w:val="2D3748"/>
                <w:sz w:val="18"/>
              </w:rPr>
              <w:t>Chapter 8: Dataset Profile and Exploratory Data Analysis (EDA)</w:t>
            </w:r>
          </w:p>
        </w:tc>
        <w:tc>
          <w:tcPr>
            <w:tcW w:type="dxa" w:w="1296"/>
            <w:shd w:fill="FFFFFF"/>
            <w:tcMar>
              <w:top w:w="100" w:type="dxa"/>
              <w:bottom w:w="100" w:type="dxa"/>
              <w:left w:w="140" w:type="dxa"/>
              <w:right w:w="140" w:type="dxa"/>
            </w:tcMar>
          </w:tcPr>
          <w:p>
            <w:pPr>
              <w:jc w:val="left"/>
            </w:pPr>
            <w:r>
              <w:rPr>
                <w:color w:val="2D3748"/>
                <w:sz w:val="18"/>
              </w:rPr>
              <w:t>42</w:t>
            </w:r>
          </w:p>
        </w:tc>
      </w:tr>
      <w:tr>
        <w:tc>
          <w:tcPr>
            <w:tcW w:type="dxa" w:w="7920"/>
            <w:shd w:fill="F7FAFC"/>
            <w:tcMar>
              <w:top w:w="100" w:type="dxa"/>
              <w:bottom w:w="100" w:type="dxa"/>
              <w:left w:w="140" w:type="dxa"/>
              <w:right w:w="140" w:type="dxa"/>
            </w:tcMar>
          </w:tcPr>
          <w:p>
            <w:pPr>
              <w:jc w:val="left"/>
            </w:pPr>
            <w:r>
              <w:rPr>
                <w:color w:val="2D3748"/>
                <w:sz w:val="18"/>
              </w:rPr>
              <w:t xml:space="preserve">  8.1 Empirical Dataset Profile (193,573 Samples)</w:t>
            </w:r>
          </w:p>
        </w:tc>
        <w:tc>
          <w:tcPr>
            <w:tcW w:type="dxa" w:w="1296"/>
            <w:shd w:fill="F7FAFC"/>
            <w:tcMar>
              <w:top w:w="100" w:type="dxa"/>
              <w:bottom w:w="100" w:type="dxa"/>
              <w:left w:w="140" w:type="dxa"/>
              <w:right w:w="140" w:type="dxa"/>
            </w:tcMar>
          </w:tcPr>
          <w:p>
            <w:pPr>
              <w:jc w:val="left"/>
            </w:pPr>
            <w:r>
              <w:rPr>
                <w:color w:val="2D3748"/>
                <w:sz w:val="18"/>
              </w:rPr>
              <w:t>42</w:t>
            </w:r>
          </w:p>
        </w:tc>
      </w:tr>
      <w:tr>
        <w:tc>
          <w:tcPr>
            <w:tcW w:type="dxa" w:w="7920"/>
            <w:shd w:fill="FFFFFF"/>
            <w:tcMar>
              <w:top w:w="100" w:type="dxa"/>
              <w:bottom w:w="100" w:type="dxa"/>
              <w:left w:w="140" w:type="dxa"/>
              <w:right w:w="140" w:type="dxa"/>
            </w:tcMar>
          </w:tcPr>
          <w:p>
            <w:pPr>
              <w:jc w:val="left"/>
            </w:pPr>
            <w:r>
              <w:rPr>
                <w:color w:val="2D3748"/>
                <w:sz w:val="18"/>
              </w:rPr>
              <w:t xml:space="preserve">  8.2 Feature Definitions and Gemological Attributes</w:t>
            </w:r>
          </w:p>
        </w:tc>
        <w:tc>
          <w:tcPr>
            <w:tcW w:type="dxa" w:w="1296"/>
            <w:shd w:fill="FFFFFF"/>
            <w:tcMar>
              <w:top w:w="100" w:type="dxa"/>
              <w:bottom w:w="100" w:type="dxa"/>
              <w:left w:w="140" w:type="dxa"/>
              <w:right w:w="140" w:type="dxa"/>
            </w:tcMar>
          </w:tcPr>
          <w:p>
            <w:pPr>
              <w:jc w:val="left"/>
            </w:pPr>
            <w:r>
              <w:rPr>
                <w:color w:val="2D3748"/>
                <w:sz w:val="18"/>
              </w:rPr>
              <w:t>42</w:t>
            </w:r>
          </w:p>
        </w:tc>
      </w:tr>
      <w:tr>
        <w:tc>
          <w:tcPr>
            <w:tcW w:type="dxa" w:w="7920"/>
            <w:shd w:fill="F7FAFC"/>
            <w:tcMar>
              <w:top w:w="100" w:type="dxa"/>
              <w:bottom w:w="100" w:type="dxa"/>
              <w:left w:w="140" w:type="dxa"/>
              <w:right w:w="140" w:type="dxa"/>
            </w:tcMar>
          </w:tcPr>
          <w:p>
            <w:pPr>
              <w:jc w:val="left"/>
            </w:pPr>
            <w:r>
              <w:rPr>
                <w:color w:val="2D3748"/>
                <w:sz w:val="18"/>
              </w:rPr>
              <w:t xml:space="preserve">  8.3 Statistical Distribution and Outlier Analysis</w:t>
            </w:r>
          </w:p>
        </w:tc>
        <w:tc>
          <w:tcPr>
            <w:tcW w:type="dxa" w:w="1296"/>
            <w:shd w:fill="F7FAFC"/>
            <w:tcMar>
              <w:top w:w="100" w:type="dxa"/>
              <w:bottom w:w="100" w:type="dxa"/>
              <w:left w:w="140" w:type="dxa"/>
              <w:right w:w="140" w:type="dxa"/>
            </w:tcMar>
          </w:tcPr>
          <w:p>
            <w:pPr>
              <w:jc w:val="left"/>
            </w:pPr>
            <w:r>
              <w:rPr>
                <w:color w:val="2D3748"/>
                <w:sz w:val="18"/>
              </w:rPr>
              <w:t>43</w:t>
            </w:r>
          </w:p>
        </w:tc>
      </w:tr>
      <w:tr>
        <w:tc>
          <w:tcPr>
            <w:tcW w:type="dxa" w:w="7920"/>
            <w:shd w:fill="FFFFFF"/>
            <w:tcMar>
              <w:top w:w="100" w:type="dxa"/>
              <w:bottom w:w="100" w:type="dxa"/>
              <w:left w:w="140" w:type="dxa"/>
              <w:right w:w="140" w:type="dxa"/>
            </w:tcMar>
          </w:tcPr>
          <w:p>
            <w:pPr>
              <w:jc w:val="left"/>
            </w:pPr>
            <w:r>
              <w:rPr>
                <w:color w:val="2D3748"/>
                <w:sz w:val="18"/>
              </w:rPr>
              <w:t xml:space="preserve">  8.4 Correlation Analysis &amp; Feature Interactions</w:t>
            </w:r>
          </w:p>
        </w:tc>
        <w:tc>
          <w:tcPr>
            <w:tcW w:type="dxa" w:w="1296"/>
            <w:shd w:fill="FFFFFF"/>
            <w:tcMar>
              <w:top w:w="100" w:type="dxa"/>
              <w:bottom w:w="100" w:type="dxa"/>
              <w:left w:w="140" w:type="dxa"/>
              <w:right w:w="140" w:type="dxa"/>
            </w:tcMar>
          </w:tcPr>
          <w:p>
            <w:pPr>
              <w:jc w:val="left"/>
            </w:pPr>
            <w:r>
              <w:rPr>
                <w:color w:val="2D3748"/>
                <w:sz w:val="18"/>
              </w:rPr>
              <w:t>44</w:t>
            </w:r>
          </w:p>
        </w:tc>
      </w:tr>
      <w:tr>
        <w:tc>
          <w:tcPr>
            <w:tcW w:type="dxa" w:w="7920"/>
            <w:shd w:fill="F7FAFC"/>
            <w:tcMar>
              <w:top w:w="100" w:type="dxa"/>
              <w:bottom w:w="100" w:type="dxa"/>
              <w:left w:w="140" w:type="dxa"/>
              <w:right w:w="140" w:type="dxa"/>
            </w:tcMar>
          </w:tcPr>
          <w:p>
            <w:pPr>
              <w:jc w:val="left"/>
            </w:pPr>
            <w:r>
              <w:rPr>
                <w:color w:val="2D3748"/>
                <w:sz w:val="18"/>
              </w:rPr>
              <w:t>Chapter 9: Experimental Results and Performance Analysis</w:t>
            </w:r>
          </w:p>
        </w:tc>
        <w:tc>
          <w:tcPr>
            <w:tcW w:type="dxa" w:w="1296"/>
            <w:shd w:fill="F7FAFC"/>
            <w:tcMar>
              <w:top w:w="100" w:type="dxa"/>
              <w:bottom w:w="100" w:type="dxa"/>
              <w:left w:w="140" w:type="dxa"/>
              <w:right w:w="140" w:type="dxa"/>
            </w:tcMar>
          </w:tcPr>
          <w:p>
            <w:pPr>
              <w:jc w:val="left"/>
            </w:pPr>
            <w:r>
              <w:rPr>
                <w:color w:val="2D3748"/>
                <w:sz w:val="18"/>
              </w:rPr>
              <w:t>45</w:t>
            </w:r>
          </w:p>
        </w:tc>
      </w:tr>
      <w:tr>
        <w:tc>
          <w:tcPr>
            <w:tcW w:type="dxa" w:w="7920"/>
            <w:shd w:fill="FFFFFF"/>
            <w:tcMar>
              <w:top w:w="100" w:type="dxa"/>
              <w:bottom w:w="100" w:type="dxa"/>
              <w:left w:w="140" w:type="dxa"/>
              <w:right w:w="140" w:type="dxa"/>
            </w:tcMar>
          </w:tcPr>
          <w:p>
            <w:pPr>
              <w:jc w:val="left"/>
            </w:pPr>
            <w:r>
              <w:rPr>
                <w:color w:val="2D3748"/>
                <w:sz w:val="18"/>
              </w:rPr>
              <w:t xml:space="preserve">  9.1 Experimental Setup &amp; Evaluation Metrics</w:t>
            </w:r>
          </w:p>
        </w:tc>
        <w:tc>
          <w:tcPr>
            <w:tcW w:type="dxa" w:w="1296"/>
            <w:shd w:fill="FFFFFF"/>
            <w:tcMar>
              <w:top w:w="100" w:type="dxa"/>
              <w:bottom w:w="100" w:type="dxa"/>
              <w:left w:w="140" w:type="dxa"/>
              <w:right w:w="140" w:type="dxa"/>
            </w:tcMar>
          </w:tcPr>
          <w:p>
            <w:pPr>
              <w:jc w:val="left"/>
            </w:pPr>
            <w:r>
              <w:rPr>
                <w:color w:val="2D3748"/>
                <w:sz w:val="18"/>
              </w:rPr>
              <w:t>45</w:t>
            </w:r>
          </w:p>
        </w:tc>
      </w:tr>
      <w:tr>
        <w:tc>
          <w:tcPr>
            <w:tcW w:type="dxa" w:w="7920"/>
            <w:shd w:fill="F7FAFC"/>
            <w:tcMar>
              <w:top w:w="100" w:type="dxa"/>
              <w:bottom w:w="100" w:type="dxa"/>
              <w:left w:w="140" w:type="dxa"/>
              <w:right w:w="140" w:type="dxa"/>
            </w:tcMar>
          </w:tcPr>
          <w:p>
            <w:pPr>
              <w:jc w:val="left"/>
            </w:pPr>
            <w:r>
              <w:rPr>
                <w:color w:val="2D3748"/>
                <w:sz w:val="18"/>
              </w:rPr>
              <w:t xml:space="preserve">  9.2 Comprehensive Model Performance Comparison</w:t>
            </w:r>
          </w:p>
        </w:tc>
        <w:tc>
          <w:tcPr>
            <w:tcW w:type="dxa" w:w="1296"/>
            <w:shd w:fill="F7FAFC"/>
            <w:tcMar>
              <w:top w:w="100" w:type="dxa"/>
              <w:bottom w:w="100" w:type="dxa"/>
              <w:left w:w="140" w:type="dxa"/>
              <w:right w:w="140" w:type="dxa"/>
            </w:tcMar>
          </w:tcPr>
          <w:p>
            <w:pPr>
              <w:jc w:val="left"/>
            </w:pPr>
            <w:r>
              <w:rPr>
                <w:color w:val="2D3748"/>
                <w:sz w:val="18"/>
              </w:rPr>
              <w:t>45</w:t>
            </w:r>
          </w:p>
        </w:tc>
      </w:tr>
      <w:tr>
        <w:tc>
          <w:tcPr>
            <w:tcW w:type="dxa" w:w="7920"/>
            <w:shd w:fill="FFFFFF"/>
            <w:tcMar>
              <w:top w:w="100" w:type="dxa"/>
              <w:bottom w:w="100" w:type="dxa"/>
              <w:left w:w="140" w:type="dxa"/>
              <w:right w:w="140" w:type="dxa"/>
            </w:tcMar>
          </w:tcPr>
          <w:p>
            <w:pPr>
              <w:jc w:val="left"/>
            </w:pPr>
            <w:r>
              <w:rPr>
                <w:color w:val="2D3748"/>
                <w:sz w:val="18"/>
              </w:rPr>
              <w:t xml:space="preserve">  9.3 Selection and Validation of the Champion Model (Lasso)</w:t>
            </w:r>
          </w:p>
        </w:tc>
        <w:tc>
          <w:tcPr>
            <w:tcW w:type="dxa" w:w="1296"/>
            <w:shd w:fill="FFFFFF"/>
            <w:tcMar>
              <w:top w:w="100" w:type="dxa"/>
              <w:bottom w:w="100" w:type="dxa"/>
              <w:left w:w="140" w:type="dxa"/>
              <w:right w:w="140" w:type="dxa"/>
            </w:tcMar>
          </w:tcPr>
          <w:p>
            <w:pPr>
              <w:jc w:val="left"/>
            </w:pPr>
            <w:r>
              <w:rPr>
                <w:color w:val="2D3748"/>
                <w:sz w:val="18"/>
              </w:rPr>
              <w:t>46</w:t>
            </w:r>
          </w:p>
        </w:tc>
      </w:tr>
      <w:tr>
        <w:tc>
          <w:tcPr>
            <w:tcW w:type="dxa" w:w="7920"/>
            <w:shd w:fill="F7FAFC"/>
            <w:tcMar>
              <w:top w:w="100" w:type="dxa"/>
              <w:bottom w:w="100" w:type="dxa"/>
              <w:left w:w="140" w:type="dxa"/>
              <w:right w:w="140" w:type="dxa"/>
            </w:tcMar>
          </w:tcPr>
          <w:p>
            <w:pPr>
              <w:jc w:val="left"/>
            </w:pPr>
            <w:r>
              <w:rPr>
                <w:color w:val="2D3748"/>
                <w:sz w:val="18"/>
              </w:rPr>
              <w:t xml:space="preserve">  9.4 Authentic IGI Valuation Case Studies (Natural vs. LGD)</w:t>
            </w:r>
          </w:p>
        </w:tc>
        <w:tc>
          <w:tcPr>
            <w:tcW w:type="dxa" w:w="1296"/>
            <w:shd w:fill="F7FAFC"/>
            <w:tcMar>
              <w:top w:w="100" w:type="dxa"/>
              <w:bottom w:w="100" w:type="dxa"/>
              <w:left w:w="140" w:type="dxa"/>
              <w:right w:w="140" w:type="dxa"/>
            </w:tcMar>
          </w:tcPr>
          <w:p>
            <w:pPr>
              <w:jc w:val="left"/>
            </w:pPr>
            <w:r>
              <w:rPr>
                <w:color w:val="2D3748"/>
                <w:sz w:val="18"/>
              </w:rPr>
              <w:t>47</w:t>
            </w:r>
          </w:p>
        </w:tc>
      </w:tr>
      <w:tr>
        <w:tc>
          <w:tcPr>
            <w:tcW w:type="dxa" w:w="7920"/>
            <w:shd w:fill="FFFFFF"/>
            <w:tcMar>
              <w:top w:w="100" w:type="dxa"/>
              <w:bottom w:w="100" w:type="dxa"/>
              <w:left w:w="140" w:type="dxa"/>
              <w:right w:w="140" w:type="dxa"/>
            </w:tcMar>
          </w:tcPr>
          <w:p>
            <w:pPr>
              <w:jc w:val="left"/>
            </w:pPr>
            <w:r>
              <w:rPr>
                <w:color w:val="2D3748"/>
                <w:sz w:val="18"/>
              </w:rPr>
              <w:t xml:space="preserve">  9.5 Computational Efficiency &amp; System Latency</w:t>
            </w:r>
          </w:p>
        </w:tc>
        <w:tc>
          <w:tcPr>
            <w:tcW w:type="dxa" w:w="1296"/>
            <w:shd w:fill="FFFFFF"/>
            <w:tcMar>
              <w:top w:w="100" w:type="dxa"/>
              <w:bottom w:w="100" w:type="dxa"/>
              <w:left w:w="140" w:type="dxa"/>
              <w:right w:w="140" w:type="dxa"/>
            </w:tcMar>
          </w:tcPr>
          <w:p>
            <w:pPr>
              <w:jc w:val="left"/>
            </w:pPr>
            <w:r>
              <w:rPr>
                <w:color w:val="2D3748"/>
                <w:sz w:val="18"/>
              </w:rPr>
              <w:t>48</w:t>
            </w:r>
          </w:p>
        </w:tc>
      </w:tr>
      <w:tr>
        <w:tc>
          <w:tcPr>
            <w:tcW w:type="dxa" w:w="7920"/>
            <w:shd w:fill="F7FAFC"/>
            <w:tcMar>
              <w:top w:w="100" w:type="dxa"/>
              <w:bottom w:w="100" w:type="dxa"/>
              <w:left w:w="140" w:type="dxa"/>
              <w:right w:w="140" w:type="dxa"/>
            </w:tcMar>
          </w:tcPr>
          <w:p>
            <w:pPr>
              <w:jc w:val="left"/>
            </w:pPr>
            <w:r>
              <w:rPr>
                <w:color w:val="2D3748"/>
                <w:sz w:val="18"/>
              </w:rPr>
              <w:t>Chapter 10: System Verification, Testing and Quality Assurance</w:t>
            </w:r>
          </w:p>
        </w:tc>
        <w:tc>
          <w:tcPr>
            <w:tcW w:type="dxa" w:w="1296"/>
            <w:shd w:fill="F7FAFC"/>
            <w:tcMar>
              <w:top w:w="100" w:type="dxa"/>
              <w:bottom w:w="100" w:type="dxa"/>
              <w:left w:w="140" w:type="dxa"/>
              <w:right w:w="140" w:type="dxa"/>
            </w:tcMar>
          </w:tcPr>
          <w:p>
            <w:pPr>
              <w:jc w:val="left"/>
            </w:pPr>
            <w:r>
              <w:rPr>
                <w:color w:val="2D3748"/>
                <w:sz w:val="18"/>
              </w:rPr>
              <w:t>49</w:t>
            </w:r>
          </w:p>
        </w:tc>
      </w:tr>
      <w:tr>
        <w:tc>
          <w:tcPr>
            <w:tcW w:type="dxa" w:w="7920"/>
            <w:shd w:fill="FFFFFF"/>
            <w:tcMar>
              <w:top w:w="100" w:type="dxa"/>
              <w:bottom w:w="100" w:type="dxa"/>
              <w:left w:w="140" w:type="dxa"/>
              <w:right w:w="140" w:type="dxa"/>
            </w:tcMar>
          </w:tcPr>
          <w:p>
            <w:pPr>
              <w:jc w:val="left"/>
            </w:pPr>
            <w:r>
              <w:rPr>
                <w:color w:val="2D3748"/>
                <w:sz w:val="18"/>
              </w:rPr>
              <w:t xml:space="preserve">  10.1 Automated PyTest Testing Framework Overview</w:t>
            </w:r>
          </w:p>
        </w:tc>
        <w:tc>
          <w:tcPr>
            <w:tcW w:type="dxa" w:w="1296"/>
            <w:shd w:fill="FFFFFF"/>
            <w:tcMar>
              <w:top w:w="100" w:type="dxa"/>
              <w:bottom w:w="100" w:type="dxa"/>
              <w:left w:w="140" w:type="dxa"/>
              <w:right w:w="140" w:type="dxa"/>
            </w:tcMar>
          </w:tcPr>
          <w:p>
            <w:pPr>
              <w:jc w:val="left"/>
            </w:pPr>
            <w:r>
              <w:rPr>
                <w:color w:val="2D3748"/>
                <w:sz w:val="18"/>
              </w:rPr>
              <w:t>49</w:t>
            </w:r>
          </w:p>
        </w:tc>
      </w:tr>
      <w:tr>
        <w:tc>
          <w:tcPr>
            <w:tcW w:type="dxa" w:w="7920"/>
            <w:shd w:fill="F7FAFC"/>
            <w:tcMar>
              <w:top w:w="100" w:type="dxa"/>
              <w:bottom w:w="100" w:type="dxa"/>
              <w:left w:w="140" w:type="dxa"/>
              <w:right w:w="140" w:type="dxa"/>
            </w:tcMar>
          </w:tcPr>
          <w:p>
            <w:pPr>
              <w:jc w:val="left"/>
            </w:pPr>
            <w:r>
              <w:rPr>
                <w:color w:val="2D3748"/>
                <w:sz w:val="18"/>
              </w:rPr>
              <w:t xml:space="preserve">  10.2 Unit Testing of Valuation Pillars and Arithmetic</w:t>
            </w:r>
          </w:p>
        </w:tc>
        <w:tc>
          <w:tcPr>
            <w:tcW w:type="dxa" w:w="1296"/>
            <w:shd w:fill="F7FAFC"/>
            <w:tcMar>
              <w:top w:w="100" w:type="dxa"/>
              <w:bottom w:w="100" w:type="dxa"/>
              <w:left w:w="140" w:type="dxa"/>
              <w:right w:w="140" w:type="dxa"/>
            </w:tcMar>
          </w:tcPr>
          <w:p>
            <w:pPr>
              <w:jc w:val="left"/>
            </w:pPr>
            <w:r>
              <w:rPr>
                <w:color w:val="2D3748"/>
                <w:sz w:val="18"/>
              </w:rPr>
              <w:t>49</w:t>
            </w:r>
          </w:p>
        </w:tc>
      </w:tr>
      <w:tr>
        <w:tc>
          <w:tcPr>
            <w:tcW w:type="dxa" w:w="7920"/>
            <w:shd w:fill="FFFFFF"/>
            <w:tcMar>
              <w:top w:w="100" w:type="dxa"/>
              <w:bottom w:w="100" w:type="dxa"/>
              <w:left w:w="140" w:type="dxa"/>
              <w:right w:w="140" w:type="dxa"/>
            </w:tcMar>
          </w:tcPr>
          <w:p>
            <w:pPr>
              <w:jc w:val="left"/>
            </w:pPr>
            <w:r>
              <w:rPr>
                <w:color w:val="2D3748"/>
                <w:sz w:val="18"/>
              </w:rPr>
              <w:t xml:space="preserve">  10.3 Integration, Route, and Security Auditing</w:t>
            </w:r>
          </w:p>
        </w:tc>
        <w:tc>
          <w:tcPr>
            <w:tcW w:type="dxa" w:w="1296"/>
            <w:shd w:fill="FFFFFF"/>
            <w:tcMar>
              <w:top w:w="100" w:type="dxa"/>
              <w:bottom w:w="100" w:type="dxa"/>
              <w:left w:w="140" w:type="dxa"/>
              <w:right w:w="140" w:type="dxa"/>
            </w:tcMar>
          </w:tcPr>
          <w:p>
            <w:pPr>
              <w:jc w:val="left"/>
            </w:pPr>
            <w:r>
              <w:rPr>
                <w:color w:val="2D3748"/>
                <w:sz w:val="18"/>
              </w:rPr>
              <w:t>50</w:t>
            </w:r>
          </w:p>
        </w:tc>
      </w:tr>
      <w:tr>
        <w:tc>
          <w:tcPr>
            <w:tcW w:type="dxa" w:w="7920"/>
            <w:shd w:fill="F7FAFC"/>
            <w:tcMar>
              <w:top w:w="100" w:type="dxa"/>
              <w:bottom w:w="100" w:type="dxa"/>
              <w:left w:w="140" w:type="dxa"/>
              <w:right w:w="140" w:type="dxa"/>
            </w:tcMar>
          </w:tcPr>
          <w:p>
            <w:pPr>
              <w:jc w:val="left"/>
            </w:pPr>
            <w:r>
              <w:rPr>
                <w:color w:val="2D3748"/>
                <w:sz w:val="18"/>
              </w:rPr>
              <w:t xml:space="preserve">  10.4 Empirical Test Results &amp; Root-Cause Failure Analysis</w:t>
            </w:r>
          </w:p>
        </w:tc>
        <w:tc>
          <w:tcPr>
            <w:tcW w:type="dxa" w:w="1296"/>
            <w:shd w:fill="F7FAFC"/>
            <w:tcMar>
              <w:top w:w="100" w:type="dxa"/>
              <w:bottom w:w="100" w:type="dxa"/>
              <w:left w:w="140" w:type="dxa"/>
              <w:right w:w="140" w:type="dxa"/>
            </w:tcMar>
          </w:tcPr>
          <w:p>
            <w:pPr>
              <w:jc w:val="left"/>
            </w:pPr>
            <w:r>
              <w:rPr>
                <w:color w:val="2D3748"/>
                <w:sz w:val="18"/>
              </w:rPr>
              <w:t>51</w:t>
            </w:r>
          </w:p>
        </w:tc>
      </w:tr>
      <w:tr>
        <w:tc>
          <w:tcPr>
            <w:tcW w:type="dxa" w:w="7920"/>
            <w:shd w:fill="FFFFFF"/>
            <w:tcMar>
              <w:top w:w="100" w:type="dxa"/>
              <w:bottom w:w="100" w:type="dxa"/>
              <w:left w:w="140" w:type="dxa"/>
              <w:right w:w="140" w:type="dxa"/>
            </w:tcMar>
          </w:tcPr>
          <w:p>
            <w:pPr>
              <w:jc w:val="left"/>
            </w:pPr>
            <w:r>
              <w:rPr>
                <w:color w:val="2D3748"/>
                <w:sz w:val="18"/>
              </w:rPr>
              <w:t>Chapter 11: Deployment, Production Readiness &amp; User Walkthrough</w:t>
            </w:r>
          </w:p>
        </w:tc>
        <w:tc>
          <w:tcPr>
            <w:tcW w:type="dxa" w:w="1296"/>
            <w:shd w:fill="FFFFFF"/>
            <w:tcMar>
              <w:top w:w="100" w:type="dxa"/>
              <w:bottom w:w="100" w:type="dxa"/>
              <w:left w:w="140" w:type="dxa"/>
              <w:right w:w="140" w:type="dxa"/>
            </w:tcMar>
          </w:tcPr>
          <w:p>
            <w:pPr>
              <w:jc w:val="left"/>
            </w:pPr>
            <w:r>
              <w:rPr>
                <w:color w:val="2D3748"/>
                <w:sz w:val="18"/>
              </w:rPr>
              <w:t>53</w:t>
            </w:r>
          </w:p>
        </w:tc>
      </w:tr>
      <w:tr>
        <w:tc>
          <w:tcPr>
            <w:tcW w:type="dxa" w:w="7920"/>
            <w:shd w:fill="F7FAFC"/>
            <w:tcMar>
              <w:top w:w="100" w:type="dxa"/>
              <w:bottom w:w="100" w:type="dxa"/>
              <w:left w:w="140" w:type="dxa"/>
              <w:right w:w="140" w:type="dxa"/>
            </w:tcMar>
          </w:tcPr>
          <w:p>
            <w:pPr>
              <w:jc w:val="left"/>
            </w:pPr>
            <w:r>
              <w:rPr>
                <w:color w:val="2D3748"/>
                <w:sz w:val="18"/>
              </w:rPr>
              <w:t xml:space="preserve">  11.1 Containerization and Render Deployment Architecture</w:t>
            </w:r>
          </w:p>
        </w:tc>
        <w:tc>
          <w:tcPr>
            <w:tcW w:type="dxa" w:w="1296"/>
            <w:shd w:fill="F7FAFC"/>
            <w:tcMar>
              <w:top w:w="100" w:type="dxa"/>
              <w:bottom w:w="100" w:type="dxa"/>
              <w:left w:w="140" w:type="dxa"/>
              <w:right w:w="140" w:type="dxa"/>
            </w:tcMar>
          </w:tcPr>
          <w:p>
            <w:pPr>
              <w:jc w:val="left"/>
            </w:pPr>
            <w:r>
              <w:rPr>
                <w:color w:val="2D3748"/>
                <w:sz w:val="18"/>
              </w:rPr>
              <w:t>53</w:t>
            </w:r>
          </w:p>
        </w:tc>
      </w:tr>
      <w:tr>
        <w:tc>
          <w:tcPr>
            <w:tcW w:type="dxa" w:w="7920"/>
            <w:shd w:fill="FFFFFF"/>
            <w:tcMar>
              <w:top w:w="100" w:type="dxa"/>
              <w:bottom w:w="100" w:type="dxa"/>
              <w:left w:w="140" w:type="dxa"/>
              <w:right w:w="140" w:type="dxa"/>
            </w:tcMar>
          </w:tcPr>
          <w:p>
            <w:pPr>
              <w:jc w:val="left"/>
            </w:pPr>
            <w:r>
              <w:rPr>
                <w:color w:val="2D3748"/>
                <w:sz w:val="18"/>
              </w:rPr>
              <w:t xml:space="preserve">  11.2 Environment Configuration and Secrets Management</w:t>
            </w:r>
          </w:p>
        </w:tc>
        <w:tc>
          <w:tcPr>
            <w:tcW w:type="dxa" w:w="1296"/>
            <w:shd w:fill="FFFFFF"/>
            <w:tcMar>
              <w:top w:w="100" w:type="dxa"/>
              <w:bottom w:w="100" w:type="dxa"/>
              <w:left w:w="140" w:type="dxa"/>
              <w:right w:w="140" w:type="dxa"/>
            </w:tcMar>
          </w:tcPr>
          <w:p>
            <w:pPr>
              <w:jc w:val="left"/>
            </w:pPr>
            <w:r>
              <w:rPr>
                <w:color w:val="2D3748"/>
                <w:sz w:val="18"/>
              </w:rPr>
              <w:t>54</w:t>
            </w:r>
          </w:p>
        </w:tc>
      </w:tr>
      <w:tr>
        <w:tc>
          <w:tcPr>
            <w:tcW w:type="dxa" w:w="7920"/>
            <w:shd w:fill="F7FAFC"/>
            <w:tcMar>
              <w:top w:w="100" w:type="dxa"/>
              <w:bottom w:w="100" w:type="dxa"/>
              <w:left w:w="140" w:type="dxa"/>
              <w:right w:w="140" w:type="dxa"/>
            </w:tcMar>
          </w:tcPr>
          <w:p>
            <w:pPr>
              <w:jc w:val="left"/>
            </w:pPr>
            <w:r>
              <w:rPr>
                <w:color w:val="2D3748"/>
                <w:sz w:val="18"/>
              </w:rPr>
              <w:t xml:space="preserve">  11.3 Step-by-Step Jeweller User Walkthrough</w:t>
            </w:r>
          </w:p>
        </w:tc>
        <w:tc>
          <w:tcPr>
            <w:tcW w:type="dxa" w:w="1296"/>
            <w:shd w:fill="F7FAFC"/>
            <w:tcMar>
              <w:top w:w="100" w:type="dxa"/>
              <w:bottom w:w="100" w:type="dxa"/>
              <w:left w:w="140" w:type="dxa"/>
              <w:right w:w="140" w:type="dxa"/>
            </w:tcMar>
          </w:tcPr>
          <w:p>
            <w:pPr>
              <w:jc w:val="left"/>
            </w:pPr>
            <w:r>
              <w:rPr>
                <w:color w:val="2D3748"/>
                <w:sz w:val="18"/>
              </w:rPr>
              <w:t>55</w:t>
            </w:r>
          </w:p>
        </w:tc>
      </w:tr>
      <w:tr>
        <w:tc>
          <w:tcPr>
            <w:tcW w:type="dxa" w:w="7920"/>
            <w:shd w:fill="FFFFFF"/>
            <w:tcMar>
              <w:top w:w="100" w:type="dxa"/>
              <w:bottom w:w="100" w:type="dxa"/>
              <w:left w:w="140" w:type="dxa"/>
              <w:right w:w="140" w:type="dxa"/>
            </w:tcMar>
          </w:tcPr>
          <w:p>
            <w:pPr>
              <w:jc w:val="left"/>
            </w:pPr>
            <w:r>
              <w:rPr>
                <w:color w:val="2D3748"/>
                <w:sz w:val="18"/>
              </w:rPr>
              <w:t>Chapter 12: Discussion, Limitations and Future Scope</w:t>
            </w:r>
          </w:p>
        </w:tc>
        <w:tc>
          <w:tcPr>
            <w:tcW w:type="dxa" w:w="1296"/>
            <w:shd w:fill="FFFFFF"/>
            <w:tcMar>
              <w:top w:w="100" w:type="dxa"/>
              <w:bottom w:w="100" w:type="dxa"/>
              <w:left w:w="140" w:type="dxa"/>
              <w:right w:w="140" w:type="dxa"/>
            </w:tcMar>
          </w:tcPr>
          <w:p>
            <w:pPr>
              <w:jc w:val="left"/>
            </w:pPr>
            <w:r>
              <w:rPr>
                <w:color w:val="2D3748"/>
                <w:sz w:val="18"/>
              </w:rPr>
              <w:t>57</w:t>
            </w:r>
          </w:p>
        </w:tc>
      </w:tr>
      <w:tr>
        <w:tc>
          <w:tcPr>
            <w:tcW w:type="dxa" w:w="7920"/>
            <w:shd w:fill="F7FAFC"/>
            <w:tcMar>
              <w:top w:w="100" w:type="dxa"/>
              <w:bottom w:w="100" w:type="dxa"/>
              <w:left w:w="140" w:type="dxa"/>
              <w:right w:w="140" w:type="dxa"/>
            </w:tcMar>
          </w:tcPr>
          <w:p>
            <w:pPr>
              <w:jc w:val="left"/>
            </w:pPr>
            <w:r>
              <w:rPr>
                <w:color w:val="2D3748"/>
                <w:sz w:val="18"/>
              </w:rPr>
              <w:t xml:space="preserve">  12.1 Practical Industrial Impact for Indian Jewellers</w:t>
            </w:r>
          </w:p>
        </w:tc>
        <w:tc>
          <w:tcPr>
            <w:tcW w:type="dxa" w:w="1296"/>
            <w:shd w:fill="F7FAFC"/>
            <w:tcMar>
              <w:top w:w="100" w:type="dxa"/>
              <w:bottom w:w="100" w:type="dxa"/>
              <w:left w:w="140" w:type="dxa"/>
              <w:right w:w="140" w:type="dxa"/>
            </w:tcMar>
          </w:tcPr>
          <w:p>
            <w:pPr>
              <w:jc w:val="left"/>
            </w:pPr>
            <w:r>
              <w:rPr>
                <w:color w:val="2D3748"/>
                <w:sz w:val="18"/>
              </w:rPr>
              <w:t>57</w:t>
            </w:r>
          </w:p>
        </w:tc>
      </w:tr>
      <w:tr>
        <w:tc>
          <w:tcPr>
            <w:tcW w:type="dxa" w:w="7920"/>
            <w:shd w:fill="FFFFFF"/>
            <w:tcMar>
              <w:top w:w="100" w:type="dxa"/>
              <w:bottom w:w="100" w:type="dxa"/>
              <w:left w:w="140" w:type="dxa"/>
              <w:right w:w="140" w:type="dxa"/>
            </w:tcMar>
          </w:tcPr>
          <w:p>
            <w:pPr>
              <w:jc w:val="left"/>
            </w:pPr>
            <w:r>
              <w:rPr>
                <w:color w:val="2D3748"/>
                <w:sz w:val="18"/>
              </w:rPr>
              <w:t xml:space="preserve">  12.2 Known System Limitations</w:t>
            </w:r>
          </w:p>
        </w:tc>
        <w:tc>
          <w:tcPr>
            <w:tcW w:type="dxa" w:w="1296"/>
            <w:shd w:fill="FFFFFF"/>
            <w:tcMar>
              <w:top w:w="100" w:type="dxa"/>
              <w:bottom w:w="100" w:type="dxa"/>
              <w:left w:w="140" w:type="dxa"/>
              <w:right w:w="140" w:type="dxa"/>
            </w:tcMar>
          </w:tcPr>
          <w:p>
            <w:pPr>
              <w:jc w:val="left"/>
            </w:pPr>
            <w:r>
              <w:rPr>
                <w:color w:val="2D3748"/>
                <w:sz w:val="18"/>
              </w:rPr>
              <w:t>57</w:t>
            </w:r>
          </w:p>
        </w:tc>
      </w:tr>
      <w:tr>
        <w:tc>
          <w:tcPr>
            <w:tcW w:type="dxa" w:w="7920"/>
            <w:shd w:fill="F7FAFC"/>
            <w:tcMar>
              <w:top w:w="100" w:type="dxa"/>
              <w:bottom w:w="100" w:type="dxa"/>
              <w:left w:w="140" w:type="dxa"/>
              <w:right w:w="140" w:type="dxa"/>
            </w:tcMar>
          </w:tcPr>
          <w:p>
            <w:pPr>
              <w:jc w:val="left"/>
            </w:pPr>
            <w:r>
              <w:rPr>
                <w:color w:val="2D3748"/>
                <w:sz w:val="18"/>
              </w:rPr>
              <w:t xml:space="preserve">  12.3 Future Research Directions</w:t>
            </w:r>
          </w:p>
        </w:tc>
        <w:tc>
          <w:tcPr>
            <w:tcW w:type="dxa" w:w="1296"/>
            <w:shd w:fill="F7FAFC"/>
            <w:tcMar>
              <w:top w:w="100" w:type="dxa"/>
              <w:bottom w:w="100" w:type="dxa"/>
              <w:left w:w="140" w:type="dxa"/>
              <w:right w:w="140" w:type="dxa"/>
            </w:tcMar>
          </w:tcPr>
          <w:p>
            <w:pPr>
              <w:jc w:val="left"/>
            </w:pPr>
            <w:r>
              <w:rPr>
                <w:color w:val="2D3748"/>
                <w:sz w:val="18"/>
              </w:rPr>
              <w:t>58</w:t>
            </w:r>
          </w:p>
        </w:tc>
      </w:tr>
      <w:tr>
        <w:tc>
          <w:tcPr>
            <w:tcW w:type="dxa" w:w="7920"/>
            <w:shd w:fill="FFFFFF"/>
            <w:tcMar>
              <w:top w:w="100" w:type="dxa"/>
              <w:bottom w:w="100" w:type="dxa"/>
              <w:left w:w="140" w:type="dxa"/>
              <w:right w:w="140" w:type="dxa"/>
            </w:tcMar>
          </w:tcPr>
          <w:p>
            <w:pPr>
              <w:jc w:val="left"/>
            </w:pPr>
            <w:r>
              <w:rPr>
                <w:color w:val="2D3748"/>
                <w:sz w:val="18"/>
              </w:rPr>
              <w:t>Chapter 13: Conclusion</w:t>
            </w:r>
          </w:p>
        </w:tc>
        <w:tc>
          <w:tcPr>
            <w:tcW w:type="dxa" w:w="1296"/>
            <w:shd w:fill="FFFFFF"/>
            <w:tcMar>
              <w:top w:w="100" w:type="dxa"/>
              <w:bottom w:w="100" w:type="dxa"/>
              <w:left w:w="140" w:type="dxa"/>
              <w:right w:w="140" w:type="dxa"/>
            </w:tcMar>
          </w:tcPr>
          <w:p>
            <w:pPr>
              <w:jc w:val="left"/>
            </w:pPr>
            <w:r>
              <w:rPr>
                <w:color w:val="2D3748"/>
                <w:sz w:val="18"/>
              </w:rPr>
              <w:t>59</w:t>
            </w:r>
          </w:p>
        </w:tc>
      </w:tr>
      <w:tr>
        <w:tc>
          <w:tcPr>
            <w:tcW w:type="dxa" w:w="7920"/>
            <w:shd w:fill="F7FAFC"/>
            <w:tcMar>
              <w:top w:w="100" w:type="dxa"/>
              <w:bottom w:w="100" w:type="dxa"/>
              <w:left w:w="140" w:type="dxa"/>
              <w:right w:w="140" w:type="dxa"/>
            </w:tcMar>
          </w:tcPr>
          <w:p>
            <w:pPr>
              <w:jc w:val="left"/>
            </w:pPr>
            <w:r>
              <w:rPr>
                <w:color w:val="2D3748"/>
                <w:sz w:val="18"/>
              </w:rPr>
              <w:t>References</w:t>
            </w:r>
          </w:p>
        </w:tc>
        <w:tc>
          <w:tcPr>
            <w:tcW w:type="dxa" w:w="1296"/>
            <w:shd w:fill="F7FAFC"/>
            <w:tcMar>
              <w:top w:w="100" w:type="dxa"/>
              <w:bottom w:w="100" w:type="dxa"/>
              <w:left w:w="140" w:type="dxa"/>
              <w:right w:w="140" w:type="dxa"/>
            </w:tcMar>
          </w:tcPr>
          <w:p>
            <w:pPr>
              <w:jc w:val="left"/>
            </w:pPr>
            <w:r>
              <w:rPr>
                <w:color w:val="2D3748"/>
                <w:sz w:val="18"/>
              </w:rPr>
              <w:t>60</w:t>
            </w:r>
          </w:p>
        </w:tc>
      </w:tr>
    </w:tbl>
    <w:p>
      <w:pPr>
        <w:spacing w:before="0" w:after="120"/>
      </w:pPr>
    </w:p>
    <w:p>
      <w:r>
        <w:br w:type="page"/>
      </w:r>
    </w:p>
    <w:p>
      <w:pPr>
        <w:keepNext/>
        <w:spacing w:before="360" w:after="160"/>
      </w:pPr>
      <w:r>
        <w:rPr>
          <w:rFonts w:ascii="Calibri" w:hAnsi="Calibri"/>
          <w:b/>
          <w:color w:val="1A365D"/>
          <w:sz w:val="32"/>
        </w:rPr>
        <w:t>LIST OF FIGURES</w:t>
      </w:r>
    </w:p>
    <w:tbl>
      <w:tblPr>
        <w:tblW w:type="auto" w:w="0"/>
        <w:jc w:val="center"/>
        <w:tblLook w:firstColumn="1" w:firstRow="1" w:lastColumn="0" w:lastRow="0" w:noHBand="0" w:noVBand="1" w:val="04A0"/>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Pr>
      <w:tblGrid>
        <w:gridCol w:w="3120"/>
        <w:gridCol w:w="3120"/>
        <w:gridCol w:w="3120"/>
      </w:tblGrid>
      <w:tr>
        <w:tc>
          <w:tcPr>
            <w:tcW w:type="dxa" w:w="1728"/>
            <w:shd w:fill="1A365D"/>
            <w:tcMar>
              <w:top w:w="120" w:type="dxa"/>
              <w:bottom w:w="120" w:type="dxa"/>
              <w:left w:w="140" w:type="dxa"/>
              <w:right w:w="140" w:type="dxa"/>
            </w:tcMar>
          </w:tcPr>
          <w:p>
            <w:pPr>
              <w:jc w:val="left"/>
            </w:pPr>
            <w:r>
              <w:rPr>
                <w:b/>
                <w:color w:val="FFFFFF"/>
                <w:sz w:val="19"/>
              </w:rPr>
              <w:t>Figure #</w:t>
            </w:r>
          </w:p>
        </w:tc>
        <w:tc>
          <w:tcPr>
            <w:tcW w:type="dxa" w:w="6480"/>
            <w:shd w:fill="1A365D"/>
            <w:tcMar>
              <w:top w:w="120" w:type="dxa"/>
              <w:bottom w:w="120" w:type="dxa"/>
              <w:left w:w="140" w:type="dxa"/>
              <w:right w:w="140" w:type="dxa"/>
            </w:tcMar>
          </w:tcPr>
          <w:p>
            <w:pPr>
              <w:jc w:val="left"/>
            </w:pPr>
            <w:r>
              <w:rPr>
                <w:b/>
                <w:color w:val="FFFFFF"/>
                <w:sz w:val="19"/>
              </w:rPr>
              <w:t>Description</w:t>
            </w:r>
          </w:p>
        </w:tc>
        <w:tc>
          <w:tcPr>
            <w:tcW w:type="dxa" w:w="1008"/>
            <w:shd w:fill="1A365D"/>
            <w:tcMar>
              <w:top w:w="120" w:type="dxa"/>
              <w:bottom w:w="120" w:type="dxa"/>
              <w:left w:w="140" w:type="dxa"/>
              <w:right w:w="140" w:type="dxa"/>
            </w:tcMar>
          </w:tcPr>
          <w:p>
            <w:pPr>
              <w:jc w:val="left"/>
            </w:pPr>
            <w:r>
              <w:rPr>
                <w:b/>
                <w:color w:val="FFFFFF"/>
                <w:sz w:val="19"/>
              </w:rPr>
              <w:t>Page</w:t>
            </w:r>
          </w:p>
        </w:tc>
      </w:tr>
      <w:tr>
        <w:tc>
          <w:tcPr>
            <w:tcW w:type="dxa" w:w="1728"/>
            <w:shd w:fill="FFFFFF"/>
            <w:tcMar>
              <w:top w:w="100" w:type="dxa"/>
              <w:bottom w:w="100" w:type="dxa"/>
              <w:left w:w="140" w:type="dxa"/>
              <w:right w:w="140" w:type="dxa"/>
            </w:tcMar>
          </w:tcPr>
          <w:p>
            <w:pPr>
              <w:jc w:val="left"/>
            </w:pPr>
            <w:r>
              <w:rPr>
                <w:color w:val="2D3748"/>
                <w:sz w:val="18"/>
              </w:rPr>
              <w:t>Figure 5.1</w:t>
            </w:r>
          </w:p>
        </w:tc>
        <w:tc>
          <w:tcPr>
            <w:tcW w:type="dxa" w:w="6480"/>
            <w:shd w:fill="FFFFFF"/>
            <w:tcMar>
              <w:top w:w="100" w:type="dxa"/>
              <w:bottom w:w="100" w:type="dxa"/>
              <w:left w:w="140" w:type="dxa"/>
              <w:right w:w="140" w:type="dxa"/>
            </w:tcMar>
          </w:tcPr>
          <w:p>
            <w:pPr>
              <w:jc w:val="left"/>
            </w:pPr>
            <w:r>
              <w:rPr>
                <w:color w:val="2D3748"/>
                <w:sz w:val="18"/>
              </w:rPr>
              <w:t>Multi-Tier Architectural Blueprint of GemForecast AI Platform</w:t>
            </w:r>
          </w:p>
        </w:tc>
        <w:tc>
          <w:tcPr>
            <w:tcW w:type="dxa" w:w="1008"/>
            <w:shd w:fill="FFFFFF"/>
            <w:tcMar>
              <w:top w:w="100" w:type="dxa"/>
              <w:bottom w:w="100" w:type="dxa"/>
              <w:left w:w="140" w:type="dxa"/>
              <w:right w:w="140" w:type="dxa"/>
            </w:tcMar>
          </w:tcPr>
          <w:p>
            <w:pPr>
              <w:jc w:val="left"/>
            </w:pPr>
            <w:r>
              <w:rPr>
                <w:color w:val="2D3748"/>
                <w:sz w:val="18"/>
              </w:rPr>
              <w:t>22</w:t>
            </w:r>
          </w:p>
        </w:tc>
      </w:tr>
      <w:tr>
        <w:tc>
          <w:tcPr>
            <w:tcW w:type="dxa" w:w="1728"/>
            <w:shd w:fill="F7FAFC"/>
            <w:tcMar>
              <w:top w:w="100" w:type="dxa"/>
              <w:bottom w:w="100" w:type="dxa"/>
              <w:left w:w="140" w:type="dxa"/>
              <w:right w:w="140" w:type="dxa"/>
            </w:tcMar>
          </w:tcPr>
          <w:p>
            <w:pPr>
              <w:jc w:val="left"/>
            </w:pPr>
            <w:r>
              <w:rPr>
                <w:color w:val="2D3748"/>
                <w:sz w:val="18"/>
              </w:rPr>
              <w:t>Figure 5.2</w:t>
            </w:r>
          </w:p>
        </w:tc>
        <w:tc>
          <w:tcPr>
            <w:tcW w:type="dxa" w:w="6480"/>
            <w:shd w:fill="F7FAFC"/>
            <w:tcMar>
              <w:top w:w="100" w:type="dxa"/>
              <w:bottom w:w="100" w:type="dxa"/>
              <w:left w:w="140" w:type="dxa"/>
              <w:right w:w="140" w:type="dxa"/>
            </w:tcMar>
          </w:tcPr>
          <w:p>
            <w:pPr>
              <w:jc w:val="left"/>
            </w:pPr>
            <w:r>
              <w:rPr>
                <w:color w:val="2D3748"/>
                <w:sz w:val="18"/>
              </w:rPr>
              <w:t>4-Pillar Hybrid Valuation Synthesis and Weight Allocation Flowchart</w:t>
            </w:r>
          </w:p>
        </w:tc>
        <w:tc>
          <w:tcPr>
            <w:tcW w:type="dxa" w:w="1008"/>
            <w:shd w:fill="F7FAFC"/>
            <w:tcMar>
              <w:top w:w="100" w:type="dxa"/>
              <w:bottom w:w="100" w:type="dxa"/>
              <w:left w:w="140" w:type="dxa"/>
              <w:right w:w="140" w:type="dxa"/>
            </w:tcMar>
          </w:tcPr>
          <w:p>
            <w:pPr>
              <w:jc w:val="left"/>
            </w:pPr>
            <w:r>
              <w:rPr>
                <w:color w:val="2D3748"/>
                <w:sz w:val="18"/>
              </w:rPr>
              <w:t>25</w:t>
            </w:r>
          </w:p>
        </w:tc>
      </w:tr>
      <w:tr>
        <w:tc>
          <w:tcPr>
            <w:tcW w:type="dxa" w:w="1728"/>
            <w:shd w:fill="FFFFFF"/>
            <w:tcMar>
              <w:top w:w="100" w:type="dxa"/>
              <w:bottom w:w="100" w:type="dxa"/>
              <w:left w:w="140" w:type="dxa"/>
              <w:right w:w="140" w:type="dxa"/>
            </w:tcMar>
          </w:tcPr>
          <w:p>
            <w:pPr>
              <w:jc w:val="left"/>
            </w:pPr>
            <w:r>
              <w:rPr>
                <w:color w:val="2D3748"/>
                <w:sz w:val="18"/>
              </w:rPr>
              <w:t>Figure 9.1</w:t>
            </w:r>
          </w:p>
        </w:tc>
        <w:tc>
          <w:tcPr>
            <w:tcW w:type="dxa" w:w="6480"/>
            <w:shd w:fill="FFFFFF"/>
            <w:tcMar>
              <w:top w:w="100" w:type="dxa"/>
              <w:bottom w:w="100" w:type="dxa"/>
              <w:left w:w="140" w:type="dxa"/>
              <w:right w:w="140" w:type="dxa"/>
            </w:tcMar>
          </w:tcPr>
          <w:p>
            <w:pPr>
              <w:jc w:val="left"/>
            </w:pPr>
            <w:r>
              <w:rPr>
                <w:color w:val="2D3748"/>
                <w:sz w:val="18"/>
              </w:rPr>
              <w:t>Empirical Evaluation Metrics: R² Score (%) and Error Metrics (RMSE vs MAE)</w:t>
            </w:r>
          </w:p>
        </w:tc>
        <w:tc>
          <w:tcPr>
            <w:tcW w:type="dxa" w:w="1008"/>
            <w:shd w:fill="FFFFFF"/>
            <w:tcMar>
              <w:top w:w="100" w:type="dxa"/>
              <w:bottom w:w="100" w:type="dxa"/>
              <w:left w:w="140" w:type="dxa"/>
              <w:right w:w="140" w:type="dxa"/>
            </w:tcMar>
          </w:tcPr>
          <w:p>
            <w:pPr>
              <w:jc w:val="left"/>
            </w:pPr>
            <w:r>
              <w:rPr>
                <w:color w:val="2D3748"/>
                <w:sz w:val="18"/>
              </w:rPr>
              <w:t>46</w:t>
            </w:r>
          </w:p>
        </w:tc>
      </w:tr>
    </w:tbl>
    <w:p>
      <w:pPr>
        <w:spacing w:before="0" w:after="120"/>
      </w:pPr>
    </w:p>
    <w:p>
      <w:pPr>
        <w:keepNext/>
        <w:spacing w:before="360" w:after="160"/>
      </w:pPr>
      <w:r>
        <w:rPr>
          <w:rFonts w:ascii="Calibri" w:hAnsi="Calibri"/>
          <w:b/>
          <w:color w:val="1A365D"/>
          <w:sz w:val="32"/>
        </w:rPr>
        <w:t>LIST OF TABLES</w:t>
      </w:r>
    </w:p>
    <w:tbl>
      <w:tblPr>
        <w:tblW w:type="auto" w:w="0"/>
        <w:jc w:val="center"/>
        <w:tblLook w:firstColumn="1" w:firstRow="1" w:lastColumn="0" w:lastRow="0" w:noHBand="0" w:noVBand="1" w:val="04A0"/>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Pr>
      <w:tblGrid>
        <w:gridCol w:w="3120"/>
        <w:gridCol w:w="3120"/>
        <w:gridCol w:w="3120"/>
      </w:tblGrid>
      <w:tr>
        <w:tc>
          <w:tcPr>
            <w:tcW w:type="dxa" w:w="1728"/>
            <w:shd w:fill="1A365D"/>
            <w:tcMar>
              <w:top w:w="120" w:type="dxa"/>
              <w:bottom w:w="120" w:type="dxa"/>
              <w:left w:w="140" w:type="dxa"/>
              <w:right w:w="140" w:type="dxa"/>
            </w:tcMar>
          </w:tcPr>
          <w:p>
            <w:pPr>
              <w:jc w:val="left"/>
            </w:pPr>
            <w:r>
              <w:rPr>
                <w:b/>
                <w:color w:val="FFFFFF"/>
                <w:sz w:val="19"/>
              </w:rPr>
              <w:t>Table #</w:t>
            </w:r>
          </w:p>
        </w:tc>
        <w:tc>
          <w:tcPr>
            <w:tcW w:type="dxa" w:w="6480"/>
            <w:shd w:fill="1A365D"/>
            <w:tcMar>
              <w:top w:w="120" w:type="dxa"/>
              <w:bottom w:w="120" w:type="dxa"/>
              <w:left w:w="140" w:type="dxa"/>
              <w:right w:w="140" w:type="dxa"/>
            </w:tcMar>
          </w:tcPr>
          <w:p>
            <w:pPr>
              <w:jc w:val="left"/>
            </w:pPr>
            <w:r>
              <w:rPr>
                <w:b/>
                <w:color w:val="FFFFFF"/>
                <w:sz w:val="19"/>
              </w:rPr>
              <w:t>Description</w:t>
            </w:r>
          </w:p>
        </w:tc>
        <w:tc>
          <w:tcPr>
            <w:tcW w:type="dxa" w:w="1008"/>
            <w:shd w:fill="1A365D"/>
            <w:tcMar>
              <w:top w:w="120" w:type="dxa"/>
              <w:bottom w:w="120" w:type="dxa"/>
              <w:left w:w="140" w:type="dxa"/>
              <w:right w:w="140" w:type="dxa"/>
            </w:tcMar>
          </w:tcPr>
          <w:p>
            <w:pPr>
              <w:jc w:val="left"/>
            </w:pPr>
            <w:r>
              <w:rPr>
                <w:b/>
                <w:color w:val="FFFFFF"/>
                <w:sz w:val="19"/>
              </w:rPr>
              <w:t>Page</w:t>
            </w:r>
          </w:p>
        </w:tc>
      </w:tr>
      <w:tr>
        <w:tc>
          <w:tcPr>
            <w:tcW w:type="dxa" w:w="1728"/>
            <w:shd w:fill="FFFFFF"/>
            <w:tcMar>
              <w:top w:w="100" w:type="dxa"/>
              <w:bottom w:w="100" w:type="dxa"/>
              <w:left w:w="140" w:type="dxa"/>
              <w:right w:w="140" w:type="dxa"/>
            </w:tcMar>
          </w:tcPr>
          <w:p>
            <w:pPr>
              <w:jc w:val="left"/>
            </w:pPr>
            <w:r>
              <w:rPr>
                <w:color w:val="2D3748"/>
                <w:sz w:val="18"/>
              </w:rPr>
              <w:t>Table 3.1</w:t>
            </w:r>
          </w:p>
        </w:tc>
        <w:tc>
          <w:tcPr>
            <w:tcW w:type="dxa" w:w="6480"/>
            <w:shd w:fill="FFFFFF"/>
            <w:tcMar>
              <w:top w:w="100" w:type="dxa"/>
              <w:bottom w:w="100" w:type="dxa"/>
              <w:left w:w="140" w:type="dxa"/>
              <w:right w:w="140" w:type="dxa"/>
            </w:tcMar>
          </w:tcPr>
          <w:p>
            <w:pPr>
              <w:jc w:val="left"/>
            </w:pPr>
            <w:r>
              <w:rPr>
                <w:color w:val="2D3748"/>
                <w:sz w:val="18"/>
              </w:rPr>
              <w:t>Comprehensive Comparative Analysis of Existing Research vs. GemForecast AI</w:t>
            </w:r>
          </w:p>
        </w:tc>
        <w:tc>
          <w:tcPr>
            <w:tcW w:type="dxa" w:w="1008"/>
            <w:shd w:fill="FFFFFF"/>
            <w:tcMar>
              <w:top w:w="100" w:type="dxa"/>
              <w:bottom w:w="100" w:type="dxa"/>
              <w:left w:w="140" w:type="dxa"/>
              <w:right w:w="140" w:type="dxa"/>
            </w:tcMar>
          </w:tcPr>
          <w:p>
            <w:pPr>
              <w:jc w:val="left"/>
            </w:pPr>
            <w:r>
              <w:rPr>
                <w:color w:val="2D3748"/>
                <w:sz w:val="18"/>
              </w:rPr>
              <w:t>15</w:t>
            </w:r>
          </w:p>
        </w:tc>
      </w:tr>
      <w:tr>
        <w:tc>
          <w:tcPr>
            <w:tcW w:type="dxa" w:w="1728"/>
            <w:shd w:fill="F7FAFC"/>
            <w:tcMar>
              <w:top w:w="100" w:type="dxa"/>
              <w:bottom w:w="100" w:type="dxa"/>
              <w:left w:w="140" w:type="dxa"/>
              <w:right w:w="140" w:type="dxa"/>
            </w:tcMar>
          </w:tcPr>
          <w:p>
            <w:pPr>
              <w:jc w:val="left"/>
            </w:pPr>
            <w:r>
              <w:rPr>
                <w:color w:val="2D3748"/>
                <w:sz w:val="18"/>
              </w:rPr>
              <w:t>Table 7.1</w:t>
            </w:r>
          </w:p>
        </w:tc>
        <w:tc>
          <w:tcPr>
            <w:tcW w:type="dxa" w:w="6480"/>
            <w:shd w:fill="F7FAFC"/>
            <w:tcMar>
              <w:top w:w="100" w:type="dxa"/>
              <w:bottom w:w="100" w:type="dxa"/>
              <w:left w:w="140" w:type="dxa"/>
              <w:right w:w="140" w:type="dxa"/>
            </w:tcMar>
          </w:tcPr>
          <w:p>
            <w:pPr>
              <w:jc w:val="left"/>
            </w:pPr>
            <w:r>
              <w:rPr>
                <w:color w:val="2D3748"/>
                <w:sz w:val="18"/>
              </w:rPr>
              <w:t>GemForecast AI Production Technology Stack</w:t>
            </w:r>
          </w:p>
        </w:tc>
        <w:tc>
          <w:tcPr>
            <w:tcW w:type="dxa" w:w="1008"/>
            <w:shd w:fill="F7FAFC"/>
            <w:tcMar>
              <w:top w:w="100" w:type="dxa"/>
              <w:bottom w:w="100" w:type="dxa"/>
              <w:left w:w="140" w:type="dxa"/>
              <w:right w:w="140" w:type="dxa"/>
            </w:tcMar>
          </w:tcPr>
          <w:p>
            <w:pPr>
              <w:jc w:val="left"/>
            </w:pPr>
            <w:r>
              <w:rPr>
                <w:color w:val="2D3748"/>
                <w:sz w:val="18"/>
              </w:rPr>
              <w:t>37</w:t>
            </w:r>
          </w:p>
        </w:tc>
      </w:tr>
      <w:tr>
        <w:tc>
          <w:tcPr>
            <w:tcW w:type="dxa" w:w="1728"/>
            <w:shd w:fill="FFFFFF"/>
            <w:tcMar>
              <w:top w:w="100" w:type="dxa"/>
              <w:bottom w:w="100" w:type="dxa"/>
              <w:left w:w="140" w:type="dxa"/>
              <w:right w:w="140" w:type="dxa"/>
            </w:tcMar>
          </w:tcPr>
          <w:p>
            <w:pPr>
              <w:jc w:val="left"/>
            </w:pPr>
            <w:r>
              <w:rPr>
                <w:color w:val="2D3748"/>
                <w:sz w:val="18"/>
              </w:rPr>
              <w:t>Table 8.1</w:t>
            </w:r>
          </w:p>
        </w:tc>
        <w:tc>
          <w:tcPr>
            <w:tcW w:type="dxa" w:w="6480"/>
            <w:shd w:fill="FFFFFF"/>
            <w:tcMar>
              <w:top w:w="100" w:type="dxa"/>
              <w:bottom w:w="100" w:type="dxa"/>
              <w:left w:w="140" w:type="dxa"/>
              <w:right w:w="140" w:type="dxa"/>
            </w:tcMar>
          </w:tcPr>
          <w:p>
            <w:pPr>
              <w:jc w:val="left"/>
            </w:pPr>
            <w:r>
              <w:rPr>
                <w:color w:val="2D3748"/>
                <w:sz w:val="18"/>
              </w:rPr>
              <w:t>Empirical Dataset Summary Statistics (193,573 Diamonds)</w:t>
            </w:r>
          </w:p>
        </w:tc>
        <w:tc>
          <w:tcPr>
            <w:tcW w:type="dxa" w:w="1008"/>
            <w:shd w:fill="FFFFFF"/>
            <w:tcMar>
              <w:top w:w="100" w:type="dxa"/>
              <w:bottom w:w="100" w:type="dxa"/>
              <w:left w:w="140" w:type="dxa"/>
              <w:right w:w="140" w:type="dxa"/>
            </w:tcMar>
          </w:tcPr>
          <w:p>
            <w:pPr>
              <w:jc w:val="left"/>
            </w:pPr>
            <w:r>
              <w:rPr>
                <w:color w:val="2D3748"/>
                <w:sz w:val="18"/>
              </w:rPr>
              <w:t>43</w:t>
            </w:r>
          </w:p>
        </w:tc>
      </w:tr>
      <w:tr>
        <w:tc>
          <w:tcPr>
            <w:tcW w:type="dxa" w:w="1728"/>
            <w:shd w:fill="F7FAFC"/>
            <w:tcMar>
              <w:top w:w="100" w:type="dxa"/>
              <w:bottom w:w="100" w:type="dxa"/>
              <w:left w:w="140" w:type="dxa"/>
              <w:right w:w="140" w:type="dxa"/>
            </w:tcMar>
          </w:tcPr>
          <w:p>
            <w:pPr>
              <w:jc w:val="left"/>
            </w:pPr>
            <w:r>
              <w:rPr>
                <w:color w:val="2D3748"/>
                <w:sz w:val="18"/>
              </w:rPr>
              <w:t>Table 9.1</w:t>
            </w:r>
          </w:p>
        </w:tc>
        <w:tc>
          <w:tcPr>
            <w:tcW w:type="dxa" w:w="6480"/>
            <w:shd w:fill="F7FAFC"/>
            <w:tcMar>
              <w:top w:w="100" w:type="dxa"/>
              <w:bottom w:w="100" w:type="dxa"/>
              <w:left w:w="140" w:type="dxa"/>
              <w:right w:w="140" w:type="dxa"/>
            </w:tcMar>
          </w:tcPr>
          <w:p>
            <w:pPr>
              <w:jc w:val="left"/>
            </w:pPr>
            <w:r>
              <w:rPr>
                <w:color w:val="2D3748"/>
                <w:sz w:val="18"/>
              </w:rPr>
              <w:t>Performance Metrics Comparison of Trained Machine Learning Models</w:t>
            </w:r>
          </w:p>
        </w:tc>
        <w:tc>
          <w:tcPr>
            <w:tcW w:type="dxa" w:w="1008"/>
            <w:shd w:fill="F7FAFC"/>
            <w:tcMar>
              <w:top w:w="100" w:type="dxa"/>
              <w:bottom w:w="100" w:type="dxa"/>
              <w:left w:w="140" w:type="dxa"/>
              <w:right w:w="140" w:type="dxa"/>
            </w:tcMar>
          </w:tcPr>
          <w:p>
            <w:pPr>
              <w:jc w:val="left"/>
            </w:pPr>
            <w:r>
              <w:rPr>
                <w:color w:val="2D3748"/>
                <w:sz w:val="18"/>
              </w:rPr>
              <w:t>45</w:t>
            </w:r>
          </w:p>
        </w:tc>
      </w:tr>
      <w:tr>
        <w:tc>
          <w:tcPr>
            <w:tcW w:type="dxa" w:w="1728"/>
            <w:shd w:fill="FFFFFF"/>
            <w:tcMar>
              <w:top w:w="100" w:type="dxa"/>
              <w:bottom w:w="100" w:type="dxa"/>
              <w:left w:w="140" w:type="dxa"/>
              <w:right w:w="140" w:type="dxa"/>
            </w:tcMar>
          </w:tcPr>
          <w:p>
            <w:pPr>
              <w:jc w:val="left"/>
            </w:pPr>
            <w:r>
              <w:rPr>
                <w:color w:val="2D3748"/>
                <w:sz w:val="18"/>
              </w:rPr>
              <w:t>Table 9.2</w:t>
            </w:r>
          </w:p>
        </w:tc>
        <w:tc>
          <w:tcPr>
            <w:tcW w:type="dxa" w:w="6480"/>
            <w:shd w:fill="FFFFFF"/>
            <w:tcMar>
              <w:top w:w="100" w:type="dxa"/>
              <w:bottom w:w="100" w:type="dxa"/>
              <w:left w:w="140" w:type="dxa"/>
              <w:right w:w="140" w:type="dxa"/>
            </w:tcMar>
          </w:tcPr>
          <w:p>
            <w:pPr>
              <w:jc w:val="left"/>
            </w:pPr>
            <w:r>
              <w:rPr>
                <w:color w:val="2D3748"/>
                <w:sz w:val="18"/>
              </w:rPr>
              <w:t>Authentic IGI Diamond Valuation Case Studies (Natural vs. Lab-Grown)</w:t>
            </w:r>
          </w:p>
        </w:tc>
        <w:tc>
          <w:tcPr>
            <w:tcW w:type="dxa" w:w="1008"/>
            <w:shd w:fill="FFFFFF"/>
            <w:tcMar>
              <w:top w:w="100" w:type="dxa"/>
              <w:bottom w:w="100" w:type="dxa"/>
              <w:left w:w="140" w:type="dxa"/>
              <w:right w:w="140" w:type="dxa"/>
            </w:tcMar>
          </w:tcPr>
          <w:p>
            <w:pPr>
              <w:jc w:val="left"/>
            </w:pPr>
            <w:r>
              <w:rPr>
                <w:color w:val="2D3748"/>
                <w:sz w:val="18"/>
              </w:rPr>
              <w:t>47</w:t>
            </w:r>
          </w:p>
        </w:tc>
      </w:tr>
      <w:tr>
        <w:tc>
          <w:tcPr>
            <w:tcW w:type="dxa" w:w="1728"/>
            <w:shd w:fill="F7FAFC"/>
            <w:tcMar>
              <w:top w:w="100" w:type="dxa"/>
              <w:bottom w:w="100" w:type="dxa"/>
              <w:left w:w="140" w:type="dxa"/>
              <w:right w:w="140" w:type="dxa"/>
            </w:tcMar>
          </w:tcPr>
          <w:p>
            <w:pPr>
              <w:jc w:val="left"/>
            </w:pPr>
            <w:r>
              <w:rPr>
                <w:color w:val="2D3748"/>
                <w:sz w:val="18"/>
              </w:rPr>
              <w:t>Table 10.1</w:t>
            </w:r>
          </w:p>
        </w:tc>
        <w:tc>
          <w:tcPr>
            <w:tcW w:type="dxa" w:w="6480"/>
            <w:shd w:fill="F7FAFC"/>
            <w:tcMar>
              <w:top w:w="100" w:type="dxa"/>
              <w:bottom w:w="100" w:type="dxa"/>
              <w:left w:w="140" w:type="dxa"/>
              <w:right w:w="140" w:type="dxa"/>
            </w:tcMar>
          </w:tcPr>
          <w:p>
            <w:pPr>
              <w:jc w:val="left"/>
            </w:pPr>
            <w:r>
              <w:rPr>
                <w:color w:val="2D3748"/>
                <w:sz w:val="18"/>
              </w:rPr>
              <w:t>Automated PyTest Test Suite Execution Summary</w:t>
            </w:r>
          </w:p>
        </w:tc>
        <w:tc>
          <w:tcPr>
            <w:tcW w:type="dxa" w:w="1008"/>
            <w:shd w:fill="F7FAFC"/>
            <w:tcMar>
              <w:top w:w="100" w:type="dxa"/>
              <w:bottom w:w="100" w:type="dxa"/>
              <w:left w:w="140" w:type="dxa"/>
              <w:right w:w="140" w:type="dxa"/>
            </w:tcMar>
          </w:tcPr>
          <w:p>
            <w:pPr>
              <w:jc w:val="left"/>
            </w:pPr>
            <w:r>
              <w:rPr>
                <w:color w:val="2D3748"/>
                <w:sz w:val="18"/>
              </w:rPr>
              <w:t>51</w:t>
            </w:r>
          </w:p>
        </w:tc>
      </w:tr>
    </w:tbl>
    <w:p>
      <w:pPr>
        <w:spacing w:before="0" w:after="120"/>
      </w:pPr>
    </w:p>
    <w:p>
      <w:r>
        <w:br w:type="page"/>
      </w:r>
    </w:p>
    <w:p>
      <w:pPr>
        <w:keepNext/>
        <w:spacing w:before="360" w:after="160"/>
      </w:pPr>
      <w:r>
        <w:rPr>
          <w:rFonts w:ascii="Calibri" w:hAnsi="Calibri"/>
          <w:b/>
          <w:color w:val="1A365D"/>
          <w:sz w:val="32"/>
        </w:rPr>
        <w:t>CHAPTER 1: INTRODUCTION</w:t>
      </w:r>
    </w:p>
    <w:p>
      <w:pPr>
        <w:keepNext/>
        <w:spacing w:before="280" w:after="120"/>
      </w:pPr>
      <w:r>
        <w:rPr>
          <w:rFonts w:ascii="Calibri" w:hAnsi="Calibri"/>
          <w:b/>
          <w:color w:val="2B6CB0"/>
          <w:sz w:val="26"/>
        </w:rPr>
        <w:t>1.1 Background and Industrial Context</w:t>
      </w:r>
    </w:p>
    <w:p>
      <w:pPr>
        <w:spacing w:before="0" w:after="120" w:line="276" w:lineRule="auto"/>
        <w:jc w:val="both"/>
      </w:pPr>
      <w:r>
        <w:rPr>
          <w:rFonts w:ascii="Calibri" w:hAnsi="Calibri"/>
          <w:color w:val="2D3748"/>
          <w:sz w:val="22"/>
        </w:rPr>
        <w:t>The diamond and jewellery industry serves as one of the critical pillars of the Indian economy, contributing approximately 7% to India's Gross Domestic Product (GDP) and accounting for over 14% of the country’s total merchandise exports. India occupies a virtually monopolistic position in the global midstream diamond pipeline: cutting and polishing approximately 14 out of every 15 rough diamonds circulating worldwide. The twin epicenters of this colossal trade—the Bharat Diamond Bourse (BDB) in Bandra Kurla Complex (BKC), Mumbai, and the newly inaugurated Surat Diamond Bourse (SDB) in Gujarat—process tens of billions of dollars in loose gems annually, feeding thousands of retail jewelers across historic trade corridors such as Zaveri Bazaar in Mumbai, Johari Bazaar in Jaipur, and Karol Bagh in New Delhi.</w:t>
      </w:r>
    </w:p>
    <w:p>
      <w:pPr>
        <w:spacing w:before="0" w:after="120" w:line="276" w:lineRule="auto"/>
        <w:jc w:val="both"/>
      </w:pPr>
      <w:r>
        <w:rPr>
          <w:rFonts w:ascii="Calibri" w:hAnsi="Calibri"/>
          <w:color w:val="2D3748"/>
          <w:sz w:val="22"/>
        </w:rPr>
        <w:t>Despite this international industrial hegemony, the domestic trading ecosystem has historically operated on informal, fragmented, and subjective pricing conventions. Transactions in wholesale diamond bourses frequently depend on negotiated discounts against international trade sheets, private memo consignments, and opaque dealer margins. For retail jewellers and consumers, determining the authentic fair market value of a certified polished diamond has remained an intimidating, non-transparent challenge fraught with information asymmetry.</w:t>
      </w:r>
    </w:p>
    <w:p>
      <w:pPr>
        <w:keepNext/>
        <w:spacing w:before="280" w:after="120"/>
      </w:pPr>
      <w:r>
        <w:rPr>
          <w:rFonts w:ascii="Calibri" w:hAnsi="Calibri"/>
          <w:b/>
          <w:color w:val="2B6CB0"/>
          <w:sz w:val="26"/>
        </w:rPr>
        <w:t>1.2 The Gemological Valuation Challenge</w:t>
      </w:r>
    </w:p>
    <w:p>
      <w:pPr>
        <w:spacing w:before="0" w:after="120" w:line="276" w:lineRule="auto"/>
        <w:jc w:val="both"/>
      </w:pPr>
      <w:r>
        <w:rPr>
          <w:rFonts w:ascii="Calibri" w:hAnsi="Calibri"/>
          <w:color w:val="2D3748"/>
          <w:sz w:val="22"/>
        </w:rPr>
        <w:t>In classical gemology formalized by the Gemological Institute of America (GIA) and the International Gemological Institute (IGI), a diamond's physical grading is governed by the universal '4Cs': Carat weight, Color purity, Clarity clarity, and Cut craftsmanship. However, translating these physical attributes into an objective economic valuation presents profound mathematical and commercial non-linearities:</w:t>
      </w:r>
    </w:p>
    <w:p>
      <w:pPr>
        <w:pStyle w:val="ListBullet"/>
        <w:spacing w:before="40" w:after="60" w:line="276" w:lineRule="auto"/>
        <w:jc w:val="both"/>
      </w:pPr>
      <w:r>
        <w:rPr>
          <w:rFonts w:ascii="Calibri" w:hAnsi="Calibri"/>
          <w:b/>
          <w:color w:val="1A365D"/>
          <w:sz w:val="21"/>
        </w:rPr>
        <w:t xml:space="preserve">Exponential Carat Price Jumps ('Magic Carats'): </w:t>
      </w:r>
      <w:r>
        <w:rPr>
          <w:rFonts w:ascii="Calibri" w:hAnsi="Calibri"/>
          <w:color w:val="2D3748"/>
          <w:sz w:val="21"/>
        </w:rPr>
        <w:t>Diamond prices do not scale linearly with weight. Due to natural scarcity, reaching critical psychological thresholds—such as 1.00 carat, 1.50 carat, or 2.00 carat—triggers dramatic, discontinuous price spikes. A 0.99-carat natural diamond may trade at a 20% to 30% discount relative to an identical 1.01-carat stone.</w:t>
      </w:r>
    </w:p>
    <w:p>
      <w:pPr>
        <w:pStyle w:val="ListBullet"/>
        <w:spacing w:before="40" w:after="60" w:line="276" w:lineRule="auto"/>
        <w:jc w:val="both"/>
      </w:pPr>
      <w:r>
        <w:rPr>
          <w:rFonts w:ascii="Calibri" w:hAnsi="Calibri"/>
          <w:b/>
          <w:color w:val="1A365D"/>
          <w:sz w:val="21"/>
        </w:rPr>
        <w:t xml:space="preserve">Optical Proportion Sensitivities: </w:t>
      </w:r>
      <w:r>
        <w:rPr>
          <w:rFonts w:ascii="Calibri" w:hAnsi="Calibri"/>
          <w:color w:val="2D3748"/>
          <w:sz w:val="21"/>
        </w:rPr>
        <w:t>Two diamonds sharing identical nominal 4C grades can exhibit drastically divergent visual appeal, light dispersion, and fire depending on their Table percentage, Depth percentage, Crown angle, Pavilion depth, and optical symmetry. Stones suffering from optical defects (e.g., 'nail-head' darkness or 'fish-eye' reflections) suffer substantial wholesale discounts.</w:t>
      </w:r>
    </w:p>
    <w:p>
      <w:pPr>
        <w:pStyle w:val="ListBullet"/>
        <w:spacing w:before="40" w:after="60" w:line="276" w:lineRule="auto"/>
        <w:jc w:val="both"/>
      </w:pPr>
      <w:r>
        <w:rPr>
          <w:rFonts w:ascii="Calibri" w:hAnsi="Calibri"/>
          <w:b/>
          <w:color w:val="1A365D"/>
          <w:sz w:val="21"/>
        </w:rPr>
        <w:t xml:space="preserve">Secondary Attributes: </w:t>
      </w:r>
      <w:r>
        <w:rPr>
          <w:rFonts w:ascii="Calibri" w:hAnsi="Calibri"/>
          <w:color w:val="2D3748"/>
          <w:sz w:val="21"/>
        </w:rPr>
        <w:t>Fluorescence (None, Faint, Medium, Strong Blue), Polish, and Inscription integrity create multi-dimensional variance that simple tabular price sheets fail to resolve dynamically.</w:t>
      </w:r>
    </w:p>
    <w:p>
      <w:pPr>
        <w:keepNext/>
        <w:spacing w:before="280" w:after="120"/>
      </w:pPr>
      <w:r>
        <w:rPr>
          <w:rFonts w:ascii="Calibri" w:hAnsi="Calibri"/>
          <w:b/>
          <w:color w:val="2B6CB0"/>
          <w:sz w:val="26"/>
        </w:rPr>
        <w:t>1.3 Divergence of Natural vs. Lab-Grown Diamonds (LGD)</w:t>
      </w:r>
    </w:p>
    <w:p>
      <w:pPr>
        <w:spacing w:before="0" w:after="120" w:line="276" w:lineRule="auto"/>
        <w:jc w:val="both"/>
      </w:pPr>
      <w:r>
        <w:rPr>
          <w:rFonts w:ascii="Calibri" w:hAnsi="Calibri"/>
          <w:color w:val="2D3748"/>
          <w:sz w:val="22"/>
        </w:rPr>
        <w:t>Over the past five years, the global diamond trade has undergone an unprecedented paradigm shift driven by the emergence of Lab-Grown Diamonds (LGD). Synthesized using advanced Chemical Vapor Deposition (CVD) reactors or High-Pressure High-Temperature (HPHT) presses, lab-grown diamonds possess physical, chemical, and optical characteristics 100% identical to natural geological diamonds (crystallized pure carbon in an isometric lattice).</w:t>
      </w:r>
    </w:p>
    <w:p>
      <w:pPr>
        <w:spacing w:before="0" w:after="120" w:line="276" w:lineRule="auto"/>
        <w:jc w:val="both"/>
      </w:pPr>
      <w:r>
        <w:rPr>
          <w:rFonts w:ascii="Calibri" w:hAnsi="Calibri"/>
          <w:color w:val="2D3748"/>
          <w:sz w:val="22"/>
        </w:rPr>
        <w:t>However, their economic valuation fundamentals are entirely divergent:</w:t>
      </w:r>
    </w:p>
    <w:p>
      <w:pPr>
        <w:pStyle w:val="ListBullet"/>
        <w:spacing w:before="40" w:after="60" w:line="276" w:lineRule="auto"/>
        <w:jc w:val="both"/>
      </w:pPr>
      <w:r>
        <w:rPr>
          <w:rFonts w:ascii="Calibri" w:hAnsi="Calibri"/>
          <w:b/>
          <w:color w:val="1A365D"/>
          <w:sz w:val="21"/>
        </w:rPr>
        <w:t xml:space="preserve">Natural Geological Diamonds: </w:t>
      </w:r>
      <w:r>
        <w:rPr>
          <w:rFonts w:ascii="Calibri" w:hAnsi="Calibri"/>
          <w:color w:val="2D3748"/>
          <w:sz w:val="21"/>
        </w:rPr>
        <w:t>Valued on absolute geological scarcity, depletion rates of Tier-1 mines, and physical bourse trade sheets. They serve as long-term wealth stores and multi-generational luxury assets.</w:t>
      </w:r>
    </w:p>
    <w:p>
      <w:pPr>
        <w:pStyle w:val="ListBullet"/>
        <w:spacing w:before="40" w:after="60" w:line="276" w:lineRule="auto"/>
        <w:jc w:val="both"/>
      </w:pPr>
      <w:r>
        <w:rPr>
          <w:rFonts w:ascii="Calibri" w:hAnsi="Calibri"/>
          <w:b/>
          <w:color w:val="1A365D"/>
          <w:sz w:val="21"/>
        </w:rPr>
        <w:t xml:space="preserve">Lab-Grown Diamonds (LGD): </w:t>
      </w:r>
      <w:r>
        <w:rPr>
          <w:rFonts w:ascii="Calibri" w:hAnsi="Calibri"/>
          <w:color w:val="2D3748"/>
          <w:sz w:val="21"/>
        </w:rPr>
        <w:t>Valued on industrial manufacturing costs, reactor yields, electricity tariffs, and rapid technological depreciation. Driven by massive manufacturing capacity in Surat, wholesale prices of 1-carat to 2-carat LGD have fallen by over 80% to 90% between 2020 and 2026, trading at a wholesale range of ₹9,000 to ₹48,000 per carat.</w:t>
      </w:r>
    </w:p>
    <w:p>
      <w:pPr>
        <w:spacing w:before="0" w:after="120" w:line="276" w:lineRule="auto"/>
        <w:jc w:val="both"/>
      </w:pPr>
      <w:r>
        <w:rPr>
          <w:rFonts w:ascii="Calibri" w:hAnsi="Calibri"/>
          <w:color w:val="2D3748"/>
          <w:sz w:val="22"/>
        </w:rPr>
        <w:t>Conflating natural and lab-grown diamonds within a single machine learning model results in disastrous valuation errors. A modern valuation platform must enforce rigorous, categorical separation between natural and manufactured origins.</w:t>
      </w:r>
    </w:p>
    <w:p>
      <w:pPr>
        <w:keepNext/>
        <w:spacing w:before="280" w:after="120"/>
      </w:pPr>
      <w:r>
        <w:rPr>
          <w:rFonts w:ascii="Calibri" w:hAnsi="Calibri"/>
          <w:b/>
          <w:color w:val="2B6CB0"/>
          <w:sz w:val="26"/>
        </w:rPr>
        <w:t>1.4 Research Objectives and Deliverables</w:t>
      </w:r>
    </w:p>
    <w:p>
      <w:pPr>
        <w:spacing w:before="0" w:after="120" w:line="276" w:lineRule="auto"/>
        <w:jc w:val="both"/>
      </w:pPr>
      <w:r>
        <w:rPr>
          <w:rFonts w:ascii="Calibri" w:hAnsi="Calibri"/>
          <w:color w:val="2D3748"/>
          <w:sz w:val="22"/>
        </w:rPr>
        <w:t>The overarching objective of this B.Tech major project is to design, implement, empirically benchmark, and deploy GEMFORECAST AI, an India-first, production-grade gemological intelligence platform that addresses the operational realities of Indian jewellery merchants. Specifically, the project delivers:</w:t>
      </w:r>
    </w:p>
    <w:p>
      <w:pPr>
        <w:pStyle w:val="ListBullet"/>
        <w:spacing w:before="40" w:after="60" w:line="276" w:lineRule="auto"/>
        <w:jc w:val="both"/>
      </w:pPr>
      <w:r>
        <w:rPr>
          <w:rFonts w:ascii="Calibri" w:hAnsi="Calibri"/>
          <w:b/>
          <w:color w:val="1A365D"/>
          <w:sz w:val="21"/>
        </w:rPr>
        <w:t xml:space="preserve">1. Dedicated IGI Verification Pipeline: </w:t>
      </w:r>
      <w:r>
        <w:rPr>
          <w:rFonts w:ascii="Calibri" w:hAnsi="Calibri"/>
          <w:color w:val="2D3748"/>
          <w:sz w:val="21"/>
        </w:rPr>
        <w:t>Official verification checking and automated pypdf extraction for authentic IGI diamond certificates under a strict Zero-Fake transparency policy.</w:t>
      </w:r>
    </w:p>
    <w:p>
      <w:pPr>
        <w:pStyle w:val="ListBullet"/>
        <w:spacing w:before="40" w:after="60" w:line="276" w:lineRule="auto"/>
        <w:jc w:val="both"/>
      </w:pPr>
      <w:r>
        <w:rPr>
          <w:rFonts w:ascii="Calibri" w:hAnsi="Calibri"/>
          <w:b/>
          <w:color w:val="1A365D"/>
          <w:sz w:val="21"/>
        </w:rPr>
        <w:t xml:space="preserve">2. 4-Pillar Hybrid Valuation Architecture: </w:t>
      </w:r>
      <w:r>
        <w:rPr>
          <w:rFonts w:ascii="Calibri" w:hAnsi="Calibri"/>
          <w:color w:val="2D3748"/>
          <w:sz w:val="21"/>
        </w:rPr>
        <w:t>Synthesizing live physical wholesale benchmarks (Mumbai BDB / Surat SDB), 193.5k historical sales comparables, a scikit-learn regression baseline, and an AI Face / Style-Value scoring layer.</w:t>
      </w:r>
    </w:p>
    <w:p>
      <w:pPr>
        <w:pStyle w:val="ListBullet"/>
        <w:spacing w:before="40" w:after="60" w:line="276" w:lineRule="auto"/>
        <w:jc w:val="both"/>
      </w:pPr>
      <w:r>
        <w:rPr>
          <w:rFonts w:ascii="Calibri" w:hAnsi="Calibri"/>
          <w:b/>
          <w:color w:val="1A365D"/>
          <w:sz w:val="21"/>
        </w:rPr>
        <w:t xml:space="preserve">3. Real-Time Indian Market Integration: </w:t>
      </w:r>
      <w:r>
        <w:rPr>
          <w:rFonts w:ascii="Calibri" w:hAnsi="Calibri"/>
          <w:color w:val="2D3748"/>
          <w:sz w:val="21"/>
        </w:rPr>
        <w:t>Automated USD/INR currency synchronization via Frankfurter API and genuine timestamped bullion feeds from Bullions.co.in and the India Bullion and Jewellers Association (IBJA).</w:t>
      </w:r>
    </w:p>
    <w:p>
      <w:pPr>
        <w:pStyle w:val="ListBullet"/>
        <w:spacing w:before="40" w:after="60" w:line="276" w:lineRule="auto"/>
        <w:jc w:val="both"/>
      </w:pPr>
      <w:r>
        <w:rPr>
          <w:rFonts w:ascii="Calibri" w:hAnsi="Calibri"/>
          <w:b/>
          <w:color w:val="1A365D"/>
          <w:sz w:val="21"/>
        </w:rPr>
        <w:t xml:space="preserve">4. High-Precision Decimal Invoicing Engine: </w:t>
      </w:r>
      <w:r>
        <w:rPr>
          <w:rFonts w:ascii="Calibri" w:hAnsi="Calibri"/>
          <w:color w:val="2D3748"/>
          <w:sz w:val="21"/>
        </w:rPr>
        <w:t>Strict Decimal arithmetic eliminating floating-point errors, automated 3% Indian GST calculation (HSN 7102/7113), sequential invoice numbering, and cryptographically shielded public share links.</w:t>
      </w:r>
    </w:p>
    <w:p>
      <w:pPr>
        <w:pStyle w:val="ListBullet"/>
        <w:spacing w:before="40" w:after="60" w:line="276" w:lineRule="auto"/>
        <w:jc w:val="both"/>
      </w:pPr>
      <w:r>
        <w:rPr>
          <w:rFonts w:ascii="Calibri" w:hAnsi="Calibri"/>
          <w:b/>
          <w:color w:val="1A365D"/>
          <w:sz w:val="21"/>
        </w:rPr>
        <w:t xml:space="preserve">5. Conversational AI Trade Advisor Agent: </w:t>
      </w:r>
      <w:r>
        <w:rPr>
          <w:rFonts w:ascii="Calibri" w:hAnsi="Calibri"/>
          <w:color w:val="2D3748"/>
          <w:sz w:val="21"/>
        </w:rPr>
        <w:t>An autonomous LLM agent equipped with tool-calling capabilities and SQLite multi-turn memory to advise jewelers on trade negotiations, counter-offers, and margins.</w:t>
      </w:r>
    </w:p>
    <w:p>
      <w:pPr>
        <w:keepNext/>
        <w:spacing w:before="280" w:after="120"/>
      </w:pPr>
      <w:r>
        <w:rPr>
          <w:rFonts w:ascii="Calibri" w:hAnsi="Calibri"/>
          <w:b/>
          <w:color w:val="2B6CB0"/>
          <w:sz w:val="26"/>
        </w:rPr>
        <w:t>1.5 Report Organization</w:t>
      </w:r>
    </w:p>
    <w:p>
      <w:pPr>
        <w:spacing w:before="0" w:after="120" w:line="276" w:lineRule="auto"/>
        <w:jc w:val="both"/>
      </w:pPr>
      <w:r>
        <w:rPr>
          <w:rFonts w:ascii="Calibri" w:hAnsi="Calibri"/>
          <w:color w:val="2D3748"/>
          <w:sz w:val="22"/>
        </w:rPr>
        <w:t>The remainder of this report is organized as follows: Chapter 2 examines the core technical rationale and domain realities motivating our multi-pillar architecture. Chapter 3 provides a comprehensive literature review of diamond valuation, machine learning, and commodity pricing, culminating in a detailed comparative analysis and explicit research gaps. Chapter 4 formally outlines the problem statement, system constraints, and functional requirements. Chapter 5 details the end-to-end multi-tier system architecture and database schema. Chapter 6 presents the mathematical formulations and core algorithms. Chapter 7 documents the technical stack and implementation modules. Chapter 8 profiles the 193,573-sample empirical dataset. Chapter 9 presents experimental results, model benchmarks, and authentic case studies. Chapter 10 covers software testing, automated PyTest suites, and failure root-cause analysis. Chapter 11 discusses production deployment on Render and user workflows. Chapter 12 details industrial impact, limitations, and future scope, and Chapter 13 concludes the report.</w:t>
      </w:r>
    </w:p>
    <w:p>
      <w:r>
        <w:br w:type="page"/>
      </w:r>
    </w:p>
    <w:p>
      <w:pPr>
        <w:keepNext/>
        <w:spacing w:before="360" w:after="160"/>
      </w:pPr>
      <w:r>
        <w:rPr>
          <w:rFonts w:ascii="Calibri" w:hAnsi="Calibri"/>
          <w:b/>
          <w:color w:val="1A365D"/>
          <w:sz w:val="32"/>
        </w:rPr>
        <w:t>CHAPTER 2: WHY MULTI-PILLAR VALUATION AND DOMAIN-GROUNDED AI?</w:t>
      </w:r>
    </w:p>
    <w:p>
      <w:pPr>
        <w:keepNext/>
        <w:spacing w:before="280" w:after="120"/>
      </w:pPr>
      <w:r>
        <w:rPr>
          <w:rFonts w:ascii="Calibri" w:hAnsi="Calibri"/>
          <w:b/>
          <w:color w:val="2B6CB0"/>
          <w:sz w:val="26"/>
        </w:rPr>
        <w:t>2.1 Limitations of Unimodal Machine Learning in Physical Commodities</w:t>
      </w:r>
    </w:p>
    <w:p>
      <w:pPr>
        <w:spacing w:before="0" w:after="120" w:line="276" w:lineRule="auto"/>
        <w:jc w:val="both"/>
      </w:pPr>
      <w:r>
        <w:rPr>
          <w:rFonts w:ascii="Calibri" w:hAnsi="Calibri"/>
          <w:color w:val="2D3748"/>
          <w:sz w:val="22"/>
        </w:rPr>
        <w:t>In conventional academic computer science projects, commodity price prediction is commonly formulated as a straightforward supervised regression problem: given an input vector of features, train an algorithm (e.g., Random Forest, Gradient Boosting, or a deep neural network) to minimize Mean Squared Error (MSE). However, deploying such unimodal models directly into physical luxury commodity markets fails catastrophically due to several fundamental realities:</w:t>
      </w:r>
    </w:p>
    <w:p>
      <w:pPr>
        <w:pStyle w:val="ListBullet"/>
        <w:spacing w:before="40" w:after="60" w:line="276" w:lineRule="auto"/>
        <w:jc w:val="both"/>
      </w:pPr>
      <w:r>
        <w:rPr>
          <w:rFonts w:ascii="Calibri" w:hAnsi="Calibri"/>
          <w:b/>
          <w:color w:val="1A365D"/>
          <w:sz w:val="21"/>
        </w:rPr>
        <w:t xml:space="preserve">Lack of Economic Grounding: </w:t>
      </w:r>
      <w:r>
        <w:rPr>
          <w:rFonts w:ascii="Calibri" w:hAnsi="Calibri"/>
          <w:color w:val="2D3748"/>
          <w:sz w:val="21"/>
        </w:rPr>
        <w:t>A pure machine learning model has no intrinsic awareness of live wholesale liquidity, macro-economic exchange rate fluctuations, or physical inventory carrying costs. It predicts a static mathematical expectation rather than an actionable trade price.</w:t>
      </w:r>
    </w:p>
    <w:p>
      <w:pPr>
        <w:pStyle w:val="ListBullet"/>
        <w:spacing w:before="40" w:after="60" w:line="276" w:lineRule="auto"/>
        <w:jc w:val="both"/>
      </w:pPr>
      <w:r>
        <w:rPr>
          <w:rFonts w:ascii="Calibri" w:hAnsi="Calibri"/>
          <w:b/>
          <w:color w:val="1A365D"/>
          <w:sz w:val="21"/>
        </w:rPr>
        <w:t xml:space="preserve">Extrapolation Hazards: </w:t>
      </w:r>
      <w:r>
        <w:rPr>
          <w:rFonts w:ascii="Calibri" w:hAnsi="Calibri"/>
          <w:color w:val="2D3748"/>
          <w:sz w:val="21"/>
        </w:rPr>
        <w:t>Diamonds exceeding 2.50 carats or possessing rare color/clarity combinations (e.g., D-Flawless) represent severe outliers in historical training corpora. Unconstrained non-linear models frequently produce wildly erratic valuations on high-value stones.</w:t>
      </w:r>
    </w:p>
    <w:p>
      <w:pPr>
        <w:pStyle w:val="ListBullet"/>
        <w:spacing w:before="40" w:after="60" w:line="276" w:lineRule="auto"/>
        <w:jc w:val="both"/>
      </w:pPr>
      <w:r>
        <w:rPr>
          <w:rFonts w:ascii="Calibri" w:hAnsi="Calibri"/>
          <w:b/>
          <w:color w:val="1A365D"/>
          <w:sz w:val="21"/>
        </w:rPr>
        <w:t xml:space="preserve">Disregard for Market Bid-Ask Spreads: </w:t>
      </w:r>
      <w:r>
        <w:rPr>
          <w:rFonts w:ascii="Calibri" w:hAnsi="Calibri"/>
          <w:color w:val="2D3748"/>
          <w:sz w:val="21"/>
        </w:rPr>
        <w:t>In commercial trade, no merchant buys at retail fair value. Sustainable business requires a clear delineation between wholesale acquisition (Suggested Buy Price), consumer retail quote (Suggested Customer Price), and target gross profit margins.</w:t>
      </w:r>
    </w:p>
    <w:p>
      <w:pPr>
        <w:keepNext/>
        <w:spacing w:before="280" w:after="120"/>
      </w:pPr>
      <w:r>
        <w:rPr>
          <w:rFonts w:ascii="Calibri" w:hAnsi="Calibri"/>
          <w:b/>
          <w:color w:val="2B6CB0"/>
          <w:sz w:val="26"/>
        </w:rPr>
        <w:t>2.2 Why Raw Historical Sales Data Alone is Insufficient</w:t>
      </w:r>
    </w:p>
    <w:p>
      <w:pPr>
        <w:spacing w:before="0" w:after="120" w:line="276" w:lineRule="auto"/>
        <w:jc w:val="both"/>
      </w:pPr>
      <w:r>
        <w:rPr>
          <w:rFonts w:ascii="Calibri" w:hAnsi="Calibri"/>
          <w:color w:val="2D3748"/>
          <w:sz w:val="22"/>
        </w:rPr>
        <w:t>While large historical datasets (such as Kaggle's 193.5k diamond records) provide an invaluable empirical foundation for understanding non-linear feature relationships, relying on them as the sole pricing source in 2026 is fatal:</w:t>
      </w:r>
    </w:p>
    <w:p>
      <w:pPr>
        <w:pStyle w:val="ListBullet"/>
        <w:spacing w:before="40" w:after="60" w:line="276" w:lineRule="auto"/>
        <w:jc w:val="both"/>
      </w:pPr>
      <w:r>
        <w:rPr>
          <w:rFonts w:ascii="Calibri" w:hAnsi="Calibri"/>
          <w:b/>
          <w:color w:val="1A365D"/>
          <w:sz w:val="21"/>
        </w:rPr>
        <w:t xml:space="preserve">Temporal Inflation &amp; Currency Shifts: </w:t>
      </w:r>
      <w:r>
        <w:rPr>
          <w:rFonts w:ascii="Calibri" w:hAnsi="Calibri"/>
          <w:color w:val="2D3748"/>
          <w:sz w:val="21"/>
        </w:rPr>
        <w:t>Historical diamond datasets record transactions in historical US Dollars. Over the past decade, the USD/INR exchange rate has transitioned from ₹65 to over ₹87.50 per USD. A historical price without dynamic FX conversion under-values physical stones in Indian Rupee terms by over 30%.</w:t>
      </w:r>
    </w:p>
    <w:p>
      <w:pPr>
        <w:pStyle w:val="ListBullet"/>
        <w:spacing w:before="40" w:after="60" w:line="276" w:lineRule="auto"/>
        <w:jc w:val="both"/>
      </w:pPr>
      <w:r>
        <w:rPr>
          <w:rFonts w:ascii="Calibri" w:hAnsi="Calibri"/>
          <w:b/>
          <w:color w:val="1A365D"/>
          <w:sz w:val="21"/>
        </w:rPr>
        <w:t xml:space="preserve">Structural Collapse of Lab-Grown Pricing: </w:t>
      </w:r>
      <w:r>
        <w:rPr>
          <w:rFonts w:ascii="Calibri" w:hAnsi="Calibri"/>
          <w:color w:val="2D3748"/>
          <w:sz w:val="21"/>
        </w:rPr>
        <w:t>Historical diamond databases collected prior to 2022 consist almost entirely of mined natural stones. Using those historical figures to price a contemporary CVD lab-grown diamond over-values the stone by 800% to 1,000%, leading to immediate financial bankruptcy for any trader relying on such predictions.</w:t>
      </w:r>
    </w:p>
    <w:p>
      <w:pPr>
        <w:keepNext/>
        <w:spacing w:before="280" w:after="120"/>
      </w:pPr>
      <w:r>
        <w:rPr>
          <w:rFonts w:ascii="Calibri" w:hAnsi="Calibri"/>
          <w:b/>
          <w:color w:val="2B6CB0"/>
          <w:sz w:val="26"/>
        </w:rPr>
        <w:t>2.3 The Critical Need for IGI Laboratory Verification</w:t>
      </w:r>
    </w:p>
    <w:p>
      <w:pPr>
        <w:spacing w:before="0" w:after="120" w:line="276" w:lineRule="auto"/>
        <w:jc w:val="both"/>
      </w:pPr>
      <w:r>
        <w:rPr>
          <w:rFonts w:ascii="Calibri" w:hAnsi="Calibri"/>
          <w:color w:val="2D3748"/>
          <w:sz w:val="22"/>
        </w:rPr>
        <w:t>A diamond's value exists strictly in conjunction with its independent gemological certification. The International Gemological Institute (IGI), founded in 1975, is the world's largest independent gemological laboratory, certifying the vast majority of polished diamonds traded in India, particularly in the booming lab-grown sector. The presence of an authentic IGI certificate guarantees that the stone has been scientifically inspected using photoluminescence spectroscopy, infrared FTIR, and microscopic inclusion mapping.</w:t>
      </w:r>
    </w:p>
    <w:p>
      <w:pPr>
        <w:spacing w:before="0" w:after="120" w:line="276" w:lineRule="auto"/>
        <w:jc w:val="both"/>
      </w:pPr>
      <w:r>
        <w:rPr>
          <w:rFonts w:ascii="Calibri" w:hAnsi="Calibri"/>
          <w:color w:val="2D3748"/>
          <w:sz w:val="22"/>
        </w:rPr>
        <w:t>Operating without verified laboratory credentials introduces severe financial risk. Counterfeit grading cards and altered laser inscriptions frequently attempt to pass off lower-grade stones as premium gems. GemForecast AI addresses this by establishing direct verification bridges to official IGI portals (`lookup.igi.org`) and integrating an automated PDF certificate parser.</w:t>
      </w:r>
    </w:p>
    <w:p>
      <w:pPr>
        <w:keepNext/>
        <w:spacing w:before="280" w:after="120"/>
      </w:pPr>
      <w:r>
        <w:rPr>
          <w:rFonts w:ascii="Calibri" w:hAnsi="Calibri"/>
          <w:b/>
          <w:color w:val="2B6CB0"/>
          <w:sz w:val="26"/>
        </w:rPr>
        <w:t>2.4 Computational Precision and Statutory Indian Taxation Realities</w:t>
      </w:r>
    </w:p>
    <w:p>
      <w:pPr>
        <w:spacing w:before="0" w:after="120" w:line="276" w:lineRule="auto"/>
        <w:jc w:val="both"/>
      </w:pPr>
      <w:r>
        <w:rPr>
          <w:rFonts w:ascii="Calibri" w:hAnsi="Calibri"/>
          <w:color w:val="2D3748"/>
          <w:sz w:val="22"/>
        </w:rPr>
        <w:t>In commercial jewellery retailing and manufacturing, computational precision is not merely an engineering preference—it is a legal and statutory necessity:</w:t>
      </w:r>
    </w:p>
    <w:p>
      <w:pPr>
        <w:pStyle w:val="ListBullet"/>
        <w:spacing w:before="40" w:after="60" w:line="276" w:lineRule="auto"/>
        <w:jc w:val="both"/>
      </w:pPr>
      <w:r>
        <w:rPr>
          <w:rFonts w:ascii="Calibri" w:hAnsi="Calibri"/>
          <w:b/>
          <w:color w:val="1A365D"/>
          <w:sz w:val="21"/>
        </w:rPr>
        <w:t xml:space="preserve">The Hazard of IEEE 754 Floating-Point Arithmetic: </w:t>
      </w:r>
      <w:r>
        <w:rPr>
          <w:rFonts w:ascii="Calibri" w:hAnsi="Calibri"/>
          <w:color w:val="2D3748"/>
          <w:sz w:val="21"/>
        </w:rPr>
        <w:t>Standard floating-point representation in modern programming languages (e.g., `float` in Python or `double` in C++) suffers from binary rounding errors (e.g., `0.1 + 0.2 = 0.30000000000000004`). In a high-value invoice involving multiple kilograms of gold, multi-carat solitaire diamonds, making charges, and taxes, floating-point drift creates discrepancies between line items and invoice totals, leading to tax audit penalties.</w:t>
      </w:r>
    </w:p>
    <w:p>
      <w:pPr>
        <w:pStyle w:val="ListBullet"/>
        <w:spacing w:before="40" w:after="60" w:line="276" w:lineRule="auto"/>
        <w:jc w:val="both"/>
      </w:pPr>
      <w:r>
        <w:rPr>
          <w:rFonts w:ascii="Calibri" w:hAnsi="Calibri"/>
          <w:b/>
          <w:color w:val="1A365D"/>
          <w:sz w:val="21"/>
        </w:rPr>
        <w:t xml:space="preserve">Statutory Compliance with Indian GST Act: </w:t>
      </w:r>
      <w:r>
        <w:rPr>
          <w:rFonts w:ascii="Calibri" w:hAnsi="Calibri"/>
          <w:color w:val="2D3748"/>
          <w:sz w:val="21"/>
        </w:rPr>
        <w:t>The Central Goods and Services Tax (CGST) Act of 2017 imposes specific composite tax structures on jewellery. Loose diamonds fall under HSN code 7102 (3% GST), natural gemstones under HSN 7103 (3% GST), finished gold/platinum jewellery under HSN 7113 (3% GST: 1.5% CGST + 1.5% SGST for intra-state, or 3.0% IGST for inter-state), and job work manufacturing charges under SAC 9988 (5% GST). Taxable subtotals and tax splits must reconcile to the exact paisa (two decimal places).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F497D"/>
              <w:bottom w:val="none"/>
              <w:right w:val="none"/>
            </w:tcBorders>
          </w:tcPr>
          <w:p>
            <w:pPr>
              <w:spacing w:before="60" w:after="60" w:line="276" w:lineRule="auto"/>
            </w:pPr>
            <w:r>
              <w:rPr>
                <w:rFonts w:ascii="Calibri" w:hAnsi="Calibri"/>
                <w:b/>
                <w:color w:val="1F497D"/>
                <w:sz w:val="20"/>
              </w:rPr>
              <w:t xml:space="preserve">[COMPUTATIONAL RIGOR &amp; COMPLIANCE] </w:t>
            </w:r>
            <w:r>
              <w:rPr>
                <w:rFonts w:ascii="Calibri" w:hAnsi="Calibri"/>
                <w:color w:val="2C3E50"/>
                <w:sz w:val="20"/>
              </w:rPr>
              <w:t>GemForecast AI strictly mandates Python's Decimal library with ROUND_HALF_UP precision across all financial calculations, completely eliminating floating-point rounding errors and ensuring 100% statutory reconciliation with Indian GST invoices.</w:t>
            </w:r>
          </w:p>
        </w:tc>
      </w:tr>
    </w:tbl>
    <w:p>
      <w:pPr>
        <w:spacing w:before="0" w:after="80"/>
      </w:pPr>
    </w:p>
    <w:p>
      <w:r>
        <w:br w:type="page"/>
      </w:r>
    </w:p>
    <w:p>
      <w:pPr>
        <w:keepNext/>
        <w:spacing w:before="360" w:after="160"/>
      </w:pPr>
      <w:r>
        <w:rPr>
          <w:rFonts w:ascii="Calibri" w:hAnsi="Calibri"/>
          <w:b/>
          <w:color w:val="1A365D"/>
          <w:sz w:val="32"/>
        </w:rPr>
        <w:t>CHAPTER 3: COMPREHENSIVE LITERATURE REVIEW</w:t>
      </w:r>
    </w:p>
    <w:p>
      <w:pPr>
        <w:keepNext/>
        <w:spacing w:before="280" w:after="120"/>
      </w:pPr>
      <w:r>
        <w:rPr>
          <w:rFonts w:ascii="Calibri" w:hAnsi="Calibri"/>
          <w:b/>
          <w:color w:val="2B6CB0"/>
          <w:sz w:val="26"/>
        </w:rPr>
        <w:t>3.1 Scope and Methodology of the Literature Review</w:t>
      </w:r>
    </w:p>
    <w:p>
      <w:pPr>
        <w:spacing w:before="0" w:after="120" w:line="276" w:lineRule="auto"/>
        <w:jc w:val="both"/>
      </w:pPr>
      <w:r>
        <w:rPr>
          <w:rFonts w:ascii="Calibri" w:hAnsi="Calibri"/>
          <w:color w:val="2D3748"/>
          <w:sz w:val="22"/>
        </w:rPr>
        <w:t>This literature review surveys peer-reviewed journal articles, international conference proceedings, gemological research papers, and technical standards published between 2018 and 2026. The search methodology utilized academic repositories including IEEE Xplore, ScienceDirect (Elsevier), SpringerLink, ACM Digital Library, Google Scholar, and arXiv. The query taxonomy combined keywords: 'diamond valuation', 'machine learning regression', '4C gemology', 'hedonic commodity pricing', 'lab-grown vs natural diamonds', 'decimal precision financial computing', 'GST invoicing architectures', and 'LLM tool calling in enterprise software'. A strict inclusion criterion was enforced: studies were retained only if they presented reproducible mathematical models, empirical commodity datasets, or architectural designs for high-value asset appraisal.</w:t>
      </w:r>
    </w:p>
    <w:p>
      <w:pPr>
        <w:keepNext/>
        <w:spacing w:before="280" w:after="120"/>
      </w:pPr>
      <w:r>
        <w:rPr>
          <w:rFonts w:ascii="Calibri" w:hAnsi="Calibri"/>
          <w:b/>
          <w:color w:val="2B6CB0"/>
          <w:sz w:val="26"/>
        </w:rPr>
        <w:t>3.2 Classical Diamond Pricing &amp; Gemological Modeling</w:t>
      </w:r>
    </w:p>
    <w:p>
      <w:pPr>
        <w:spacing w:before="0" w:after="120" w:line="276" w:lineRule="auto"/>
        <w:jc w:val="both"/>
      </w:pPr>
      <w:r>
        <w:rPr>
          <w:rFonts w:ascii="Calibri" w:hAnsi="Calibri"/>
          <w:color w:val="2D3748"/>
          <w:sz w:val="22"/>
        </w:rPr>
        <w:t>Early economic literature on diamond pricing was pioneered by hedonic price index theory. In 1978, Martin Rapaport established the Rapaport Diamond Report, which introduced standardized baseline price matrices categorized by carat weight ranges, color grades (D through M), and clarity tiers (IF through I3). While the Rapaport list remains a universal international benchmark, it reflects asking prices of dealers rather than realized transaction prices. In physical Indian bourses (BDB and Surat), trading occurs at negotiated percentage discounts ('Rap discounts') varying from -15% to -45% depending on cut quality, fluorescence, and market liquidity.</w:t>
      </w:r>
    </w:p>
    <w:p>
      <w:pPr>
        <w:spacing w:before="0" w:after="120" w:line="276" w:lineRule="auto"/>
        <w:jc w:val="both"/>
      </w:pPr>
      <w:r>
        <w:rPr>
          <w:rFonts w:ascii="Calibri" w:hAnsi="Calibri"/>
          <w:color w:val="2D3748"/>
          <w:sz w:val="22"/>
        </w:rPr>
        <w:t>In academic literature, early statistical models by Scott and Yelowitz (2020) demonstrated that diamond prices exhibit extreme positive skewness and super-linear elasticity with respect to carat weight, proving that ordinary least squares (OLS) linear regression on raw price scales severely violates homoscedasticity assumptions.</w:t>
      </w:r>
    </w:p>
    <w:p>
      <w:pPr>
        <w:keepNext/>
        <w:spacing w:before="280" w:after="120"/>
      </w:pPr>
      <w:r>
        <w:rPr>
          <w:rFonts w:ascii="Calibri" w:hAnsi="Calibri"/>
          <w:b/>
          <w:color w:val="2B6CB0"/>
          <w:sz w:val="26"/>
        </w:rPr>
        <w:t>3.3 Machine Learning Regression Techniques in Gemology</w:t>
      </w:r>
    </w:p>
    <w:p>
      <w:pPr>
        <w:spacing w:before="0" w:after="120" w:line="276" w:lineRule="auto"/>
        <w:jc w:val="both"/>
      </w:pPr>
      <w:r>
        <w:rPr>
          <w:rFonts w:ascii="Calibri" w:hAnsi="Calibri"/>
          <w:color w:val="2D3748"/>
          <w:sz w:val="22"/>
        </w:rPr>
        <w:t>With the advent of large-scale open datasets, computational researchers began exploring non-linear machine learning architectures for diamond pricing. Venkatesh et al. (2021) compared Random Forest, Support Vector Regression (SVR), and Gradient Boosting on the classical 53,940-sample dataset, demonstrating that ensemble tree models achieve R² scores exceeding 90%. However, their work treated all features as unordered categorical variables, failing to exploit the strictly ordinal nature of gemological grades (Cut: Fair &lt; Good &lt; Very Good &lt; Premium &lt; Ideal; Color: J &lt; I &lt; H &lt; G &lt; F &lt; E &lt; D; Clarity: I1 &lt; SI2 &lt; SI1 &lt; VS2 &lt; VS1 &lt; VVS2 &lt; VVS1 &lt; IF).</w:t>
      </w:r>
    </w:p>
    <w:p>
      <w:pPr>
        <w:spacing w:before="0" w:after="120" w:line="276" w:lineRule="auto"/>
        <w:jc w:val="both"/>
      </w:pPr>
      <w:r>
        <w:rPr>
          <w:rFonts w:ascii="Calibri" w:hAnsi="Calibri"/>
          <w:color w:val="2D3748"/>
          <w:sz w:val="22"/>
        </w:rPr>
        <w:t>Sharma and Patel (2023) explored deep neural networks (DNN) with dense embedding layers for diamond appraisal, reporting marginal improvements in Mean Absolute Error over gradient boosted trees. Nonetheless, their model functioned as an opaque black-box, offering zero interpretability into value drivers, proportions, or trade margins—rendering it unusable for retail jewellers requiring commercial negotiation explanations.</w:t>
      </w:r>
    </w:p>
    <w:p>
      <w:pPr>
        <w:keepNext/>
        <w:spacing w:before="280" w:after="120"/>
      </w:pPr>
      <w:r>
        <w:rPr>
          <w:rFonts w:ascii="Calibri" w:hAnsi="Calibri"/>
          <w:b/>
          <w:color w:val="2B6CB0"/>
          <w:sz w:val="26"/>
        </w:rPr>
        <w:t>3.4 Disentangled Pricing for Synthetic vs. Natural Mineral Commodities</w:t>
      </w:r>
    </w:p>
    <w:p>
      <w:pPr>
        <w:spacing w:before="0" w:after="120" w:line="276" w:lineRule="auto"/>
        <w:jc w:val="both"/>
      </w:pPr>
      <w:r>
        <w:rPr>
          <w:rFonts w:ascii="Calibri" w:hAnsi="Calibri"/>
          <w:color w:val="2D3748"/>
          <w:sz w:val="22"/>
        </w:rPr>
        <w:t>A major deficiency across all reviewed machine learning literature is the complete omission of Lab-Grown Diamonds (LGD). While the physical synthesis of gem-quality diamonds has been studied extensively in material science (Eaton-Magaña et al., 2021), computational economics literature has largely ignored the catastrophic market divergence between mined and synthesized stones. Prior ML models implicitly assume that any stone exhibiting 1.50 carats, E color, and VVS1 clarity belongs to the historical natural valuation curve ($8,000 to $12,000), completely failing in the modern era where an identical CVD lab-grown diamond sells wholesale for $400 to $600. No prior published framework implements an automated gemological origin discriminator capable of routing samples into separate natural vs. synthetic valuation pipelines.</w:t>
      </w:r>
    </w:p>
    <w:p>
      <w:pPr>
        <w:keepNext/>
        <w:spacing w:before="280" w:after="120"/>
      </w:pPr>
      <w:r>
        <w:rPr>
          <w:rFonts w:ascii="Calibri" w:hAnsi="Calibri"/>
          <w:b/>
          <w:color w:val="2B6CB0"/>
          <w:sz w:val="26"/>
        </w:rPr>
        <w:t>3.5 Real-Time Market Benchmarking &amp; Bullion Feeds</w:t>
      </w:r>
    </w:p>
    <w:p>
      <w:pPr>
        <w:spacing w:before="0" w:after="120" w:line="276" w:lineRule="auto"/>
        <w:jc w:val="both"/>
      </w:pPr>
      <w:r>
        <w:rPr>
          <w:rFonts w:ascii="Calibri" w:hAnsi="Calibri"/>
          <w:color w:val="2D3748"/>
          <w:sz w:val="22"/>
        </w:rPr>
        <w:t>Diamond valuation in jewellery cannot exist in isolation from precious metal markets. Most diamond purchases occur as finished studded jewellery (solitaire rings, necklaces, bangles), where the overall price is heavily governed by the spot price of gold (24K, 22K, 18K, 14K) and silver. In India, official daily bullion benchmarks are regulated and published by the India Bullion and Jewellers Association (IBJA) in dual sessions (Opening AM and Closing PM). Existing automated appraisal tools either omit metal pricing entirely or rely on unverified scraping bots that produce stale data or violate anti-scraping policies. GemForecast AI addresses this through genuine, timestamped IBJA/Bullions API ingestion with explicit freshness and stale-data flags.</w:t>
      </w:r>
    </w:p>
    <w:p>
      <w:pPr>
        <w:keepNext/>
        <w:spacing w:before="280" w:after="120"/>
      </w:pPr>
      <w:r>
        <w:rPr>
          <w:rFonts w:ascii="Calibri" w:hAnsi="Calibri"/>
          <w:b/>
          <w:color w:val="2B6CB0"/>
          <w:sz w:val="26"/>
        </w:rPr>
        <w:t>3.6 Conversational Agents, Function Calling &amp; Enterprise Systems</w:t>
      </w:r>
    </w:p>
    <w:p>
      <w:pPr>
        <w:spacing w:before="0" w:after="120" w:line="276" w:lineRule="auto"/>
        <w:jc w:val="both"/>
      </w:pPr>
      <w:r>
        <w:rPr>
          <w:rFonts w:ascii="Calibri" w:hAnsi="Calibri"/>
          <w:color w:val="2D3748"/>
          <w:sz w:val="22"/>
        </w:rPr>
        <w:t>The emergence of Large Language Models (LLMs) such as Google Gemini and Meta LLaMA has revolutionized conversational trade advisors. Recent literature on autonomous enterprise agents (Schick et al., 2023; Patil et al., 2024) emphasizes that LLMs should not generate factual numerical data from memory. Instead, models must use structured Tool / Function Calling to execute deterministic API lookups and mathematical calculations. GemForecast AI adopts this paradigm, equipping its Chief Trade Advisor Agent with deterministic tools for bullion rates, diamond matrices, and jewellery calculations.</w:t>
      </w:r>
    </w:p>
    <w:p>
      <w:pPr>
        <w:keepNext/>
        <w:spacing w:before="280" w:after="120"/>
      </w:pPr>
      <w:r>
        <w:rPr>
          <w:rFonts w:ascii="Calibri" w:hAnsi="Calibri"/>
          <w:b/>
          <w:color w:val="2B6CB0"/>
          <w:sz w:val="26"/>
        </w:rPr>
        <w:t>3.7 Comparative Analysis Table of Related Works</w:t>
      </w:r>
    </w:p>
    <w:p>
      <w:pPr>
        <w:spacing w:before="0" w:after="120" w:line="276" w:lineRule="auto"/>
        <w:jc w:val="both"/>
      </w:pPr>
      <w:r>
        <w:rPr>
          <w:rFonts w:ascii="Calibri" w:hAnsi="Calibri"/>
          <w:color w:val="2D3748"/>
          <w:sz w:val="22"/>
        </w:rPr>
        <w:t>Table 3.1 provides an exhaustive comparative analysis bench-marking GemForecast AI against twelve representative peer-reviewed works and commercial frameworks across eight structural dimensions.</w:t>
      </w:r>
    </w:p>
    <w:tbl>
      <w:tblPr>
        <w:tblW w:type="auto" w:w="0"/>
        <w:jc w:val="center"/>
        <w:tblLook w:firstColumn="1" w:firstRow="1" w:lastColumn="0" w:lastRow="0" w:noHBand="0" w:noVBand="1" w:val="04A0"/>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Pr>
      <w:tblGrid>
        <w:gridCol w:w="1170"/>
        <w:gridCol w:w="1170"/>
        <w:gridCol w:w="1170"/>
        <w:gridCol w:w="1170"/>
        <w:gridCol w:w="1170"/>
        <w:gridCol w:w="1170"/>
        <w:gridCol w:w="1170"/>
        <w:gridCol w:w="1170"/>
      </w:tblGrid>
      <w:tr>
        <w:tc>
          <w:tcPr>
            <w:tcW w:type="dxa" w:w="1728"/>
            <w:shd w:fill="1A365D"/>
            <w:tcMar>
              <w:top w:w="120" w:type="dxa"/>
              <w:bottom w:w="120" w:type="dxa"/>
              <w:left w:w="140" w:type="dxa"/>
              <w:right w:w="140" w:type="dxa"/>
            </w:tcMar>
          </w:tcPr>
          <w:p>
            <w:pPr>
              <w:jc w:val="left"/>
            </w:pPr>
            <w:r>
              <w:rPr>
                <w:b/>
                <w:color w:val="FFFFFF"/>
                <w:sz w:val="19"/>
              </w:rPr>
              <w:t>Work / System</w:t>
            </w:r>
          </w:p>
        </w:tc>
        <w:tc>
          <w:tcPr>
            <w:tcW w:type="dxa" w:w="1440"/>
            <w:shd w:fill="1A365D"/>
            <w:tcMar>
              <w:top w:w="120" w:type="dxa"/>
              <w:bottom w:w="120" w:type="dxa"/>
              <w:left w:w="140" w:type="dxa"/>
              <w:right w:w="140" w:type="dxa"/>
            </w:tcMar>
          </w:tcPr>
          <w:p>
            <w:pPr>
              <w:jc w:val="left"/>
            </w:pPr>
            <w:r>
              <w:rPr>
                <w:b/>
                <w:color w:val="FFFFFF"/>
                <w:sz w:val="19"/>
              </w:rPr>
              <w:t>Domain / Scope</w:t>
            </w:r>
          </w:p>
        </w:tc>
        <w:tc>
          <w:tcPr>
            <w:tcW w:type="dxa" w:w="1872"/>
            <w:shd w:fill="1A365D"/>
            <w:tcMar>
              <w:top w:w="120" w:type="dxa"/>
              <w:bottom w:w="120" w:type="dxa"/>
              <w:left w:w="140" w:type="dxa"/>
              <w:right w:w="140" w:type="dxa"/>
            </w:tcMar>
          </w:tcPr>
          <w:p>
            <w:pPr>
              <w:jc w:val="left"/>
            </w:pPr>
            <w:r>
              <w:rPr>
                <w:b/>
                <w:color w:val="FFFFFF"/>
                <w:sz w:val="19"/>
              </w:rPr>
              <w:t>ML / Valuation Approach</w:t>
            </w:r>
          </w:p>
        </w:tc>
        <w:tc>
          <w:tcPr>
            <w:tcW w:type="dxa" w:w="1296"/>
            <w:shd w:fill="1A365D"/>
            <w:tcMar>
              <w:top w:w="120" w:type="dxa"/>
              <w:bottom w:w="120" w:type="dxa"/>
              <w:left w:w="140" w:type="dxa"/>
              <w:right w:w="140" w:type="dxa"/>
            </w:tcMar>
          </w:tcPr>
          <w:p>
            <w:pPr>
              <w:jc w:val="left"/>
            </w:pPr>
            <w:r>
              <w:rPr>
                <w:b/>
                <w:color w:val="FFFFFF"/>
                <w:sz w:val="19"/>
              </w:rPr>
              <w:t>Real-Time Benchmarking</w:t>
            </w:r>
          </w:p>
        </w:tc>
        <w:tc>
          <w:tcPr>
            <w:tcW w:type="dxa" w:w="1152"/>
            <w:shd w:fill="1A365D"/>
            <w:tcMar>
              <w:top w:w="120" w:type="dxa"/>
              <w:bottom w:w="120" w:type="dxa"/>
              <w:left w:w="140" w:type="dxa"/>
              <w:right w:w="140" w:type="dxa"/>
            </w:tcMar>
          </w:tcPr>
          <w:p>
            <w:pPr>
              <w:jc w:val="left"/>
            </w:pPr>
            <w:r>
              <w:rPr>
                <w:b/>
                <w:color w:val="FFFFFF"/>
                <w:sz w:val="19"/>
              </w:rPr>
              <w:t>Natural vs. LGD Split</w:t>
            </w:r>
          </w:p>
        </w:tc>
        <w:tc>
          <w:tcPr>
            <w:tcW w:type="dxa" w:w="1008"/>
            <w:shd w:fill="1A365D"/>
            <w:tcMar>
              <w:top w:w="120" w:type="dxa"/>
              <w:bottom w:w="120" w:type="dxa"/>
              <w:left w:w="140" w:type="dxa"/>
              <w:right w:w="140" w:type="dxa"/>
            </w:tcMar>
          </w:tcPr>
          <w:p>
            <w:pPr>
              <w:jc w:val="left"/>
            </w:pPr>
            <w:r>
              <w:rPr>
                <w:b/>
                <w:color w:val="FFFFFF"/>
                <w:sz w:val="19"/>
              </w:rPr>
              <w:t>Indian GST Invoicing</w:t>
            </w:r>
          </w:p>
        </w:tc>
        <w:tc>
          <w:tcPr>
            <w:tcW w:type="dxa" w:w="1152"/>
            <w:shd w:fill="1A365D"/>
            <w:tcMar>
              <w:top w:w="120" w:type="dxa"/>
              <w:bottom w:w="120" w:type="dxa"/>
              <w:left w:w="140" w:type="dxa"/>
              <w:right w:w="140" w:type="dxa"/>
            </w:tcMar>
          </w:tcPr>
          <w:p>
            <w:pPr>
              <w:jc w:val="left"/>
            </w:pPr>
            <w:r>
              <w:rPr>
                <w:b/>
                <w:color w:val="FFFFFF"/>
                <w:sz w:val="19"/>
              </w:rPr>
              <w:t>Verified Laboratory Integration</w:t>
            </w:r>
          </w:p>
        </w:tc>
        <w:tc>
          <w:tcPr>
            <w:tcW w:type="dxa" w:w="1584"/>
            <w:shd w:fill="1A365D"/>
            <w:tcMar>
              <w:top w:w="120" w:type="dxa"/>
              <w:bottom w:w="120" w:type="dxa"/>
              <w:left w:w="140" w:type="dxa"/>
              <w:right w:w="140" w:type="dxa"/>
            </w:tcMar>
          </w:tcPr>
          <w:p>
            <w:pPr>
              <w:jc w:val="left"/>
            </w:pPr>
            <w:r>
              <w:rPr>
                <w:b/>
                <w:color w:val="FFFFFF"/>
                <w:sz w:val="19"/>
              </w:rPr>
              <w:t>Main Limitations</w:t>
            </w:r>
          </w:p>
        </w:tc>
      </w:tr>
      <w:tr>
        <w:tc>
          <w:tcPr>
            <w:tcW w:type="dxa" w:w="1728"/>
            <w:shd w:fill="FFFFFF"/>
            <w:tcMar>
              <w:top w:w="100" w:type="dxa"/>
              <w:bottom w:w="100" w:type="dxa"/>
              <w:left w:w="140" w:type="dxa"/>
              <w:right w:w="140" w:type="dxa"/>
            </w:tcMar>
          </w:tcPr>
          <w:p>
            <w:pPr>
              <w:jc w:val="left"/>
            </w:pPr>
            <w:r>
              <w:rPr>
                <w:color w:val="2D3748"/>
                <w:sz w:val="18"/>
              </w:rPr>
              <w:t>Scott &amp; Yelowitz (2020)</w:t>
            </w:r>
          </w:p>
        </w:tc>
        <w:tc>
          <w:tcPr>
            <w:tcW w:type="dxa" w:w="1440"/>
            <w:shd w:fill="FFFFFF"/>
            <w:tcMar>
              <w:top w:w="100" w:type="dxa"/>
              <w:bottom w:w="100" w:type="dxa"/>
              <w:left w:w="140" w:type="dxa"/>
              <w:right w:w="140" w:type="dxa"/>
            </w:tcMar>
          </w:tcPr>
          <w:p>
            <w:pPr>
              <w:jc w:val="left"/>
            </w:pPr>
            <w:r>
              <w:rPr>
                <w:color w:val="2D3748"/>
                <w:sz w:val="18"/>
              </w:rPr>
              <w:t>Natural Diamonds</w:t>
            </w:r>
          </w:p>
        </w:tc>
        <w:tc>
          <w:tcPr>
            <w:tcW w:type="dxa" w:w="1872"/>
            <w:shd w:fill="FFFFFF"/>
            <w:tcMar>
              <w:top w:w="100" w:type="dxa"/>
              <w:bottom w:w="100" w:type="dxa"/>
              <w:left w:w="140" w:type="dxa"/>
              <w:right w:w="140" w:type="dxa"/>
            </w:tcMar>
          </w:tcPr>
          <w:p>
            <w:pPr>
              <w:jc w:val="left"/>
            </w:pPr>
            <w:r>
              <w:rPr>
                <w:color w:val="2D3748"/>
                <w:sz w:val="18"/>
              </w:rPr>
              <w:t>Hedonic OLS Regression</w:t>
            </w:r>
          </w:p>
        </w:tc>
        <w:tc>
          <w:tcPr>
            <w:tcW w:type="dxa" w:w="1296"/>
            <w:shd w:fill="FFFFFF"/>
            <w:tcMar>
              <w:top w:w="100" w:type="dxa"/>
              <w:bottom w:w="100" w:type="dxa"/>
              <w:left w:w="140" w:type="dxa"/>
              <w:right w:w="140" w:type="dxa"/>
            </w:tcMar>
          </w:tcPr>
          <w:p>
            <w:pPr>
              <w:jc w:val="left"/>
            </w:pPr>
            <w:r>
              <w:rPr>
                <w:color w:val="2D3748"/>
                <w:sz w:val="18"/>
              </w:rPr>
              <w:t>No (Static Historical USD)</w:t>
            </w:r>
          </w:p>
        </w:tc>
        <w:tc>
          <w:tcPr>
            <w:tcW w:type="dxa" w:w="1152"/>
            <w:shd w:fill="FFFFFF"/>
            <w:tcMar>
              <w:top w:w="100" w:type="dxa"/>
              <w:bottom w:w="100" w:type="dxa"/>
              <w:left w:w="140" w:type="dxa"/>
              <w:right w:w="140" w:type="dxa"/>
            </w:tcMar>
          </w:tcPr>
          <w:p>
            <w:pPr>
              <w:jc w:val="left"/>
            </w:pPr>
            <w:r>
              <w:rPr>
                <w:color w:val="2D3748"/>
                <w:sz w:val="18"/>
              </w:rPr>
              <w:t>No (Natural Only)</w:t>
            </w:r>
          </w:p>
        </w:tc>
        <w:tc>
          <w:tcPr>
            <w:tcW w:type="dxa" w:w="1008"/>
            <w:shd w:fill="FFFFFF"/>
            <w:tcMar>
              <w:top w:w="100" w:type="dxa"/>
              <w:bottom w:w="100" w:type="dxa"/>
              <w:left w:w="140" w:type="dxa"/>
              <w:right w:w="140" w:type="dxa"/>
            </w:tcMar>
          </w:tcPr>
          <w:p>
            <w:pPr>
              <w:jc w:val="left"/>
            </w:pPr>
            <w:r>
              <w:rPr>
                <w:color w:val="2D3748"/>
                <w:sz w:val="18"/>
              </w:rPr>
              <w:t>No</w:t>
            </w:r>
          </w:p>
        </w:tc>
        <w:tc>
          <w:tcPr>
            <w:tcW w:type="dxa" w:w="1152"/>
            <w:shd w:fill="FFFFFF"/>
            <w:tcMar>
              <w:top w:w="100" w:type="dxa"/>
              <w:bottom w:w="100" w:type="dxa"/>
              <w:left w:w="140" w:type="dxa"/>
              <w:right w:w="140" w:type="dxa"/>
            </w:tcMar>
          </w:tcPr>
          <w:p>
            <w:pPr>
              <w:jc w:val="left"/>
            </w:pPr>
            <w:r>
              <w:rPr>
                <w:color w:val="2D3748"/>
                <w:sz w:val="18"/>
              </w:rPr>
              <w:t>No</w:t>
            </w:r>
          </w:p>
        </w:tc>
        <w:tc>
          <w:tcPr>
            <w:tcW w:type="dxa" w:w="1584"/>
            <w:shd w:fill="FFFFFF"/>
            <w:tcMar>
              <w:top w:w="100" w:type="dxa"/>
              <w:bottom w:w="100" w:type="dxa"/>
              <w:left w:w="140" w:type="dxa"/>
              <w:right w:w="140" w:type="dxa"/>
            </w:tcMar>
          </w:tcPr>
          <w:p>
            <w:pPr>
              <w:jc w:val="left"/>
            </w:pPr>
            <w:r>
              <w:rPr>
                <w:color w:val="2D3748"/>
                <w:sz w:val="18"/>
              </w:rPr>
              <w:t>Linear assumptions violate carat elasticity; no web UI</w:t>
            </w:r>
          </w:p>
        </w:tc>
      </w:tr>
      <w:tr>
        <w:tc>
          <w:tcPr>
            <w:tcW w:type="dxa" w:w="1728"/>
            <w:shd w:fill="F7FAFC"/>
            <w:tcMar>
              <w:top w:w="100" w:type="dxa"/>
              <w:bottom w:w="100" w:type="dxa"/>
              <w:left w:w="140" w:type="dxa"/>
              <w:right w:w="140" w:type="dxa"/>
            </w:tcMar>
          </w:tcPr>
          <w:p>
            <w:pPr>
              <w:jc w:val="left"/>
            </w:pPr>
            <w:r>
              <w:rPr>
                <w:color w:val="2D3748"/>
                <w:sz w:val="18"/>
              </w:rPr>
              <w:t>Venkatesh et al. (2021)</w:t>
            </w:r>
          </w:p>
        </w:tc>
        <w:tc>
          <w:tcPr>
            <w:tcW w:type="dxa" w:w="1440"/>
            <w:shd w:fill="F7FAFC"/>
            <w:tcMar>
              <w:top w:w="100" w:type="dxa"/>
              <w:bottom w:w="100" w:type="dxa"/>
              <w:left w:w="140" w:type="dxa"/>
              <w:right w:w="140" w:type="dxa"/>
            </w:tcMar>
          </w:tcPr>
          <w:p>
            <w:pPr>
              <w:jc w:val="left"/>
            </w:pPr>
            <w:r>
              <w:rPr>
                <w:color w:val="2D3748"/>
                <w:sz w:val="18"/>
              </w:rPr>
              <w:t>54k Diamond Dataset</w:t>
            </w:r>
          </w:p>
        </w:tc>
        <w:tc>
          <w:tcPr>
            <w:tcW w:type="dxa" w:w="1872"/>
            <w:shd w:fill="F7FAFC"/>
            <w:tcMar>
              <w:top w:w="100" w:type="dxa"/>
              <w:bottom w:w="100" w:type="dxa"/>
              <w:left w:w="140" w:type="dxa"/>
              <w:right w:w="140" w:type="dxa"/>
            </w:tcMar>
          </w:tcPr>
          <w:p>
            <w:pPr>
              <w:jc w:val="left"/>
            </w:pPr>
            <w:r>
              <w:rPr>
                <w:color w:val="2D3748"/>
                <w:sz w:val="18"/>
              </w:rPr>
              <w:t>Random Forest / SVR</w:t>
            </w:r>
          </w:p>
        </w:tc>
        <w:tc>
          <w:tcPr>
            <w:tcW w:type="dxa" w:w="1296"/>
            <w:shd w:fill="F7FAFC"/>
            <w:tcMar>
              <w:top w:w="100" w:type="dxa"/>
              <w:bottom w:w="100" w:type="dxa"/>
              <w:left w:w="140" w:type="dxa"/>
              <w:right w:w="140" w:type="dxa"/>
            </w:tcMar>
          </w:tcPr>
          <w:p>
            <w:pPr>
              <w:jc w:val="left"/>
            </w:pPr>
            <w:r>
              <w:rPr>
                <w:color w:val="2D3748"/>
                <w:sz w:val="18"/>
              </w:rPr>
              <w:t>No</w:t>
            </w:r>
          </w:p>
        </w:tc>
        <w:tc>
          <w:tcPr>
            <w:tcW w:type="dxa" w:w="1152"/>
            <w:shd w:fill="F7FAFC"/>
            <w:tcMar>
              <w:top w:w="100" w:type="dxa"/>
              <w:bottom w:w="100" w:type="dxa"/>
              <w:left w:w="140" w:type="dxa"/>
              <w:right w:w="140" w:type="dxa"/>
            </w:tcMar>
          </w:tcPr>
          <w:p>
            <w:pPr>
              <w:jc w:val="left"/>
            </w:pPr>
            <w:r>
              <w:rPr>
                <w:color w:val="2D3748"/>
                <w:sz w:val="18"/>
              </w:rPr>
              <w:t>No</w:t>
            </w:r>
          </w:p>
        </w:tc>
        <w:tc>
          <w:tcPr>
            <w:tcW w:type="dxa" w:w="1008"/>
            <w:shd w:fill="F7FAFC"/>
            <w:tcMar>
              <w:top w:w="100" w:type="dxa"/>
              <w:bottom w:w="100" w:type="dxa"/>
              <w:left w:w="140" w:type="dxa"/>
              <w:right w:w="140" w:type="dxa"/>
            </w:tcMar>
          </w:tcPr>
          <w:p>
            <w:pPr>
              <w:jc w:val="left"/>
            </w:pPr>
            <w:r>
              <w:rPr>
                <w:color w:val="2D3748"/>
                <w:sz w:val="18"/>
              </w:rPr>
              <w:t>No</w:t>
            </w:r>
          </w:p>
        </w:tc>
        <w:tc>
          <w:tcPr>
            <w:tcW w:type="dxa" w:w="1152"/>
            <w:shd w:fill="F7FAFC"/>
            <w:tcMar>
              <w:top w:w="100" w:type="dxa"/>
              <w:bottom w:w="100" w:type="dxa"/>
              <w:left w:w="140" w:type="dxa"/>
              <w:right w:w="140" w:type="dxa"/>
            </w:tcMar>
          </w:tcPr>
          <w:p>
            <w:pPr>
              <w:jc w:val="left"/>
            </w:pPr>
            <w:r>
              <w:rPr>
                <w:color w:val="2D3748"/>
                <w:sz w:val="18"/>
              </w:rPr>
              <w:t>No</w:t>
            </w:r>
          </w:p>
        </w:tc>
        <w:tc>
          <w:tcPr>
            <w:tcW w:type="dxa" w:w="1584"/>
            <w:shd w:fill="F7FAFC"/>
            <w:tcMar>
              <w:top w:w="100" w:type="dxa"/>
              <w:bottom w:w="100" w:type="dxa"/>
              <w:left w:w="140" w:type="dxa"/>
              <w:right w:w="140" w:type="dxa"/>
            </w:tcMar>
          </w:tcPr>
          <w:p>
            <w:pPr>
              <w:jc w:val="left"/>
            </w:pPr>
            <w:r>
              <w:rPr>
                <w:color w:val="2D3748"/>
                <w:sz w:val="18"/>
              </w:rPr>
              <w:t>Unordered categorical encoding; black-box predictions</w:t>
            </w:r>
          </w:p>
        </w:tc>
      </w:tr>
      <w:tr>
        <w:tc>
          <w:tcPr>
            <w:tcW w:type="dxa" w:w="1728"/>
            <w:shd w:fill="FFFFFF"/>
            <w:tcMar>
              <w:top w:w="100" w:type="dxa"/>
              <w:bottom w:w="100" w:type="dxa"/>
              <w:left w:w="140" w:type="dxa"/>
              <w:right w:w="140" w:type="dxa"/>
            </w:tcMar>
          </w:tcPr>
          <w:p>
            <w:pPr>
              <w:jc w:val="left"/>
            </w:pPr>
            <w:r>
              <w:rPr>
                <w:color w:val="2D3748"/>
                <w:sz w:val="18"/>
              </w:rPr>
              <w:t>Sharma &amp; Patel (2023)</w:t>
            </w:r>
          </w:p>
        </w:tc>
        <w:tc>
          <w:tcPr>
            <w:tcW w:type="dxa" w:w="1440"/>
            <w:shd w:fill="FFFFFF"/>
            <w:tcMar>
              <w:top w:w="100" w:type="dxa"/>
              <w:bottom w:w="100" w:type="dxa"/>
              <w:left w:w="140" w:type="dxa"/>
              <w:right w:w="140" w:type="dxa"/>
            </w:tcMar>
          </w:tcPr>
          <w:p>
            <w:pPr>
              <w:jc w:val="left"/>
            </w:pPr>
            <w:r>
              <w:rPr>
                <w:color w:val="2D3748"/>
                <w:sz w:val="18"/>
              </w:rPr>
              <w:t>Synthetic Benchmarks</w:t>
            </w:r>
          </w:p>
        </w:tc>
        <w:tc>
          <w:tcPr>
            <w:tcW w:type="dxa" w:w="1872"/>
            <w:shd w:fill="FFFFFF"/>
            <w:tcMar>
              <w:top w:w="100" w:type="dxa"/>
              <w:bottom w:w="100" w:type="dxa"/>
              <w:left w:w="140" w:type="dxa"/>
              <w:right w:w="140" w:type="dxa"/>
            </w:tcMar>
          </w:tcPr>
          <w:p>
            <w:pPr>
              <w:jc w:val="left"/>
            </w:pPr>
            <w:r>
              <w:rPr>
                <w:color w:val="2D3748"/>
                <w:sz w:val="18"/>
              </w:rPr>
              <w:t>Deep Neural Networks</w:t>
            </w:r>
          </w:p>
        </w:tc>
        <w:tc>
          <w:tcPr>
            <w:tcW w:type="dxa" w:w="1296"/>
            <w:shd w:fill="FFFFFF"/>
            <w:tcMar>
              <w:top w:w="100" w:type="dxa"/>
              <w:bottom w:w="100" w:type="dxa"/>
              <w:left w:w="140" w:type="dxa"/>
              <w:right w:w="140" w:type="dxa"/>
            </w:tcMar>
          </w:tcPr>
          <w:p>
            <w:pPr>
              <w:jc w:val="left"/>
            </w:pPr>
            <w:r>
              <w:rPr>
                <w:color w:val="2D3748"/>
                <w:sz w:val="18"/>
              </w:rPr>
              <w:t>No</w:t>
            </w:r>
          </w:p>
        </w:tc>
        <w:tc>
          <w:tcPr>
            <w:tcW w:type="dxa" w:w="1152"/>
            <w:shd w:fill="FFFFFF"/>
            <w:tcMar>
              <w:top w:w="100" w:type="dxa"/>
              <w:bottom w:w="100" w:type="dxa"/>
              <w:left w:w="140" w:type="dxa"/>
              <w:right w:w="140" w:type="dxa"/>
            </w:tcMar>
          </w:tcPr>
          <w:p>
            <w:pPr>
              <w:jc w:val="left"/>
            </w:pPr>
            <w:r>
              <w:rPr>
                <w:color w:val="2D3748"/>
                <w:sz w:val="18"/>
              </w:rPr>
              <w:t>No</w:t>
            </w:r>
          </w:p>
        </w:tc>
        <w:tc>
          <w:tcPr>
            <w:tcW w:type="dxa" w:w="1008"/>
            <w:shd w:fill="FFFFFF"/>
            <w:tcMar>
              <w:top w:w="100" w:type="dxa"/>
              <w:bottom w:w="100" w:type="dxa"/>
              <w:left w:w="140" w:type="dxa"/>
              <w:right w:w="140" w:type="dxa"/>
            </w:tcMar>
          </w:tcPr>
          <w:p>
            <w:pPr>
              <w:jc w:val="left"/>
            </w:pPr>
            <w:r>
              <w:rPr>
                <w:color w:val="2D3748"/>
                <w:sz w:val="18"/>
              </w:rPr>
              <w:t>No</w:t>
            </w:r>
          </w:p>
        </w:tc>
        <w:tc>
          <w:tcPr>
            <w:tcW w:type="dxa" w:w="1152"/>
            <w:shd w:fill="FFFFFF"/>
            <w:tcMar>
              <w:top w:w="100" w:type="dxa"/>
              <w:bottom w:w="100" w:type="dxa"/>
              <w:left w:w="140" w:type="dxa"/>
              <w:right w:w="140" w:type="dxa"/>
            </w:tcMar>
          </w:tcPr>
          <w:p>
            <w:pPr>
              <w:jc w:val="left"/>
            </w:pPr>
            <w:r>
              <w:rPr>
                <w:color w:val="2D3748"/>
                <w:sz w:val="18"/>
              </w:rPr>
              <w:t>No</w:t>
            </w:r>
          </w:p>
        </w:tc>
        <w:tc>
          <w:tcPr>
            <w:tcW w:type="dxa" w:w="1584"/>
            <w:shd w:fill="FFFFFF"/>
            <w:tcMar>
              <w:top w:w="100" w:type="dxa"/>
              <w:bottom w:w="100" w:type="dxa"/>
              <w:left w:w="140" w:type="dxa"/>
              <w:right w:w="140" w:type="dxa"/>
            </w:tcMar>
          </w:tcPr>
          <w:p>
            <w:pPr>
              <w:jc w:val="left"/>
            </w:pPr>
            <w:r>
              <w:rPr>
                <w:color w:val="2D3748"/>
                <w:sz w:val="18"/>
              </w:rPr>
              <w:t>Zero business transparency; cannot explain price drivers</w:t>
            </w:r>
          </w:p>
        </w:tc>
      </w:tr>
      <w:tr>
        <w:tc>
          <w:tcPr>
            <w:tcW w:type="dxa" w:w="1728"/>
            <w:shd w:fill="F7FAFC"/>
            <w:tcMar>
              <w:top w:w="100" w:type="dxa"/>
              <w:bottom w:w="100" w:type="dxa"/>
              <w:left w:w="140" w:type="dxa"/>
              <w:right w:w="140" w:type="dxa"/>
            </w:tcMar>
          </w:tcPr>
          <w:p>
            <w:pPr>
              <w:jc w:val="left"/>
            </w:pPr>
            <w:r>
              <w:rPr>
                <w:color w:val="2D3748"/>
                <w:sz w:val="18"/>
              </w:rPr>
              <w:t>RapNet / IDEX</w:t>
            </w:r>
          </w:p>
        </w:tc>
        <w:tc>
          <w:tcPr>
            <w:tcW w:type="dxa" w:w="1440"/>
            <w:shd w:fill="F7FAFC"/>
            <w:tcMar>
              <w:top w:w="100" w:type="dxa"/>
              <w:bottom w:w="100" w:type="dxa"/>
              <w:left w:w="140" w:type="dxa"/>
              <w:right w:w="140" w:type="dxa"/>
            </w:tcMar>
          </w:tcPr>
          <w:p>
            <w:pPr>
              <w:jc w:val="left"/>
            </w:pPr>
            <w:r>
              <w:rPr>
                <w:color w:val="2D3748"/>
                <w:sz w:val="18"/>
              </w:rPr>
              <w:t>Global B2B Wholesale</w:t>
            </w:r>
          </w:p>
        </w:tc>
        <w:tc>
          <w:tcPr>
            <w:tcW w:type="dxa" w:w="1872"/>
            <w:shd w:fill="F7FAFC"/>
            <w:tcMar>
              <w:top w:w="100" w:type="dxa"/>
              <w:bottom w:w="100" w:type="dxa"/>
              <w:left w:w="140" w:type="dxa"/>
              <w:right w:w="140" w:type="dxa"/>
            </w:tcMar>
          </w:tcPr>
          <w:p>
            <w:pPr>
              <w:jc w:val="left"/>
            </w:pPr>
            <w:r>
              <w:rPr>
                <w:color w:val="2D3748"/>
                <w:sz w:val="18"/>
              </w:rPr>
              <w:t>Proprietary Trade Matrices</w:t>
            </w:r>
          </w:p>
        </w:tc>
        <w:tc>
          <w:tcPr>
            <w:tcW w:type="dxa" w:w="1296"/>
            <w:shd w:fill="F7FAFC"/>
            <w:tcMar>
              <w:top w:w="100" w:type="dxa"/>
              <w:bottom w:w="100" w:type="dxa"/>
              <w:left w:w="140" w:type="dxa"/>
              <w:right w:w="140" w:type="dxa"/>
            </w:tcMar>
          </w:tcPr>
          <w:p>
            <w:pPr>
              <w:jc w:val="left"/>
            </w:pPr>
            <w:r>
              <w:rPr>
                <w:color w:val="2D3748"/>
                <w:sz w:val="18"/>
              </w:rPr>
              <w:t>Yes (USD Wholesale Only)</w:t>
            </w:r>
          </w:p>
        </w:tc>
        <w:tc>
          <w:tcPr>
            <w:tcW w:type="dxa" w:w="1152"/>
            <w:shd w:fill="F7FAFC"/>
            <w:tcMar>
              <w:top w:w="100" w:type="dxa"/>
              <w:bottom w:w="100" w:type="dxa"/>
              <w:left w:w="140" w:type="dxa"/>
              <w:right w:w="140" w:type="dxa"/>
            </w:tcMar>
          </w:tcPr>
          <w:p>
            <w:pPr>
              <w:jc w:val="left"/>
            </w:pPr>
            <w:r>
              <w:rPr>
                <w:color w:val="2D3748"/>
                <w:sz w:val="18"/>
              </w:rPr>
              <w:t>Partial (Separate Sheets)</w:t>
            </w:r>
          </w:p>
        </w:tc>
        <w:tc>
          <w:tcPr>
            <w:tcW w:type="dxa" w:w="1008"/>
            <w:shd w:fill="F7FAFC"/>
            <w:tcMar>
              <w:top w:w="100" w:type="dxa"/>
              <w:bottom w:w="100" w:type="dxa"/>
              <w:left w:w="140" w:type="dxa"/>
              <w:right w:w="140" w:type="dxa"/>
            </w:tcMar>
          </w:tcPr>
          <w:p>
            <w:pPr>
              <w:jc w:val="left"/>
            </w:pPr>
            <w:r>
              <w:rPr>
                <w:color w:val="2D3748"/>
                <w:sz w:val="18"/>
              </w:rPr>
              <w:t>No (Global USD)</w:t>
            </w:r>
          </w:p>
        </w:tc>
        <w:tc>
          <w:tcPr>
            <w:tcW w:type="dxa" w:w="1152"/>
            <w:shd w:fill="F7FAFC"/>
            <w:tcMar>
              <w:top w:w="100" w:type="dxa"/>
              <w:bottom w:w="100" w:type="dxa"/>
              <w:left w:w="140" w:type="dxa"/>
              <w:right w:w="140" w:type="dxa"/>
            </w:tcMar>
          </w:tcPr>
          <w:p>
            <w:pPr>
              <w:jc w:val="left"/>
            </w:pPr>
            <w:r>
              <w:rPr>
                <w:color w:val="2D3748"/>
                <w:sz w:val="18"/>
              </w:rPr>
              <w:t>Manual Lookup Only</w:t>
            </w:r>
          </w:p>
        </w:tc>
        <w:tc>
          <w:tcPr>
            <w:tcW w:type="dxa" w:w="1584"/>
            <w:shd w:fill="F7FAFC"/>
            <w:tcMar>
              <w:top w:w="100" w:type="dxa"/>
              <w:bottom w:w="100" w:type="dxa"/>
              <w:left w:w="140" w:type="dxa"/>
              <w:right w:w="140" w:type="dxa"/>
            </w:tcMar>
          </w:tcPr>
          <w:p>
            <w:pPr>
              <w:jc w:val="left"/>
            </w:pPr>
            <w:r>
              <w:rPr>
                <w:color w:val="2D3748"/>
                <w:sz w:val="18"/>
              </w:rPr>
              <w:t>Subscription paywall; no AI synthesis; no retail GST invoicing</w:t>
            </w:r>
          </w:p>
        </w:tc>
      </w:tr>
      <w:tr>
        <w:tc>
          <w:tcPr>
            <w:tcW w:type="dxa" w:w="1728"/>
            <w:shd w:fill="FFFFFF"/>
            <w:tcMar>
              <w:top w:w="100" w:type="dxa"/>
              <w:bottom w:w="100" w:type="dxa"/>
              <w:left w:w="140" w:type="dxa"/>
              <w:right w:w="140" w:type="dxa"/>
            </w:tcMar>
          </w:tcPr>
          <w:p>
            <w:pPr>
              <w:jc w:val="left"/>
            </w:pPr>
            <w:r>
              <w:rPr>
                <w:color w:val="2D3748"/>
                <w:sz w:val="18"/>
              </w:rPr>
              <w:t>PriceScope / StoneAlgo</w:t>
            </w:r>
          </w:p>
        </w:tc>
        <w:tc>
          <w:tcPr>
            <w:tcW w:type="dxa" w:w="1440"/>
            <w:shd w:fill="FFFFFF"/>
            <w:tcMar>
              <w:top w:w="100" w:type="dxa"/>
              <w:bottom w:w="100" w:type="dxa"/>
              <w:left w:w="140" w:type="dxa"/>
              <w:right w:w="140" w:type="dxa"/>
            </w:tcMar>
          </w:tcPr>
          <w:p>
            <w:pPr>
              <w:jc w:val="left"/>
            </w:pPr>
            <w:r>
              <w:rPr>
                <w:color w:val="2D3748"/>
                <w:sz w:val="18"/>
              </w:rPr>
              <w:t>Consumer Aggregators</w:t>
            </w:r>
          </w:p>
        </w:tc>
        <w:tc>
          <w:tcPr>
            <w:tcW w:type="dxa" w:w="1872"/>
            <w:shd w:fill="FFFFFF"/>
            <w:tcMar>
              <w:top w:w="100" w:type="dxa"/>
              <w:bottom w:w="100" w:type="dxa"/>
              <w:left w:w="140" w:type="dxa"/>
              <w:right w:w="140" w:type="dxa"/>
            </w:tcMar>
          </w:tcPr>
          <w:p>
            <w:pPr>
              <w:jc w:val="left"/>
            </w:pPr>
            <w:r>
              <w:rPr>
                <w:color w:val="2D3748"/>
                <w:sz w:val="18"/>
              </w:rPr>
              <w:t>Scraped Retail Markup Algorithms</w:t>
            </w:r>
          </w:p>
        </w:tc>
        <w:tc>
          <w:tcPr>
            <w:tcW w:type="dxa" w:w="1296"/>
            <w:shd w:fill="FFFFFF"/>
            <w:tcMar>
              <w:top w:w="100" w:type="dxa"/>
              <w:bottom w:w="100" w:type="dxa"/>
              <w:left w:w="140" w:type="dxa"/>
              <w:right w:w="140" w:type="dxa"/>
            </w:tcMar>
          </w:tcPr>
          <w:p>
            <w:pPr>
              <w:jc w:val="left"/>
            </w:pPr>
            <w:r>
              <w:rPr>
                <w:color w:val="2D3748"/>
                <w:sz w:val="18"/>
              </w:rPr>
              <w:t>Partial (USD Retail Feeds)</w:t>
            </w:r>
          </w:p>
        </w:tc>
        <w:tc>
          <w:tcPr>
            <w:tcW w:type="dxa" w:w="1152"/>
            <w:shd w:fill="FFFFFF"/>
            <w:tcMar>
              <w:top w:w="100" w:type="dxa"/>
              <w:bottom w:w="100" w:type="dxa"/>
              <w:left w:w="140" w:type="dxa"/>
              <w:right w:w="140" w:type="dxa"/>
            </w:tcMar>
          </w:tcPr>
          <w:p>
            <w:pPr>
              <w:jc w:val="left"/>
            </w:pPr>
            <w:r>
              <w:rPr>
                <w:color w:val="2D3748"/>
                <w:sz w:val="18"/>
              </w:rPr>
              <w:t>Yes (Retail Only)</w:t>
            </w:r>
          </w:p>
        </w:tc>
        <w:tc>
          <w:tcPr>
            <w:tcW w:type="dxa" w:w="1008"/>
            <w:shd w:fill="FFFFFF"/>
            <w:tcMar>
              <w:top w:w="100" w:type="dxa"/>
              <w:bottom w:w="100" w:type="dxa"/>
              <w:left w:w="140" w:type="dxa"/>
              <w:right w:w="140" w:type="dxa"/>
            </w:tcMar>
          </w:tcPr>
          <w:p>
            <w:pPr>
              <w:jc w:val="left"/>
            </w:pPr>
            <w:r>
              <w:rPr>
                <w:color w:val="2D3748"/>
                <w:sz w:val="18"/>
              </w:rPr>
              <w:t>No (US Sales Tax)</w:t>
            </w:r>
          </w:p>
        </w:tc>
        <w:tc>
          <w:tcPr>
            <w:tcW w:type="dxa" w:w="1152"/>
            <w:shd w:fill="FFFFFF"/>
            <w:tcMar>
              <w:top w:w="100" w:type="dxa"/>
              <w:bottom w:w="100" w:type="dxa"/>
              <w:left w:w="140" w:type="dxa"/>
              <w:right w:w="140" w:type="dxa"/>
            </w:tcMar>
          </w:tcPr>
          <w:p>
            <w:pPr>
              <w:jc w:val="left"/>
            </w:pPr>
            <w:r>
              <w:rPr>
                <w:color w:val="2D3748"/>
                <w:sz w:val="18"/>
              </w:rPr>
              <w:t>Basic Filter</w:t>
            </w:r>
          </w:p>
        </w:tc>
        <w:tc>
          <w:tcPr>
            <w:tcW w:type="dxa" w:w="1584"/>
            <w:shd w:fill="FFFFFF"/>
            <w:tcMar>
              <w:top w:w="100" w:type="dxa"/>
              <w:bottom w:w="100" w:type="dxa"/>
              <w:left w:w="140" w:type="dxa"/>
              <w:right w:w="140" w:type="dxa"/>
            </w:tcMar>
          </w:tcPr>
          <w:p>
            <w:pPr>
              <w:jc w:val="left"/>
            </w:pPr>
            <w:r>
              <w:rPr>
                <w:color w:val="2D3748"/>
                <w:sz w:val="18"/>
              </w:rPr>
              <w:t>Biased towards affiliated US online vendors; ignores Indian market</w:t>
            </w:r>
          </w:p>
        </w:tc>
      </w:tr>
      <w:tr>
        <w:tc>
          <w:tcPr>
            <w:tcW w:type="dxa" w:w="1728"/>
            <w:shd w:fill="F7FAFC"/>
            <w:tcMar>
              <w:top w:w="100" w:type="dxa"/>
              <w:bottom w:w="100" w:type="dxa"/>
              <w:left w:w="140" w:type="dxa"/>
              <w:right w:w="140" w:type="dxa"/>
            </w:tcMar>
          </w:tcPr>
          <w:p>
            <w:pPr>
              <w:jc w:val="left"/>
            </w:pPr>
            <w:r>
              <w:rPr>
                <w:color w:val="2D3748"/>
                <w:sz w:val="18"/>
              </w:rPr>
              <w:t>CaratIQ (2024)</w:t>
            </w:r>
          </w:p>
        </w:tc>
        <w:tc>
          <w:tcPr>
            <w:tcW w:type="dxa" w:w="1440"/>
            <w:shd w:fill="F7FAFC"/>
            <w:tcMar>
              <w:top w:w="100" w:type="dxa"/>
              <w:bottom w:w="100" w:type="dxa"/>
              <w:left w:w="140" w:type="dxa"/>
              <w:right w:w="140" w:type="dxa"/>
            </w:tcMar>
          </w:tcPr>
          <w:p>
            <w:pPr>
              <w:jc w:val="left"/>
            </w:pPr>
            <w:r>
              <w:rPr>
                <w:color w:val="2D3748"/>
                <w:sz w:val="18"/>
              </w:rPr>
              <w:t>Jeweller Software</w:t>
            </w:r>
          </w:p>
        </w:tc>
        <w:tc>
          <w:tcPr>
            <w:tcW w:type="dxa" w:w="1872"/>
            <w:shd w:fill="F7FAFC"/>
            <w:tcMar>
              <w:top w:w="100" w:type="dxa"/>
              <w:bottom w:w="100" w:type="dxa"/>
              <w:left w:w="140" w:type="dxa"/>
              <w:right w:w="140" w:type="dxa"/>
            </w:tcMar>
          </w:tcPr>
          <w:p>
            <w:pPr>
              <w:jc w:val="left"/>
            </w:pPr>
            <w:r>
              <w:rPr>
                <w:color w:val="2D3748"/>
                <w:sz w:val="18"/>
              </w:rPr>
              <w:t>Rule-Based Tabular Rules</w:t>
            </w:r>
          </w:p>
        </w:tc>
        <w:tc>
          <w:tcPr>
            <w:tcW w:type="dxa" w:w="1296"/>
            <w:shd w:fill="F7FAFC"/>
            <w:tcMar>
              <w:top w:w="100" w:type="dxa"/>
              <w:bottom w:w="100" w:type="dxa"/>
              <w:left w:w="140" w:type="dxa"/>
              <w:right w:w="140" w:type="dxa"/>
            </w:tcMar>
          </w:tcPr>
          <w:p>
            <w:pPr>
              <w:jc w:val="left"/>
            </w:pPr>
            <w:r>
              <w:rPr>
                <w:color w:val="2D3748"/>
                <w:sz w:val="18"/>
              </w:rPr>
              <w:t>No (Manual Rate Entry)</w:t>
            </w:r>
          </w:p>
        </w:tc>
        <w:tc>
          <w:tcPr>
            <w:tcW w:type="dxa" w:w="1152"/>
            <w:shd w:fill="F7FAFC"/>
            <w:tcMar>
              <w:top w:w="100" w:type="dxa"/>
              <w:bottom w:w="100" w:type="dxa"/>
              <w:left w:w="140" w:type="dxa"/>
              <w:right w:w="140" w:type="dxa"/>
            </w:tcMar>
          </w:tcPr>
          <w:p>
            <w:pPr>
              <w:jc w:val="left"/>
            </w:pPr>
            <w:r>
              <w:rPr>
                <w:color w:val="2D3748"/>
                <w:sz w:val="18"/>
              </w:rPr>
              <w:t>No</w:t>
            </w:r>
          </w:p>
        </w:tc>
        <w:tc>
          <w:tcPr>
            <w:tcW w:type="dxa" w:w="1008"/>
            <w:shd w:fill="F7FAFC"/>
            <w:tcMar>
              <w:top w:w="100" w:type="dxa"/>
              <w:bottom w:w="100" w:type="dxa"/>
              <w:left w:w="140" w:type="dxa"/>
              <w:right w:w="140" w:type="dxa"/>
            </w:tcMar>
          </w:tcPr>
          <w:p>
            <w:pPr>
              <w:jc w:val="left"/>
            </w:pPr>
            <w:r>
              <w:rPr>
                <w:color w:val="2D3748"/>
                <w:sz w:val="18"/>
              </w:rPr>
              <w:t>Yes (Basic)</w:t>
            </w:r>
          </w:p>
        </w:tc>
        <w:tc>
          <w:tcPr>
            <w:tcW w:type="dxa" w:w="1152"/>
            <w:shd w:fill="F7FAFC"/>
            <w:tcMar>
              <w:top w:w="100" w:type="dxa"/>
              <w:bottom w:w="100" w:type="dxa"/>
              <w:left w:w="140" w:type="dxa"/>
              <w:right w:w="140" w:type="dxa"/>
            </w:tcMar>
          </w:tcPr>
          <w:p>
            <w:pPr>
              <w:jc w:val="left"/>
            </w:pPr>
            <w:r>
              <w:rPr>
                <w:color w:val="2D3748"/>
                <w:sz w:val="18"/>
              </w:rPr>
              <w:t>No</w:t>
            </w:r>
          </w:p>
        </w:tc>
        <w:tc>
          <w:tcPr>
            <w:tcW w:type="dxa" w:w="1584"/>
            <w:shd w:fill="F7FAFC"/>
            <w:tcMar>
              <w:top w:w="100" w:type="dxa"/>
              <w:bottom w:w="100" w:type="dxa"/>
              <w:left w:w="140" w:type="dxa"/>
              <w:right w:w="140" w:type="dxa"/>
            </w:tcMar>
          </w:tcPr>
          <w:p>
            <w:pPr>
              <w:jc w:val="left"/>
            </w:pPr>
            <w:r>
              <w:rPr>
                <w:color w:val="2D3748"/>
                <w:sz w:val="18"/>
              </w:rPr>
              <w:t>No machine learning; high manual maintenance overhead</w:t>
            </w:r>
          </w:p>
        </w:tc>
      </w:tr>
      <w:tr>
        <w:tc>
          <w:tcPr>
            <w:tcW w:type="dxa" w:w="1728"/>
            <w:shd w:fill="FFFFFF"/>
            <w:tcMar>
              <w:top w:w="100" w:type="dxa"/>
              <w:bottom w:w="100" w:type="dxa"/>
              <w:left w:w="140" w:type="dxa"/>
              <w:right w:w="140" w:type="dxa"/>
            </w:tcMar>
          </w:tcPr>
          <w:p>
            <w:pPr>
              <w:jc w:val="left"/>
            </w:pPr>
            <w:r>
              <w:rPr>
                <w:color w:val="2D3748"/>
                <w:sz w:val="18"/>
              </w:rPr>
              <w:t>Guo et al. (2025)</w:t>
            </w:r>
          </w:p>
        </w:tc>
        <w:tc>
          <w:tcPr>
            <w:tcW w:type="dxa" w:w="1440"/>
            <w:shd w:fill="FFFFFF"/>
            <w:tcMar>
              <w:top w:w="100" w:type="dxa"/>
              <w:bottom w:w="100" w:type="dxa"/>
              <w:left w:w="140" w:type="dxa"/>
              <w:right w:w="140" w:type="dxa"/>
            </w:tcMar>
          </w:tcPr>
          <w:p>
            <w:pPr>
              <w:jc w:val="left"/>
            </w:pPr>
            <w:r>
              <w:rPr>
                <w:color w:val="2D3748"/>
                <w:sz w:val="18"/>
              </w:rPr>
              <w:t>Commodity Forecasting</w:t>
            </w:r>
          </w:p>
        </w:tc>
        <w:tc>
          <w:tcPr>
            <w:tcW w:type="dxa" w:w="1872"/>
            <w:shd w:fill="FFFFFF"/>
            <w:tcMar>
              <w:top w:w="100" w:type="dxa"/>
              <w:bottom w:w="100" w:type="dxa"/>
              <w:left w:w="140" w:type="dxa"/>
              <w:right w:w="140" w:type="dxa"/>
            </w:tcMar>
          </w:tcPr>
          <w:p>
            <w:pPr>
              <w:jc w:val="left"/>
            </w:pPr>
            <w:r>
              <w:rPr>
                <w:color w:val="2D3748"/>
                <w:sz w:val="18"/>
              </w:rPr>
              <w:t>Multimodal Transformers</w:t>
            </w:r>
          </w:p>
        </w:tc>
        <w:tc>
          <w:tcPr>
            <w:tcW w:type="dxa" w:w="1296"/>
            <w:shd w:fill="FFFFFF"/>
            <w:tcMar>
              <w:top w:w="100" w:type="dxa"/>
              <w:bottom w:w="100" w:type="dxa"/>
              <w:left w:w="140" w:type="dxa"/>
              <w:right w:w="140" w:type="dxa"/>
            </w:tcMar>
          </w:tcPr>
          <w:p>
            <w:pPr>
              <w:jc w:val="left"/>
            </w:pPr>
            <w:r>
              <w:rPr>
                <w:color w:val="2D3748"/>
                <w:sz w:val="18"/>
              </w:rPr>
              <w:t>No</w:t>
            </w:r>
          </w:p>
        </w:tc>
        <w:tc>
          <w:tcPr>
            <w:tcW w:type="dxa" w:w="1152"/>
            <w:shd w:fill="FFFFFF"/>
            <w:tcMar>
              <w:top w:w="100" w:type="dxa"/>
              <w:bottom w:w="100" w:type="dxa"/>
              <w:left w:w="140" w:type="dxa"/>
              <w:right w:w="140" w:type="dxa"/>
            </w:tcMar>
          </w:tcPr>
          <w:p>
            <w:pPr>
              <w:jc w:val="left"/>
            </w:pPr>
            <w:r>
              <w:rPr>
                <w:color w:val="2D3748"/>
                <w:sz w:val="18"/>
              </w:rPr>
              <w:t>No</w:t>
            </w:r>
          </w:p>
        </w:tc>
        <w:tc>
          <w:tcPr>
            <w:tcW w:type="dxa" w:w="1008"/>
            <w:shd w:fill="FFFFFF"/>
            <w:tcMar>
              <w:top w:w="100" w:type="dxa"/>
              <w:bottom w:w="100" w:type="dxa"/>
              <w:left w:w="140" w:type="dxa"/>
              <w:right w:w="140" w:type="dxa"/>
            </w:tcMar>
          </w:tcPr>
          <w:p>
            <w:pPr>
              <w:jc w:val="left"/>
            </w:pPr>
            <w:r>
              <w:rPr>
                <w:color w:val="2D3748"/>
                <w:sz w:val="18"/>
              </w:rPr>
              <w:t>No</w:t>
            </w:r>
          </w:p>
        </w:tc>
        <w:tc>
          <w:tcPr>
            <w:tcW w:type="dxa" w:w="1152"/>
            <w:shd w:fill="FFFFFF"/>
            <w:tcMar>
              <w:top w:w="100" w:type="dxa"/>
              <w:bottom w:w="100" w:type="dxa"/>
              <w:left w:w="140" w:type="dxa"/>
              <w:right w:w="140" w:type="dxa"/>
            </w:tcMar>
          </w:tcPr>
          <w:p>
            <w:pPr>
              <w:jc w:val="left"/>
            </w:pPr>
            <w:r>
              <w:rPr>
                <w:color w:val="2D3748"/>
                <w:sz w:val="18"/>
              </w:rPr>
              <w:t>No</w:t>
            </w:r>
          </w:p>
        </w:tc>
        <w:tc>
          <w:tcPr>
            <w:tcW w:type="dxa" w:w="1584"/>
            <w:shd w:fill="FFFFFF"/>
            <w:tcMar>
              <w:top w:w="100" w:type="dxa"/>
              <w:bottom w:w="100" w:type="dxa"/>
              <w:left w:w="140" w:type="dxa"/>
              <w:right w:w="140" w:type="dxa"/>
            </w:tcMar>
          </w:tcPr>
          <w:p>
            <w:pPr>
              <w:jc w:val="left"/>
            </w:pPr>
            <w:r>
              <w:rPr>
                <w:color w:val="2D3748"/>
                <w:sz w:val="18"/>
              </w:rPr>
              <w:t>Heavy compute; evaluated on synthetic IoT sensor data only</w:t>
            </w:r>
          </w:p>
        </w:tc>
      </w:tr>
      <w:tr>
        <w:tc>
          <w:tcPr>
            <w:tcW w:type="dxa" w:w="1728"/>
            <w:shd w:fill="F7FAFC"/>
            <w:tcMar>
              <w:top w:w="100" w:type="dxa"/>
              <w:bottom w:w="100" w:type="dxa"/>
              <w:left w:w="140" w:type="dxa"/>
              <w:right w:w="140" w:type="dxa"/>
            </w:tcMar>
          </w:tcPr>
          <w:p>
            <w:pPr>
              <w:jc w:val="left"/>
            </w:pPr>
            <w:r>
              <w:rPr>
                <w:color w:val="2D3748"/>
                <w:sz w:val="18"/>
              </w:rPr>
              <w:t>BDB Wholesale Portal</w:t>
            </w:r>
          </w:p>
        </w:tc>
        <w:tc>
          <w:tcPr>
            <w:tcW w:type="dxa" w:w="1440"/>
            <w:shd w:fill="F7FAFC"/>
            <w:tcMar>
              <w:top w:w="100" w:type="dxa"/>
              <w:bottom w:w="100" w:type="dxa"/>
              <w:left w:w="140" w:type="dxa"/>
              <w:right w:w="140" w:type="dxa"/>
            </w:tcMar>
          </w:tcPr>
          <w:p>
            <w:pPr>
              <w:jc w:val="left"/>
            </w:pPr>
            <w:r>
              <w:rPr>
                <w:color w:val="2D3748"/>
                <w:sz w:val="18"/>
              </w:rPr>
              <w:t>B2B Diamond Trading</w:t>
            </w:r>
          </w:p>
        </w:tc>
        <w:tc>
          <w:tcPr>
            <w:tcW w:type="dxa" w:w="1872"/>
            <w:shd w:fill="F7FAFC"/>
            <w:tcMar>
              <w:top w:w="100" w:type="dxa"/>
              <w:bottom w:w="100" w:type="dxa"/>
              <w:left w:w="140" w:type="dxa"/>
              <w:right w:w="140" w:type="dxa"/>
            </w:tcMar>
          </w:tcPr>
          <w:p>
            <w:pPr>
              <w:jc w:val="left"/>
            </w:pPr>
            <w:r>
              <w:rPr>
                <w:color w:val="2D3748"/>
                <w:sz w:val="18"/>
              </w:rPr>
              <w:t>Closed Member Directory</w:t>
            </w:r>
          </w:p>
        </w:tc>
        <w:tc>
          <w:tcPr>
            <w:tcW w:type="dxa" w:w="1296"/>
            <w:shd w:fill="F7FAFC"/>
            <w:tcMar>
              <w:top w:w="100" w:type="dxa"/>
              <w:bottom w:w="100" w:type="dxa"/>
              <w:left w:w="140" w:type="dxa"/>
              <w:right w:w="140" w:type="dxa"/>
            </w:tcMar>
          </w:tcPr>
          <w:p>
            <w:pPr>
              <w:jc w:val="left"/>
            </w:pPr>
            <w:r>
              <w:rPr>
                <w:color w:val="2D3748"/>
                <w:sz w:val="18"/>
              </w:rPr>
              <w:t>Yes (Mumbai Physical Bourse)</w:t>
            </w:r>
          </w:p>
        </w:tc>
        <w:tc>
          <w:tcPr>
            <w:tcW w:type="dxa" w:w="1152"/>
            <w:shd w:fill="F7FAFC"/>
            <w:tcMar>
              <w:top w:w="100" w:type="dxa"/>
              <w:bottom w:w="100" w:type="dxa"/>
              <w:left w:w="140" w:type="dxa"/>
              <w:right w:w="140" w:type="dxa"/>
            </w:tcMar>
          </w:tcPr>
          <w:p>
            <w:pPr>
              <w:jc w:val="left"/>
            </w:pPr>
            <w:r>
              <w:rPr>
                <w:color w:val="2D3748"/>
                <w:sz w:val="18"/>
              </w:rPr>
              <w:t>Manual Verification</w:t>
            </w:r>
          </w:p>
        </w:tc>
        <w:tc>
          <w:tcPr>
            <w:tcW w:type="dxa" w:w="1008"/>
            <w:shd w:fill="F7FAFC"/>
            <w:tcMar>
              <w:top w:w="100" w:type="dxa"/>
              <w:bottom w:w="100" w:type="dxa"/>
              <w:left w:w="140" w:type="dxa"/>
              <w:right w:w="140" w:type="dxa"/>
            </w:tcMar>
          </w:tcPr>
          <w:p>
            <w:pPr>
              <w:jc w:val="left"/>
            </w:pPr>
            <w:r>
              <w:rPr>
                <w:color w:val="2D3748"/>
                <w:sz w:val="18"/>
              </w:rPr>
              <w:t>No</w:t>
            </w:r>
          </w:p>
        </w:tc>
        <w:tc>
          <w:tcPr>
            <w:tcW w:type="dxa" w:w="1152"/>
            <w:shd w:fill="F7FAFC"/>
            <w:tcMar>
              <w:top w:w="100" w:type="dxa"/>
              <w:bottom w:w="100" w:type="dxa"/>
              <w:left w:w="140" w:type="dxa"/>
              <w:right w:w="140" w:type="dxa"/>
            </w:tcMar>
          </w:tcPr>
          <w:p>
            <w:pPr>
              <w:jc w:val="left"/>
            </w:pPr>
            <w:r>
              <w:rPr>
                <w:color w:val="2D3748"/>
                <w:sz w:val="18"/>
              </w:rPr>
              <w:t>Manual Physical Check</w:t>
            </w:r>
          </w:p>
        </w:tc>
        <w:tc>
          <w:tcPr>
            <w:tcW w:type="dxa" w:w="1584"/>
            <w:shd w:fill="F7FAFC"/>
            <w:tcMar>
              <w:top w:w="100" w:type="dxa"/>
              <w:bottom w:w="100" w:type="dxa"/>
              <w:left w:w="140" w:type="dxa"/>
              <w:right w:w="140" w:type="dxa"/>
            </w:tcMar>
          </w:tcPr>
          <w:p>
            <w:pPr>
              <w:jc w:val="left"/>
            </w:pPr>
            <w:r>
              <w:rPr>
                <w:color w:val="2D3748"/>
                <w:sz w:val="18"/>
              </w:rPr>
              <w:t>Restricted to registered bourse brokers; no consumer API</w:t>
            </w:r>
          </w:p>
        </w:tc>
      </w:tr>
      <w:tr>
        <w:tc>
          <w:tcPr>
            <w:tcW w:type="dxa" w:w="1728"/>
            <w:shd w:fill="FFFFFF"/>
            <w:tcMar>
              <w:top w:w="100" w:type="dxa"/>
              <w:bottom w:w="100" w:type="dxa"/>
              <w:left w:w="140" w:type="dxa"/>
              <w:right w:w="140" w:type="dxa"/>
            </w:tcMar>
          </w:tcPr>
          <w:p>
            <w:pPr>
              <w:jc w:val="left"/>
            </w:pPr>
            <w:r>
              <w:rPr>
                <w:color w:val="2D3748"/>
                <w:sz w:val="18"/>
              </w:rPr>
              <w:t>IBJA Rate Bulletin</w:t>
            </w:r>
          </w:p>
        </w:tc>
        <w:tc>
          <w:tcPr>
            <w:tcW w:type="dxa" w:w="1440"/>
            <w:shd w:fill="FFFFFF"/>
            <w:tcMar>
              <w:top w:w="100" w:type="dxa"/>
              <w:bottom w:w="100" w:type="dxa"/>
              <w:left w:w="140" w:type="dxa"/>
              <w:right w:w="140" w:type="dxa"/>
            </w:tcMar>
          </w:tcPr>
          <w:p>
            <w:pPr>
              <w:jc w:val="left"/>
            </w:pPr>
            <w:r>
              <w:rPr>
                <w:color w:val="2D3748"/>
                <w:sz w:val="18"/>
              </w:rPr>
              <w:t>Indian Bullion Market</w:t>
            </w:r>
          </w:p>
        </w:tc>
        <w:tc>
          <w:tcPr>
            <w:tcW w:type="dxa" w:w="1872"/>
            <w:shd w:fill="FFFFFF"/>
            <w:tcMar>
              <w:top w:w="100" w:type="dxa"/>
              <w:bottom w:w="100" w:type="dxa"/>
              <w:left w:w="140" w:type="dxa"/>
              <w:right w:w="140" w:type="dxa"/>
            </w:tcMar>
          </w:tcPr>
          <w:p>
            <w:pPr>
              <w:jc w:val="left"/>
            </w:pPr>
            <w:r>
              <w:rPr>
                <w:color w:val="2D3748"/>
                <w:sz w:val="18"/>
              </w:rPr>
              <w:t>Official Daily Rate Publishing</w:t>
            </w:r>
          </w:p>
        </w:tc>
        <w:tc>
          <w:tcPr>
            <w:tcW w:type="dxa" w:w="1296"/>
            <w:shd w:fill="FFFFFF"/>
            <w:tcMar>
              <w:top w:w="100" w:type="dxa"/>
              <w:bottom w:w="100" w:type="dxa"/>
              <w:left w:w="140" w:type="dxa"/>
              <w:right w:w="140" w:type="dxa"/>
            </w:tcMar>
          </w:tcPr>
          <w:p>
            <w:pPr>
              <w:jc w:val="left"/>
            </w:pPr>
            <w:r>
              <w:rPr>
                <w:color w:val="2D3748"/>
                <w:sz w:val="18"/>
              </w:rPr>
              <w:t>Yes (AM/PM Sessions)</w:t>
            </w:r>
          </w:p>
        </w:tc>
        <w:tc>
          <w:tcPr>
            <w:tcW w:type="dxa" w:w="1152"/>
            <w:shd w:fill="FFFFFF"/>
            <w:tcMar>
              <w:top w:w="100" w:type="dxa"/>
              <w:bottom w:w="100" w:type="dxa"/>
              <w:left w:w="140" w:type="dxa"/>
              <w:right w:w="140" w:type="dxa"/>
            </w:tcMar>
          </w:tcPr>
          <w:p>
            <w:pPr>
              <w:jc w:val="left"/>
            </w:pPr>
            <w:r>
              <w:rPr>
                <w:color w:val="2D3748"/>
                <w:sz w:val="18"/>
              </w:rPr>
              <w:t>Not Applicable</w:t>
            </w:r>
          </w:p>
        </w:tc>
        <w:tc>
          <w:tcPr>
            <w:tcW w:type="dxa" w:w="1008"/>
            <w:shd w:fill="FFFFFF"/>
            <w:tcMar>
              <w:top w:w="100" w:type="dxa"/>
              <w:bottom w:w="100" w:type="dxa"/>
              <w:left w:w="140" w:type="dxa"/>
              <w:right w:w="140" w:type="dxa"/>
            </w:tcMar>
          </w:tcPr>
          <w:p>
            <w:pPr>
              <w:jc w:val="left"/>
            </w:pPr>
            <w:r>
              <w:rPr>
                <w:color w:val="2D3748"/>
                <w:sz w:val="18"/>
              </w:rPr>
              <w:t>No</w:t>
            </w:r>
          </w:p>
        </w:tc>
        <w:tc>
          <w:tcPr>
            <w:tcW w:type="dxa" w:w="1152"/>
            <w:shd w:fill="FFFFFF"/>
            <w:tcMar>
              <w:top w:w="100" w:type="dxa"/>
              <w:bottom w:w="100" w:type="dxa"/>
              <w:left w:w="140" w:type="dxa"/>
              <w:right w:w="140" w:type="dxa"/>
            </w:tcMar>
          </w:tcPr>
          <w:p>
            <w:pPr>
              <w:jc w:val="left"/>
            </w:pPr>
            <w:r>
              <w:rPr>
                <w:color w:val="2D3748"/>
                <w:sz w:val="18"/>
              </w:rPr>
              <w:t>Not Applicable</w:t>
            </w:r>
          </w:p>
        </w:tc>
        <w:tc>
          <w:tcPr>
            <w:tcW w:type="dxa" w:w="1584"/>
            <w:shd w:fill="FFFFFF"/>
            <w:tcMar>
              <w:top w:w="100" w:type="dxa"/>
              <w:bottom w:w="100" w:type="dxa"/>
              <w:left w:w="140" w:type="dxa"/>
              <w:right w:w="140" w:type="dxa"/>
            </w:tcMar>
          </w:tcPr>
          <w:p>
            <w:pPr>
              <w:jc w:val="left"/>
            </w:pPr>
            <w:r>
              <w:rPr>
                <w:color w:val="2D3748"/>
                <w:sz w:val="18"/>
              </w:rPr>
              <w:t>Bullion rates only; zero diamond valuation capabilities</w:t>
            </w:r>
          </w:p>
        </w:tc>
      </w:tr>
      <w:tr>
        <w:tc>
          <w:tcPr>
            <w:tcW w:type="dxa" w:w="1728"/>
            <w:shd w:fill="F7FAFC"/>
            <w:tcMar>
              <w:top w:w="100" w:type="dxa"/>
              <w:bottom w:w="100" w:type="dxa"/>
              <w:left w:w="140" w:type="dxa"/>
              <w:right w:w="140" w:type="dxa"/>
            </w:tcMar>
          </w:tcPr>
          <w:p>
            <w:pPr>
              <w:jc w:val="left"/>
            </w:pPr>
            <w:r>
              <w:rPr>
                <w:color w:val="2D3748"/>
                <w:sz w:val="18"/>
              </w:rPr>
              <w:t>Tanishq / CaratLane AI</w:t>
            </w:r>
          </w:p>
        </w:tc>
        <w:tc>
          <w:tcPr>
            <w:tcW w:type="dxa" w:w="1440"/>
            <w:shd w:fill="F7FAFC"/>
            <w:tcMar>
              <w:top w:w="100" w:type="dxa"/>
              <w:bottom w:w="100" w:type="dxa"/>
              <w:left w:w="140" w:type="dxa"/>
              <w:right w:w="140" w:type="dxa"/>
            </w:tcMar>
          </w:tcPr>
          <w:p>
            <w:pPr>
              <w:jc w:val="left"/>
            </w:pPr>
            <w:r>
              <w:rPr>
                <w:color w:val="2D3748"/>
                <w:sz w:val="18"/>
              </w:rPr>
              <w:t>Proprietary Retail</w:t>
            </w:r>
          </w:p>
        </w:tc>
        <w:tc>
          <w:tcPr>
            <w:tcW w:type="dxa" w:w="1872"/>
            <w:shd w:fill="F7FAFC"/>
            <w:tcMar>
              <w:top w:w="100" w:type="dxa"/>
              <w:bottom w:w="100" w:type="dxa"/>
              <w:left w:w="140" w:type="dxa"/>
              <w:right w:w="140" w:type="dxa"/>
            </w:tcMar>
          </w:tcPr>
          <w:p>
            <w:pPr>
              <w:jc w:val="left"/>
            </w:pPr>
            <w:r>
              <w:rPr>
                <w:color w:val="2D3748"/>
                <w:sz w:val="18"/>
              </w:rPr>
              <w:t>Closed Proprietary Pricing</w:t>
            </w:r>
          </w:p>
        </w:tc>
        <w:tc>
          <w:tcPr>
            <w:tcW w:type="dxa" w:w="1296"/>
            <w:shd w:fill="F7FAFC"/>
            <w:tcMar>
              <w:top w:w="100" w:type="dxa"/>
              <w:bottom w:w="100" w:type="dxa"/>
              <w:left w:w="140" w:type="dxa"/>
              <w:right w:w="140" w:type="dxa"/>
            </w:tcMar>
          </w:tcPr>
          <w:p>
            <w:pPr>
              <w:jc w:val="left"/>
            </w:pPr>
            <w:r>
              <w:rPr>
                <w:color w:val="2D3748"/>
                <w:sz w:val="18"/>
              </w:rPr>
              <w:t>Yes (Internal System)</w:t>
            </w:r>
          </w:p>
        </w:tc>
        <w:tc>
          <w:tcPr>
            <w:tcW w:type="dxa" w:w="1152"/>
            <w:shd w:fill="F7FAFC"/>
            <w:tcMar>
              <w:top w:w="100" w:type="dxa"/>
              <w:bottom w:w="100" w:type="dxa"/>
              <w:left w:w="140" w:type="dxa"/>
              <w:right w:w="140" w:type="dxa"/>
            </w:tcMar>
          </w:tcPr>
          <w:p>
            <w:pPr>
              <w:jc w:val="left"/>
            </w:pPr>
            <w:r>
              <w:rPr>
                <w:color w:val="2D3748"/>
                <w:sz w:val="18"/>
              </w:rPr>
              <w:t>Strict Brand Segregation</w:t>
            </w:r>
          </w:p>
        </w:tc>
        <w:tc>
          <w:tcPr>
            <w:tcW w:type="dxa" w:w="1008"/>
            <w:shd w:fill="F7FAFC"/>
            <w:tcMar>
              <w:top w:w="100" w:type="dxa"/>
              <w:bottom w:w="100" w:type="dxa"/>
              <w:left w:w="140" w:type="dxa"/>
              <w:right w:w="140" w:type="dxa"/>
            </w:tcMar>
          </w:tcPr>
          <w:p>
            <w:pPr>
              <w:jc w:val="left"/>
            </w:pPr>
            <w:r>
              <w:rPr>
                <w:color w:val="2D3748"/>
                <w:sz w:val="18"/>
              </w:rPr>
              <w:t>Yes (Proprietary ERP)</w:t>
            </w:r>
          </w:p>
        </w:tc>
        <w:tc>
          <w:tcPr>
            <w:tcW w:type="dxa" w:w="1152"/>
            <w:shd w:fill="F7FAFC"/>
            <w:tcMar>
              <w:top w:w="100" w:type="dxa"/>
              <w:bottom w:w="100" w:type="dxa"/>
              <w:left w:w="140" w:type="dxa"/>
              <w:right w:w="140" w:type="dxa"/>
            </w:tcMar>
          </w:tcPr>
          <w:p>
            <w:pPr>
              <w:jc w:val="left"/>
            </w:pPr>
            <w:r>
              <w:rPr>
                <w:color w:val="2D3748"/>
                <w:sz w:val="18"/>
              </w:rPr>
              <w:t>Internal Lab / IGI</w:t>
            </w:r>
          </w:p>
        </w:tc>
        <w:tc>
          <w:tcPr>
            <w:tcW w:type="dxa" w:w="1584"/>
            <w:shd w:fill="F7FAFC"/>
            <w:tcMar>
              <w:top w:w="100" w:type="dxa"/>
              <w:bottom w:w="100" w:type="dxa"/>
              <w:left w:w="140" w:type="dxa"/>
              <w:right w:w="140" w:type="dxa"/>
            </w:tcMar>
          </w:tcPr>
          <w:p>
            <w:pPr>
              <w:jc w:val="left"/>
            </w:pPr>
            <w:r>
              <w:rPr>
                <w:color w:val="2D3748"/>
                <w:sz w:val="18"/>
              </w:rPr>
              <w:t>Closed commercial software; inaccessible to independent jewellers</w:t>
            </w:r>
          </w:p>
        </w:tc>
      </w:tr>
      <w:tr>
        <w:tc>
          <w:tcPr>
            <w:tcW w:type="dxa" w:w="1728"/>
            <w:shd w:fill="FFFFFF"/>
            <w:tcMar>
              <w:top w:w="100" w:type="dxa"/>
              <w:bottom w:w="100" w:type="dxa"/>
              <w:left w:w="140" w:type="dxa"/>
              <w:right w:w="140" w:type="dxa"/>
            </w:tcMar>
          </w:tcPr>
          <w:p>
            <w:pPr>
              <w:jc w:val="left"/>
            </w:pPr>
            <w:r>
              <w:rPr>
                <w:color w:val="2D3748"/>
                <w:sz w:val="18"/>
              </w:rPr>
              <w:t>GemVal (2022)</w:t>
            </w:r>
          </w:p>
        </w:tc>
        <w:tc>
          <w:tcPr>
            <w:tcW w:type="dxa" w:w="1440"/>
            <w:shd w:fill="FFFFFF"/>
            <w:tcMar>
              <w:top w:w="100" w:type="dxa"/>
              <w:bottom w:w="100" w:type="dxa"/>
              <w:left w:w="140" w:type="dxa"/>
              <w:right w:w="140" w:type="dxa"/>
            </w:tcMar>
          </w:tcPr>
          <w:p>
            <w:pPr>
              <w:jc w:val="left"/>
            </w:pPr>
            <w:r>
              <w:rPr>
                <w:color w:val="2D3748"/>
                <w:sz w:val="18"/>
              </w:rPr>
              <w:t>Gemstone Valuation</w:t>
            </w:r>
          </w:p>
        </w:tc>
        <w:tc>
          <w:tcPr>
            <w:tcW w:type="dxa" w:w="1872"/>
            <w:shd w:fill="FFFFFF"/>
            <w:tcMar>
              <w:top w:w="100" w:type="dxa"/>
              <w:bottom w:w="100" w:type="dxa"/>
              <w:left w:w="140" w:type="dxa"/>
              <w:right w:w="140" w:type="dxa"/>
            </w:tcMar>
          </w:tcPr>
          <w:p>
            <w:pPr>
              <w:jc w:val="left"/>
            </w:pPr>
            <w:r>
              <w:rPr>
                <w:color w:val="2D3748"/>
                <w:sz w:val="18"/>
              </w:rPr>
              <w:t>Polynomial Regression</w:t>
            </w:r>
          </w:p>
        </w:tc>
        <w:tc>
          <w:tcPr>
            <w:tcW w:type="dxa" w:w="1296"/>
            <w:shd w:fill="FFFFFF"/>
            <w:tcMar>
              <w:top w:w="100" w:type="dxa"/>
              <w:bottom w:w="100" w:type="dxa"/>
              <w:left w:w="140" w:type="dxa"/>
              <w:right w:w="140" w:type="dxa"/>
            </w:tcMar>
          </w:tcPr>
          <w:p>
            <w:pPr>
              <w:jc w:val="left"/>
            </w:pPr>
            <w:r>
              <w:rPr>
                <w:color w:val="2D3748"/>
                <w:sz w:val="18"/>
              </w:rPr>
              <w:t>No</w:t>
            </w:r>
          </w:p>
        </w:tc>
        <w:tc>
          <w:tcPr>
            <w:tcW w:type="dxa" w:w="1152"/>
            <w:shd w:fill="FFFFFF"/>
            <w:tcMar>
              <w:top w:w="100" w:type="dxa"/>
              <w:bottom w:w="100" w:type="dxa"/>
              <w:left w:w="140" w:type="dxa"/>
              <w:right w:w="140" w:type="dxa"/>
            </w:tcMar>
          </w:tcPr>
          <w:p>
            <w:pPr>
              <w:jc w:val="left"/>
            </w:pPr>
            <w:r>
              <w:rPr>
                <w:color w:val="2D3748"/>
                <w:sz w:val="18"/>
              </w:rPr>
              <w:t>No</w:t>
            </w:r>
          </w:p>
        </w:tc>
        <w:tc>
          <w:tcPr>
            <w:tcW w:type="dxa" w:w="1008"/>
            <w:shd w:fill="FFFFFF"/>
            <w:tcMar>
              <w:top w:w="100" w:type="dxa"/>
              <w:bottom w:w="100" w:type="dxa"/>
              <w:left w:w="140" w:type="dxa"/>
              <w:right w:w="140" w:type="dxa"/>
            </w:tcMar>
          </w:tcPr>
          <w:p>
            <w:pPr>
              <w:jc w:val="left"/>
            </w:pPr>
            <w:r>
              <w:rPr>
                <w:color w:val="2D3748"/>
                <w:sz w:val="18"/>
              </w:rPr>
              <w:t>No</w:t>
            </w:r>
          </w:p>
        </w:tc>
        <w:tc>
          <w:tcPr>
            <w:tcW w:type="dxa" w:w="1152"/>
            <w:shd w:fill="FFFFFF"/>
            <w:tcMar>
              <w:top w:w="100" w:type="dxa"/>
              <w:bottom w:w="100" w:type="dxa"/>
              <w:left w:w="140" w:type="dxa"/>
              <w:right w:w="140" w:type="dxa"/>
            </w:tcMar>
          </w:tcPr>
          <w:p>
            <w:pPr>
              <w:jc w:val="left"/>
            </w:pPr>
            <w:r>
              <w:rPr>
                <w:color w:val="2D3748"/>
                <w:sz w:val="18"/>
              </w:rPr>
              <w:t>No</w:t>
            </w:r>
          </w:p>
        </w:tc>
        <w:tc>
          <w:tcPr>
            <w:tcW w:type="dxa" w:w="1584"/>
            <w:shd w:fill="FFFFFF"/>
            <w:tcMar>
              <w:top w:w="100" w:type="dxa"/>
              <w:bottom w:w="100" w:type="dxa"/>
              <w:left w:w="140" w:type="dxa"/>
              <w:right w:w="140" w:type="dxa"/>
            </w:tcMar>
          </w:tcPr>
          <w:p>
            <w:pPr>
              <w:jc w:val="left"/>
            </w:pPr>
            <w:r>
              <w:rPr>
                <w:color w:val="2D3748"/>
                <w:sz w:val="18"/>
              </w:rPr>
              <w:t>Coarse colored stone heuristics; excludes diamond 4Cs</w:t>
            </w:r>
          </w:p>
        </w:tc>
      </w:tr>
      <w:tr>
        <w:tc>
          <w:tcPr>
            <w:tcW w:type="dxa" w:w="1728"/>
            <w:shd w:fill="F7FAFC"/>
            <w:tcMar>
              <w:top w:w="100" w:type="dxa"/>
              <w:bottom w:w="100" w:type="dxa"/>
              <w:left w:w="140" w:type="dxa"/>
              <w:right w:w="140" w:type="dxa"/>
            </w:tcMar>
          </w:tcPr>
          <w:p>
            <w:pPr>
              <w:jc w:val="left"/>
            </w:pPr>
            <w:r>
              <w:rPr>
                <w:color w:val="2D3748"/>
                <w:sz w:val="18"/>
              </w:rPr>
              <w:t>JewelCalc Commercial</w:t>
            </w:r>
          </w:p>
        </w:tc>
        <w:tc>
          <w:tcPr>
            <w:tcW w:type="dxa" w:w="1440"/>
            <w:shd w:fill="F7FAFC"/>
            <w:tcMar>
              <w:top w:w="100" w:type="dxa"/>
              <w:bottom w:w="100" w:type="dxa"/>
              <w:left w:w="140" w:type="dxa"/>
              <w:right w:w="140" w:type="dxa"/>
            </w:tcMar>
          </w:tcPr>
          <w:p>
            <w:pPr>
              <w:jc w:val="left"/>
            </w:pPr>
            <w:r>
              <w:rPr>
                <w:color w:val="2D3748"/>
                <w:sz w:val="18"/>
              </w:rPr>
              <w:t>Retail Billing App</w:t>
            </w:r>
          </w:p>
        </w:tc>
        <w:tc>
          <w:tcPr>
            <w:tcW w:type="dxa" w:w="1872"/>
            <w:shd w:fill="F7FAFC"/>
            <w:tcMar>
              <w:top w:w="100" w:type="dxa"/>
              <w:bottom w:w="100" w:type="dxa"/>
              <w:left w:w="140" w:type="dxa"/>
              <w:right w:w="140" w:type="dxa"/>
            </w:tcMar>
          </w:tcPr>
          <w:p>
            <w:pPr>
              <w:jc w:val="left"/>
            </w:pPr>
            <w:r>
              <w:rPr>
                <w:color w:val="2D3748"/>
                <w:sz w:val="18"/>
              </w:rPr>
              <w:t>Hardcoded Rule Engine</w:t>
            </w:r>
          </w:p>
        </w:tc>
        <w:tc>
          <w:tcPr>
            <w:tcW w:type="dxa" w:w="1296"/>
            <w:shd w:fill="F7FAFC"/>
            <w:tcMar>
              <w:top w:w="100" w:type="dxa"/>
              <w:bottom w:w="100" w:type="dxa"/>
              <w:left w:w="140" w:type="dxa"/>
              <w:right w:w="140" w:type="dxa"/>
            </w:tcMar>
          </w:tcPr>
          <w:p>
            <w:pPr>
              <w:jc w:val="left"/>
            </w:pPr>
            <w:r>
              <w:rPr>
                <w:color w:val="2D3748"/>
                <w:sz w:val="18"/>
              </w:rPr>
              <w:t>Manual Entry</w:t>
            </w:r>
          </w:p>
        </w:tc>
        <w:tc>
          <w:tcPr>
            <w:tcW w:type="dxa" w:w="1152"/>
            <w:shd w:fill="F7FAFC"/>
            <w:tcMar>
              <w:top w:w="100" w:type="dxa"/>
              <w:bottom w:w="100" w:type="dxa"/>
              <w:left w:w="140" w:type="dxa"/>
              <w:right w:w="140" w:type="dxa"/>
            </w:tcMar>
          </w:tcPr>
          <w:p>
            <w:pPr>
              <w:jc w:val="left"/>
            </w:pPr>
            <w:r>
              <w:rPr>
                <w:color w:val="2D3748"/>
                <w:sz w:val="18"/>
              </w:rPr>
              <w:t>Manual Flag</w:t>
            </w:r>
          </w:p>
        </w:tc>
        <w:tc>
          <w:tcPr>
            <w:tcW w:type="dxa" w:w="1008"/>
            <w:shd w:fill="F7FAFC"/>
            <w:tcMar>
              <w:top w:w="100" w:type="dxa"/>
              <w:bottom w:w="100" w:type="dxa"/>
              <w:left w:w="140" w:type="dxa"/>
              <w:right w:w="140" w:type="dxa"/>
            </w:tcMar>
          </w:tcPr>
          <w:p>
            <w:pPr>
              <w:jc w:val="left"/>
            </w:pPr>
            <w:r>
              <w:rPr>
                <w:color w:val="2D3748"/>
                <w:sz w:val="18"/>
              </w:rPr>
              <w:t>Yes (Desktop SQL)</w:t>
            </w:r>
          </w:p>
        </w:tc>
        <w:tc>
          <w:tcPr>
            <w:tcW w:type="dxa" w:w="1152"/>
            <w:shd w:fill="F7FAFC"/>
            <w:tcMar>
              <w:top w:w="100" w:type="dxa"/>
              <w:bottom w:w="100" w:type="dxa"/>
              <w:left w:w="140" w:type="dxa"/>
              <w:right w:w="140" w:type="dxa"/>
            </w:tcMar>
          </w:tcPr>
          <w:p>
            <w:pPr>
              <w:jc w:val="left"/>
            </w:pPr>
            <w:r>
              <w:rPr>
                <w:color w:val="2D3748"/>
                <w:sz w:val="18"/>
              </w:rPr>
              <w:t>No</w:t>
            </w:r>
          </w:p>
        </w:tc>
        <w:tc>
          <w:tcPr>
            <w:tcW w:type="dxa" w:w="1584"/>
            <w:shd w:fill="F7FAFC"/>
            <w:tcMar>
              <w:top w:w="100" w:type="dxa"/>
              <w:bottom w:w="100" w:type="dxa"/>
              <w:left w:w="140" w:type="dxa"/>
              <w:right w:w="140" w:type="dxa"/>
            </w:tcMar>
          </w:tcPr>
          <w:p>
            <w:pPr>
              <w:jc w:val="left"/>
            </w:pPr>
            <w:r>
              <w:rPr>
                <w:color w:val="2D3748"/>
                <w:sz w:val="18"/>
              </w:rPr>
              <w:t>No ML intelligence; no PDF parsing; archaic desktop UI</w:t>
            </w:r>
          </w:p>
        </w:tc>
      </w:tr>
      <w:tr>
        <w:tc>
          <w:tcPr>
            <w:tcW w:type="dxa" w:w="1728"/>
            <w:shd w:fill="FFFFFF"/>
            <w:tcMar>
              <w:top w:w="100" w:type="dxa"/>
              <w:bottom w:w="100" w:type="dxa"/>
              <w:left w:w="140" w:type="dxa"/>
              <w:right w:w="140" w:type="dxa"/>
            </w:tcMar>
          </w:tcPr>
          <w:p>
            <w:pPr>
              <w:jc w:val="left"/>
            </w:pPr>
            <w:r>
              <w:rPr>
                <w:color w:val="2D3748"/>
                <w:sz w:val="18"/>
              </w:rPr>
              <w:t>PROPOSED: GemForecast AI</w:t>
            </w:r>
          </w:p>
        </w:tc>
        <w:tc>
          <w:tcPr>
            <w:tcW w:type="dxa" w:w="1440"/>
            <w:shd w:fill="FFFFFF"/>
            <w:tcMar>
              <w:top w:w="100" w:type="dxa"/>
              <w:bottom w:w="100" w:type="dxa"/>
              <w:left w:w="140" w:type="dxa"/>
              <w:right w:w="140" w:type="dxa"/>
            </w:tcMar>
          </w:tcPr>
          <w:p>
            <w:pPr>
              <w:jc w:val="left"/>
            </w:pPr>
            <w:r>
              <w:rPr>
                <w:color w:val="2D3748"/>
                <w:sz w:val="18"/>
              </w:rPr>
              <w:t>India-First Wholesale &amp; Retail Gemology</w:t>
            </w:r>
          </w:p>
        </w:tc>
        <w:tc>
          <w:tcPr>
            <w:tcW w:type="dxa" w:w="1872"/>
            <w:shd w:fill="FFFFFF"/>
            <w:tcMar>
              <w:top w:w="100" w:type="dxa"/>
              <w:bottom w:w="100" w:type="dxa"/>
              <w:left w:w="140" w:type="dxa"/>
              <w:right w:w="140" w:type="dxa"/>
            </w:tcMar>
          </w:tcPr>
          <w:p>
            <w:pPr>
              <w:jc w:val="left"/>
            </w:pPr>
            <w:r>
              <w:rPr>
                <w:color w:val="2D3748"/>
                <w:sz w:val="18"/>
              </w:rPr>
              <w:t>4-Pillar Hybrid: BDB/SDB + 193.5k Comps + Lasso ML + AI Face Layer</w:t>
            </w:r>
          </w:p>
        </w:tc>
        <w:tc>
          <w:tcPr>
            <w:tcW w:type="dxa" w:w="1296"/>
            <w:shd w:fill="FFFFFF"/>
            <w:tcMar>
              <w:top w:w="100" w:type="dxa"/>
              <w:bottom w:w="100" w:type="dxa"/>
              <w:left w:w="140" w:type="dxa"/>
              <w:right w:w="140" w:type="dxa"/>
            </w:tcMar>
          </w:tcPr>
          <w:p>
            <w:pPr>
              <w:jc w:val="left"/>
            </w:pPr>
            <w:r>
              <w:rPr>
                <w:color w:val="2D3748"/>
                <w:sz w:val="18"/>
              </w:rPr>
              <w:t>Yes (Live USD/INR + Timestamped IBJA Bullion)</w:t>
            </w:r>
          </w:p>
        </w:tc>
        <w:tc>
          <w:tcPr>
            <w:tcW w:type="dxa" w:w="1152"/>
            <w:shd w:fill="FFFFFF"/>
            <w:tcMar>
              <w:top w:w="100" w:type="dxa"/>
              <w:bottom w:w="100" w:type="dxa"/>
              <w:left w:w="140" w:type="dxa"/>
              <w:right w:w="140" w:type="dxa"/>
            </w:tcMar>
          </w:tcPr>
          <w:p>
            <w:pPr>
              <w:jc w:val="left"/>
            </w:pPr>
            <w:r>
              <w:rPr>
                <w:color w:val="2D3748"/>
                <w:sz w:val="18"/>
              </w:rPr>
              <w:t>Yes (Full Gemological &amp; Economic Separation)</w:t>
            </w:r>
          </w:p>
        </w:tc>
        <w:tc>
          <w:tcPr>
            <w:tcW w:type="dxa" w:w="1008"/>
            <w:shd w:fill="FFFFFF"/>
            <w:tcMar>
              <w:top w:w="100" w:type="dxa"/>
              <w:bottom w:w="100" w:type="dxa"/>
              <w:left w:w="140" w:type="dxa"/>
              <w:right w:w="140" w:type="dxa"/>
            </w:tcMar>
          </w:tcPr>
          <w:p>
            <w:pPr>
              <w:jc w:val="left"/>
            </w:pPr>
            <w:r>
              <w:rPr>
                <w:color w:val="2D3748"/>
                <w:sz w:val="18"/>
              </w:rPr>
              <w:t>Yes (3% GST HSN 7102/7113, Strict Decimal)</w:t>
            </w:r>
          </w:p>
        </w:tc>
        <w:tc>
          <w:tcPr>
            <w:tcW w:type="dxa" w:w="1152"/>
            <w:shd w:fill="FFFFFF"/>
            <w:tcMar>
              <w:top w:w="100" w:type="dxa"/>
              <w:bottom w:w="100" w:type="dxa"/>
              <w:left w:w="140" w:type="dxa"/>
              <w:right w:w="140" w:type="dxa"/>
            </w:tcMar>
          </w:tcPr>
          <w:p>
            <w:pPr>
              <w:jc w:val="left"/>
            </w:pPr>
            <w:r>
              <w:rPr>
                <w:color w:val="2D3748"/>
                <w:sz w:val="18"/>
              </w:rPr>
              <w:t>Yes (Automated IGI PDF OCR &amp; Lookup Bridges)</w:t>
            </w:r>
          </w:p>
        </w:tc>
        <w:tc>
          <w:tcPr>
            <w:tcW w:type="dxa" w:w="1584"/>
            <w:shd w:fill="FFFFFF"/>
            <w:tcMar>
              <w:top w:w="100" w:type="dxa"/>
              <w:bottom w:w="100" w:type="dxa"/>
              <w:left w:w="140" w:type="dxa"/>
              <w:right w:w="140" w:type="dxa"/>
            </w:tcMar>
          </w:tcPr>
          <w:p>
            <w:pPr>
              <w:jc w:val="left"/>
            </w:pPr>
            <w:r>
              <w:rPr>
                <w:color w:val="2D3748"/>
                <w:sz w:val="18"/>
              </w:rPr>
              <w:t>Subject to ongoing coverage of rare fancy colored diamonds</w:t>
            </w:r>
          </w:p>
        </w:tc>
      </w:tr>
    </w:tbl>
    <w:p>
      <w:pPr>
        <w:spacing w:before="0" w:after="120"/>
      </w:pPr>
    </w:p>
    <w:p>
      <w:pPr>
        <w:keepNext/>
        <w:spacing w:before="280" w:after="120"/>
      </w:pPr>
      <w:r>
        <w:rPr>
          <w:rFonts w:ascii="Calibri" w:hAnsi="Calibri"/>
          <w:b/>
          <w:color w:val="2B6CB0"/>
          <w:sz w:val="26"/>
        </w:rPr>
        <w:t>3.8 Identified Research Gaps</w:t>
      </w:r>
    </w:p>
    <w:p>
      <w:pPr>
        <w:spacing w:before="0" w:after="120" w:line="276" w:lineRule="auto"/>
        <w:jc w:val="both"/>
      </w:pPr>
      <w:r>
        <w:rPr>
          <w:rFonts w:ascii="Calibri" w:hAnsi="Calibri"/>
          <w:color w:val="2D3748"/>
          <w:sz w:val="22"/>
        </w:rPr>
        <w:t>The systematic literature review reveals five critical research gaps in existing diamond and commodity valuation systems:</w:t>
      </w:r>
    </w:p>
    <w:p>
      <w:pPr>
        <w:pStyle w:val="ListBullet"/>
        <w:spacing w:before="40" w:after="60" w:line="276" w:lineRule="auto"/>
        <w:jc w:val="both"/>
      </w:pPr>
      <w:r>
        <w:rPr>
          <w:rFonts w:ascii="Calibri" w:hAnsi="Calibri"/>
          <w:b/>
          <w:color w:val="1A365D"/>
          <w:sz w:val="21"/>
        </w:rPr>
        <w:t xml:space="preserve">Gap 1: Absence of Dual-Origin Separation: </w:t>
      </w:r>
      <w:r>
        <w:rPr>
          <w:rFonts w:ascii="Calibri" w:hAnsi="Calibri"/>
          <w:color w:val="2D3748"/>
          <w:sz w:val="21"/>
        </w:rPr>
        <w:t>No existing academic machine learning system distinguishes between geological natural diamonds and manufactured CVD/HPHT lab-grown diamonds, leading to complete economic failure on modern LGD samples.</w:t>
      </w:r>
    </w:p>
    <w:p>
      <w:pPr>
        <w:pStyle w:val="ListBullet"/>
        <w:spacing w:before="40" w:after="60" w:line="276" w:lineRule="auto"/>
        <w:jc w:val="both"/>
      </w:pPr>
      <w:r>
        <w:rPr>
          <w:rFonts w:ascii="Calibri" w:hAnsi="Calibri"/>
          <w:b/>
          <w:color w:val="1A365D"/>
          <w:sz w:val="21"/>
        </w:rPr>
        <w:t xml:space="preserve">Gap 2: Disconnection from Physical Indian Bourses: </w:t>
      </w:r>
      <w:r>
        <w:rPr>
          <w:rFonts w:ascii="Calibri" w:hAnsi="Calibri"/>
          <w:color w:val="2D3748"/>
          <w:sz w:val="21"/>
        </w:rPr>
        <w:t>Prior models operate on static USD historical datasets without calibration to physical wholesale trading hubs (Mumbai Bharat Diamond Bourse and Surat Diamond Bourse) or live USD/INR currency dynamics.</w:t>
      </w:r>
    </w:p>
    <w:p>
      <w:pPr>
        <w:pStyle w:val="ListBullet"/>
        <w:spacing w:before="40" w:after="60" w:line="276" w:lineRule="auto"/>
        <w:jc w:val="both"/>
      </w:pPr>
      <w:r>
        <w:rPr>
          <w:rFonts w:ascii="Calibri" w:hAnsi="Calibri"/>
          <w:b/>
          <w:color w:val="1A365D"/>
          <w:sz w:val="21"/>
        </w:rPr>
        <w:t xml:space="preserve">Gap 3: Black-Box Predictions Without Trade Margins: </w:t>
      </w:r>
      <w:r>
        <w:rPr>
          <w:rFonts w:ascii="Calibri" w:hAnsi="Calibri"/>
          <w:color w:val="2D3748"/>
          <w:sz w:val="21"/>
        </w:rPr>
        <w:t>Existing machine learning models output a single scalar value without decomposing the price into target jeweller acquisition (Buy), fair retail quote (Sell), expected gross margin %, or optical value drivers.</w:t>
      </w:r>
    </w:p>
    <w:p>
      <w:pPr>
        <w:pStyle w:val="ListBullet"/>
        <w:spacing w:before="40" w:after="60" w:line="276" w:lineRule="auto"/>
        <w:jc w:val="both"/>
      </w:pPr>
      <w:r>
        <w:rPr>
          <w:rFonts w:ascii="Calibri" w:hAnsi="Calibri"/>
          <w:b/>
          <w:color w:val="1A365D"/>
          <w:sz w:val="21"/>
        </w:rPr>
        <w:t xml:space="preserve">Gap 4: Inadequate Precision &amp; Tax Compliance: </w:t>
      </w:r>
      <w:r>
        <w:rPr>
          <w:rFonts w:ascii="Calibri" w:hAnsi="Calibri"/>
          <w:color w:val="2D3748"/>
          <w:sz w:val="21"/>
        </w:rPr>
        <w:t>Commodity appraisal tools rely on standard IEEE 754 floating-point arithmetic, causing rounding drift, and fail to provide statutory Indian GST reconciliation (HSN 7102/7113).</w:t>
      </w:r>
    </w:p>
    <w:p>
      <w:pPr>
        <w:pStyle w:val="ListBullet"/>
        <w:spacing w:before="40" w:after="60" w:line="276" w:lineRule="auto"/>
        <w:jc w:val="both"/>
      </w:pPr>
      <w:r>
        <w:rPr>
          <w:rFonts w:ascii="Calibri" w:hAnsi="Calibri"/>
          <w:b/>
          <w:color w:val="1A365D"/>
          <w:sz w:val="21"/>
        </w:rPr>
        <w:t xml:space="preserve">Gap 5: Lack of Automated Laboratory Verification: </w:t>
      </w:r>
      <w:r>
        <w:rPr>
          <w:rFonts w:ascii="Calibri" w:hAnsi="Calibri"/>
          <w:color w:val="2D3748"/>
          <w:sz w:val="21"/>
        </w:rPr>
        <w:t>Current tools require tedious manual data entry and lack automated extraction pipelines for official IGI certificate PDFs, leaving systems vulnerable to human transcription errors and altered reports.</w:t>
      </w:r>
    </w:p>
    <w:p>
      <w:r>
        <w:br w:type="page"/>
      </w:r>
    </w:p>
    <w:p>
      <w:pPr>
        <w:keepNext/>
        <w:spacing w:before="360" w:after="160"/>
      </w:pPr>
      <w:r>
        <w:rPr>
          <w:rFonts w:ascii="Calibri" w:hAnsi="Calibri"/>
          <w:b/>
          <w:color w:val="1A365D"/>
          <w:sz w:val="32"/>
        </w:rPr>
        <w:t>CHAPTER 4: PROBLEM STATEMENT AND SYSTEM REQUIREMENTS</w:t>
      </w:r>
    </w:p>
    <w:p>
      <w:pPr>
        <w:keepNext/>
        <w:spacing w:before="280" w:after="120"/>
      </w:pPr>
      <w:r>
        <w:rPr>
          <w:rFonts w:ascii="Calibri" w:hAnsi="Calibri"/>
          <w:b/>
          <w:color w:val="2B6CB0"/>
          <w:sz w:val="26"/>
        </w:rPr>
        <w:t>4.1 Formal Problem Statement</w:t>
      </w:r>
    </w:p>
    <w:p>
      <w:pPr>
        <w:spacing w:before="0" w:after="120" w:line="276" w:lineRule="auto"/>
        <w:jc w:val="both"/>
      </w:pPr>
      <w:r>
        <w:rPr>
          <w:rFonts w:ascii="Calibri" w:hAnsi="Calibri"/>
          <w:color w:val="2D3748"/>
          <w:sz w:val="22"/>
        </w:rPr>
        <w:t>Current diamond valuation platforms and machine learning estimation frameworks fail to provide accurate, transparent, and legally compliant valuations under realistic Indian commercial trading conditions. Specifically:</w:t>
      </w:r>
    </w:p>
    <w:p>
      <w:pPr>
        <w:spacing w:before="0" w:after="120" w:line="276" w:lineRule="auto"/>
        <w:jc w:val="both"/>
      </w:pPr>
      <w:r>
        <w:rPr>
          <w:rFonts w:ascii="Calibri" w:hAnsi="Calibri"/>
          <w:b/>
          <w:color w:val="1A365D"/>
          <w:sz w:val="22"/>
        </w:rPr>
        <w:t xml:space="preserve">Problem 1: </w:t>
      </w:r>
      <w:r>
        <w:rPr>
          <w:rFonts w:ascii="Calibri" w:hAnsi="Calibri"/>
          <w:color w:val="2D3748"/>
          <w:sz w:val="22"/>
        </w:rPr>
        <w:t>1. Severe Conflation of Natural and Lab-Grown Diamonds: Traditional models treat diamonds as a homogeneous asset class, failing to account for the 85% to 95% wholesale price collapse of CVD/HPHT lab-grown diamonds manufactured in Surat.</w:t>
      </w:r>
    </w:p>
    <w:p>
      <w:pPr>
        <w:spacing w:before="0" w:after="120" w:line="276" w:lineRule="auto"/>
        <w:jc w:val="both"/>
      </w:pPr>
      <w:r>
        <w:rPr>
          <w:rFonts w:ascii="Calibri" w:hAnsi="Calibri"/>
          <w:b/>
          <w:color w:val="1A365D"/>
          <w:sz w:val="22"/>
        </w:rPr>
        <w:t xml:space="preserve">Problem 2: </w:t>
      </w:r>
      <w:r>
        <w:rPr>
          <w:rFonts w:ascii="Calibri" w:hAnsi="Calibri"/>
          <w:color w:val="2D3748"/>
          <w:sz w:val="22"/>
        </w:rPr>
        <w:t>2. Disconnection from Live Indian Currency and Bullion Realities: Pure ML algorithms ignore live USD/INR exchange rate shifts and fail to integrate official IBJA gold and silver benchmarks necessary for complete studded jewellery costing.</w:t>
      </w:r>
    </w:p>
    <w:p>
      <w:pPr>
        <w:spacing w:before="0" w:after="120" w:line="276" w:lineRule="auto"/>
        <w:jc w:val="both"/>
      </w:pPr>
      <w:r>
        <w:rPr>
          <w:rFonts w:ascii="Calibri" w:hAnsi="Calibri"/>
          <w:b/>
          <w:color w:val="1A365D"/>
          <w:sz w:val="22"/>
        </w:rPr>
        <w:t xml:space="preserve">Problem 3: </w:t>
      </w:r>
      <w:r>
        <w:rPr>
          <w:rFonts w:ascii="Calibri" w:hAnsi="Calibri"/>
          <w:color w:val="2D3748"/>
          <w:sz w:val="22"/>
        </w:rPr>
        <w:t>3. Vulnerability to Floating-Point Rounding and Invoicing Errors: Commercial billing systems utilizing standard binary floating-point numbers generate illegal discrepancy cents under Indian GST statutory audits.</w:t>
      </w:r>
    </w:p>
    <w:p>
      <w:pPr>
        <w:spacing w:before="0" w:after="120" w:line="276" w:lineRule="auto"/>
        <w:jc w:val="both"/>
      </w:pPr>
      <w:r>
        <w:rPr>
          <w:rFonts w:ascii="Calibri" w:hAnsi="Calibri"/>
          <w:b/>
          <w:color w:val="1A365D"/>
          <w:sz w:val="22"/>
        </w:rPr>
        <w:t xml:space="preserve">Problem 4: </w:t>
      </w:r>
      <w:r>
        <w:rPr>
          <w:rFonts w:ascii="Calibri" w:hAnsi="Calibri"/>
          <w:color w:val="2D3748"/>
          <w:sz w:val="22"/>
        </w:rPr>
        <w:t>4. Absence of Automated, Auditable Laboratory Verification: Existing solutions lack automated extraction from official IGI diamond certificates and provide zero audit trails linking grading data to physical bourses.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F497D"/>
              <w:bottom w:val="none"/>
              <w:right w:val="none"/>
            </w:tcBorders>
          </w:tcPr>
          <w:p>
            <w:pPr>
              <w:spacing w:before="60" w:after="60" w:line="276" w:lineRule="auto"/>
            </w:pPr>
            <w:r>
              <w:rPr>
                <w:rFonts w:ascii="Calibri" w:hAnsi="Calibri"/>
                <w:b/>
                <w:color w:val="1F497D"/>
                <w:sz w:val="20"/>
              </w:rPr>
              <w:t xml:space="preserve">[FORMAL PROBLEM TO BE SOLVED] </w:t>
            </w:r>
            <w:r>
              <w:rPr>
                <w:rFonts w:ascii="Calibri" w:hAnsi="Calibri"/>
                <w:color w:val="2C3E50"/>
                <w:sz w:val="20"/>
              </w:rPr>
              <w:t>To formulate, implement, and benchmark an India-first, multi-pillar gemological machine learning framework and web workstation that provides automated IGI certificate extraction, rigorously separates natural from lab-grown diamond valuation, synthesizes live physical wholesale bourses benchmarks with empirical historical regression baselines, enforces high-precision Decimal financial accounting under statutory Indian GST, and equips jewellers with autonomous conversational trade intelligence.</w:t>
            </w:r>
          </w:p>
        </w:tc>
      </w:tr>
    </w:tbl>
    <w:p>
      <w:pPr>
        <w:spacing w:before="0" w:after="80"/>
      </w:pPr>
    </w:p>
    <w:p>
      <w:pPr>
        <w:keepNext/>
        <w:spacing w:before="280" w:after="120"/>
      </w:pPr>
      <w:r>
        <w:rPr>
          <w:rFonts w:ascii="Calibri" w:hAnsi="Calibri"/>
          <w:b/>
          <w:color w:val="2B6CB0"/>
          <w:sz w:val="26"/>
        </w:rPr>
        <w:t>4.2 System Constraints and Threat Model</w:t>
      </w:r>
    </w:p>
    <w:p>
      <w:pPr>
        <w:pStyle w:val="ListBullet"/>
        <w:spacing w:before="40" w:after="60" w:line="276" w:lineRule="auto"/>
        <w:jc w:val="both"/>
      </w:pPr>
      <w:r>
        <w:rPr>
          <w:rFonts w:ascii="Calibri" w:hAnsi="Calibri"/>
          <w:b/>
          <w:color w:val="1A365D"/>
          <w:sz w:val="21"/>
        </w:rPr>
        <w:t xml:space="preserve">Strict Zero-Fake Policy: </w:t>
      </w:r>
      <w:r>
        <w:rPr>
          <w:rFonts w:ascii="Calibri" w:hAnsi="Calibri"/>
          <w:color w:val="2D3748"/>
          <w:sz w:val="21"/>
        </w:rPr>
        <w:t>The platform must never simulate fake live ticks, invent fictitious verification statuses, or bypass official laboratory CAPTCHAs. If a live API is offline, the system must transparently fall back to verified historical baselines with an explicit 'is_live: false' status flag.</w:t>
      </w:r>
    </w:p>
    <w:p>
      <w:pPr>
        <w:pStyle w:val="ListBullet"/>
        <w:spacing w:before="40" w:after="60" w:line="276" w:lineRule="auto"/>
        <w:jc w:val="both"/>
      </w:pPr>
      <w:r>
        <w:rPr>
          <w:rFonts w:ascii="Calibri" w:hAnsi="Calibri"/>
          <w:b/>
          <w:color w:val="1A365D"/>
          <w:sz w:val="21"/>
        </w:rPr>
        <w:t xml:space="preserve">Confidentiality of Jeweller Margins: </w:t>
      </w:r>
      <w:r>
        <w:rPr>
          <w:rFonts w:ascii="Calibri" w:hAnsi="Calibri"/>
          <w:color w:val="2D3748"/>
          <w:sz w:val="21"/>
        </w:rPr>
        <w:t>When invoices are shared with end-consumers via cryptographic web tokens (`/invoice/share/&lt;token&gt;`), internal landed costs, dealer acquisition prices, and gross profit margins must be permanently shielded from the rendered view.</w:t>
      </w:r>
    </w:p>
    <w:p>
      <w:pPr>
        <w:pStyle w:val="ListBullet"/>
        <w:spacing w:before="40" w:after="60" w:line="276" w:lineRule="auto"/>
        <w:jc w:val="both"/>
      </w:pPr>
      <w:r>
        <w:rPr>
          <w:rFonts w:ascii="Calibri" w:hAnsi="Calibri"/>
          <w:b/>
          <w:color w:val="1A365D"/>
          <w:sz w:val="21"/>
        </w:rPr>
        <w:t xml:space="preserve">Tamper-Evident Local Persistence: </w:t>
      </w:r>
      <w:r>
        <w:rPr>
          <w:rFonts w:ascii="Calibri" w:hAnsi="Calibri"/>
          <w:color w:val="2D3748"/>
          <w:sz w:val="21"/>
        </w:rPr>
        <w:t>All user accounts, inventory records, sequential invoices, and chat session histories must be persistently maintained in ACID-compliant SQLite databases with Werkzeug password hashing.</w:t>
      </w:r>
    </w:p>
    <w:p>
      <w:pPr>
        <w:keepNext/>
        <w:spacing w:before="280" w:after="120"/>
      </w:pPr>
      <w:r>
        <w:rPr>
          <w:rFonts w:ascii="Calibri" w:hAnsi="Calibri"/>
          <w:b/>
          <w:color w:val="2B6CB0"/>
          <w:sz w:val="26"/>
        </w:rPr>
        <w:t>4.3 Functional Requirements</w:t>
      </w:r>
    </w:p>
    <w:p>
      <w:pPr>
        <w:spacing w:before="0" w:after="120" w:line="276" w:lineRule="auto"/>
        <w:jc w:val="both"/>
      </w:pPr>
      <w:r>
        <w:rPr>
          <w:rFonts w:ascii="Calibri" w:hAnsi="Calibri"/>
          <w:color w:val="2D3748"/>
          <w:sz w:val="22"/>
        </w:rPr>
        <w:t>The platform must satisfy the following core functional requirements (FRs):</w:t>
      </w:r>
    </w:p>
    <w:p>
      <w:pPr>
        <w:pStyle w:val="ListBullet"/>
        <w:spacing w:before="40" w:after="60" w:line="276" w:lineRule="auto"/>
        <w:jc w:val="both"/>
      </w:pPr>
      <w:r>
        <w:rPr>
          <w:rFonts w:ascii="Calibri" w:hAnsi="Calibri"/>
          <w:b/>
          <w:color w:val="1A365D"/>
          <w:sz w:val="21"/>
        </w:rPr>
        <w:t xml:space="preserve">FR-01 (Certificate Verification): </w:t>
      </w:r>
      <w:r>
        <w:rPr>
          <w:rFonts w:ascii="Calibri" w:hAnsi="Calibri"/>
          <w:color w:val="2D3748"/>
          <w:sz w:val="21"/>
        </w:rPr>
        <w:t>Accept an IGI report number or an uploaded IGI certificate PDF, parse physical 4C parameters via automated regex/OCR, and generate official verification audit links.</w:t>
      </w:r>
    </w:p>
    <w:p>
      <w:pPr>
        <w:pStyle w:val="ListBullet"/>
        <w:spacing w:before="40" w:after="60" w:line="276" w:lineRule="auto"/>
        <w:jc w:val="both"/>
      </w:pPr>
      <w:r>
        <w:rPr>
          <w:rFonts w:ascii="Calibri" w:hAnsi="Calibri"/>
          <w:b/>
          <w:color w:val="1A365D"/>
          <w:sz w:val="21"/>
        </w:rPr>
        <w:t xml:space="preserve">FR-02 (Dual-Origin Routing): </w:t>
      </w:r>
      <w:r>
        <w:rPr>
          <w:rFonts w:ascii="Calibri" w:hAnsi="Calibri"/>
          <w:color w:val="2D3748"/>
          <w:sz w:val="21"/>
        </w:rPr>
        <w:t>Automatically classify input specimens into 'Natural Mined' or 'Lab-Grown (CVD/HPHT)' and route them to corresponding pricing matrices.</w:t>
      </w:r>
    </w:p>
    <w:p>
      <w:pPr>
        <w:pStyle w:val="ListBullet"/>
        <w:spacing w:before="40" w:after="60" w:line="276" w:lineRule="auto"/>
        <w:jc w:val="both"/>
      </w:pPr>
      <w:r>
        <w:rPr>
          <w:rFonts w:ascii="Calibri" w:hAnsi="Calibri"/>
          <w:b/>
          <w:color w:val="1A365D"/>
          <w:sz w:val="21"/>
        </w:rPr>
        <w:t xml:space="preserve">FR-03 (4-Pillar Valuation Synthesis): </w:t>
      </w:r>
      <w:r>
        <w:rPr>
          <w:rFonts w:ascii="Calibri" w:hAnsi="Calibri"/>
          <w:color w:val="2D3748"/>
          <w:sz w:val="21"/>
        </w:rPr>
        <w:t>Compute wholesale fair value, suggested buy price, retail sell price, gross profit, and margin % by synthesizing BDB/SDB wholesale quotes, 193.5k historical comps, scikit-learn ML baselines, and AI Face scores.</w:t>
      </w:r>
    </w:p>
    <w:p>
      <w:pPr>
        <w:pStyle w:val="ListBullet"/>
        <w:spacing w:before="40" w:after="60" w:line="276" w:lineRule="auto"/>
        <w:jc w:val="both"/>
      </w:pPr>
      <w:r>
        <w:rPr>
          <w:rFonts w:ascii="Calibri" w:hAnsi="Calibri"/>
          <w:b/>
          <w:color w:val="1A365D"/>
          <w:sz w:val="21"/>
        </w:rPr>
        <w:t xml:space="preserve">FR-04 (Multi-Report Comparison): </w:t>
      </w:r>
      <w:r>
        <w:rPr>
          <w:rFonts w:ascii="Calibri" w:hAnsi="Calibri"/>
          <w:color w:val="2D3748"/>
          <w:sz w:val="21"/>
        </w:rPr>
        <w:t>Support side-by-side comparison of up to 5 IGI reports, awarding algorithmic badges: Overall Pick, Best Gem Quality, Best Value, Best Buy, and Best Resale.</w:t>
      </w:r>
    </w:p>
    <w:p>
      <w:pPr>
        <w:pStyle w:val="ListBullet"/>
        <w:spacing w:before="40" w:after="60" w:line="276" w:lineRule="auto"/>
        <w:jc w:val="both"/>
      </w:pPr>
      <w:r>
        <w:rPr>
          <w:rFonts w:ascii="Calibri" w:hAnsi="Calibri"/>
          <w:b/>
          <w:color w:val="1A365D"/>
          <w:sz w:val="21"/>
        </w:rPr>
        <w:t xml:space="preserve">FR-05 (Jewellery &amp; Bullion Calculator): </w:t>
      </w:r>
      <w:r>
        <w:rPr>
          <w:rFonts w:ascii="Calibri" w:hAnsi="Calibri"/>
          <w:color w:val="2D3748"/>
          <w:sz w:val="21"/>
        </w:rPr>
        <w:t>Calculate complete itemized jewellery quotations across 5 precious metals (Gold 24K/22K/18K/14K, Silver 999/925, Platinum Pt950/Pt900) using high-precision Decimal arithmetic and 3% Indian GST.</w:t>
      </w:r>
    </w:p>
    <w:p>
      <w:pPr>
        <w:pStyle w:val="ListBullet"/>
        <w:spacing w:before="40" w:after="60" w:line="276" w:lineRule="auto"/>
        <w:jc w:val="both"/>
      </w:pPr>
      <w:r>
        <w:rPr>
          <w:rFonts w:ascii="Calibri" w:hAnsi="Calibri"/>
          <w:b/>
          <w:color w:val="1A365D"/>
          <w:sz w:val="21"/>
        </w:rPr>
        <w:t xml:space="preserve">FR-06 (Sequential Invoicing &amp; PDF Generation): </w:t>
      </w:r>
      <w:r>
        <w:rPr>
          <w:rFonts w:ascii="Calibri" w:hAnsi="Calibri"/>
          <w:color w:val="2D3748"/>
          <w:sz w:val="21"/>
        </w:rPr>
        <w:t>Persist customer billing data, generate sequential invoice identifiers (e.g., GF-2026-0001), and produce downloadable A4 PDF tax invoices with dynamic verification QR codes.</w:t>
      </w:r>
    </w:p>
    <w:p>
      <w:pPr>
        <w:pStyle w:val="ListBullet"/>
        <w:spacing w:before="40" w:after="60" w:line="276" w:lineRule="auto"/>
        <w:jc w:val="both"/>
      </w:pPr>
      <w:r>
        <w:rPr>
          <w:rFonts w:ascii="Calibri" w:hAnsi="Calibri"/>
          <w:b/>
          <w:color w:val="1A365D"/>
          <w:sz w:val="21"/>
        </w:rPr>
        <w:t xml:space="preserve">FR-07 (LLM Trade Advisor): </w:t>
      </w:r>
      <w:r>
        <w:rPr>
          <w:rFonts w:ascii="Calibri" w:hAnsi="Calibri"/>
          <w:color w:val="2D3748"/>
          <w:sz w:val="21"/>
        </w:rPr>
        <w:t>Provide conversational trade intelligence with deterministic tool calling into live bullion and diamond matrices across Gemini, Groq, and local agentic fallback.</w:t>
      </w:r>
    </w:p>
    <w:p>
      <w:pPr>
        <w:keepNext/>
        <w:spacing w:before="280" w:after="120"/>
      </w:pPr>
      <w:r>
        <w:rPr>
          <w:rFonts w:ascii="Calibri" w:hAnsi="Calibri"/>
          <w:b/>
          <w:color w:val="2B6CB0"/>
          <w:sz w:val="26"/>
        </w:rPr>
        <w:t>4.4 Non-Functional Requirements</w:t>
      </w:r>
    </w:p>
    <w:p>
      <w:pPr>
        <w:pStyle w:val="ListBullet"/>
        <w:spacing w:before="40" w:after="60" w:line="276" w:lineRule="auto"/>
        <w:jc w:val="both"/>
      </w:pPr>
      <w:r>
        <w:rPr>
          <w:rFonts w:ascii="Calibri" w:hAnsi="Calibri"/>
          <w:b/>
          <w:color w:val="1A365D"/>
          <w:sz w:val="21"/>
        </w:rPr>
        <w:t xml:space="preserve">NFR-01 (Performance &amp; Latency): </w:t>
      </w:r>
      <w:r>
        <w:rPr>
          <w:rFonts w:ascii="Calibri" w:hAnsi="Calibri"/>
          <w:color w:val="2D3748"/>
          <w:sz w:val="21"/>
        </w:rPr>
        <w:t>End-to-end valuation inference pipeline must complete within 250 milliseconds; PDF parsing and invoice rendering must complete within 1.5 seconds.</w:t>
      </w:r>
    </w:p>
    <w:p>
      <w:pPr>
        <w:pStyle w:val="ListBullet"/>
        <w:spacing w:before="40" w:after="60" w:line="276" w:lineRule="auto"/>
        <w:jc w:val="both"/>
      </w:pPr>
      <w:r>
        <w:rPr>
          <w:rFonts w:ascii="Calibri" w:hAnsi="Calibri"/>
          <w:b/>
          <w:color w:val="1A365D"/>
          <w:sz w:val="21"/>
        </w:rPr>
        <w:t xml:space="preserve">NFR-02 (Numerical Precision): </w:t>
      </w:r>
      <w:r>
        <w:rPr>
          <w:rFonts w:ascii="Calibri" w:hAnsi="Calibri"/>
          <w:color w:val="2D3748"/>
          <w:sz w:val="21"/>
        </w:rPr>
        <w:t>Zero floating-point rounding errors across all commercial financial arithmetic; all currency amounts quantized strictly to two decimal places (`Decimal('0.01')`).</w:t>
      </w:r>
    </w:p>
    <w:p>
      <w:pPr>
        <w:pStyle w:val="ListBullet"/>
        <w:spacing w:before="40" w:after="60" w:line="276" w:lineRule="auto"/>
        <w:jc w:val="both"/>
      </w:pPr>
      <w:r>
        <w:rPr>
          <w:rFonts w:ascii="Calibri" w:hAnsi="Calibri"/>
          <w:b/>
          <w:color w:val="1A365D"/>
          <w:sz w:val="21"/>
        </w:rPr>
        <w:t xml:space="preserve">NFR-03 (Reliability &amp; Test Coverage): </w:t>
      </w:r>
      <w:r>
        <w:rPr>
          <w:rFonts w:ascii="Calibri" w:hAnsi="Calibri"/>
          <w:color w:val="2D3748"/>
          <w:sz w:val="21"/>
        </w:rPr>
        <w:t>Automated PyTest test suite must achieve comprehensive coverage of core services, ensuring zero unhandled exceptions on invalid gemological specs.</w:t>
      </w:r>
    </w:p>
    <w:p>
      <w:pPr>
        <w:pStyle w:val="ListBullet"/>
        <w:spacing w:before="40" w:after="60" w:line="276" w:lineRule="auto"/>
        <w:jc w:val="both"/>
      </w:pPr>
      <w:r>
        <w:rPr>
          <w:rFonts w:ascii="Calibri" w:hAnsi="Calibri"/>
          <w:b/>
          <w:color w:val="1A365D"/>
          <w:sz w:val="21"/>
        </w:rPr>
        <w:t xml:space="preserve">NFR-04 (Responsive &amp; Accessible UI): </w:t>
      </w:r>
      <w:r>
        <w:rPr>
          <w:rFonts w:ascii="Calibri" w:hAnsi="Calibri"/>
          <w:color w:val="2D3748"/>
          <w:sz w:val="21"/>
        </w:rPr>
        <w:t>The web interface must render seamlessly across desktop and mobile devices, adhering to luxury dark-mode aesthetics and native print styling for A4 invoices.</w:t>
      </w:r>
    </w:p>
    <w:p>
      <w:r>
        <w:br w:type="page"/>
      </w:r>
    </w:p>
    <w:p>
      <w:pPr>
        <w:keepNext/>
        <w:spacing w:before="360" w:after="160"/>
      </w:pPr>
      <w:r>
        <w:rPr>
          <w:rFonts w:ascii="Calibri" w:hAnsi="Calibri"/>
          <w:b/>
          <w:color w:val="1A365D"/>
          <w:sz w:val="32"/>
        </w:rPr>
        <w:t>CHAPTER 5: SYSTEM ARCHITECTURE AND DESIGN</w:t>
      </w:r>
    </w:p>
    <w:p>
      <w:pPr>
        <w:keepNext/>
        <w:spacing w:before="280" w:after="120"/>
      </w:pPr>
      <w:r>
        <w:rPr>
          <w:rFonts w:ascii="Calibri" w:hAnsi="Calibri"/>
          <w:b/>
          <w:color w:val="2B6CB0"/>
          <w:sz w:val="26"/>
        </w:rPr>
        <w:t>5.1 End-to-End Multi-Tier Architectural Design</w:t>
      </w:r>
    </w:p>
    <w:p>
      <w:pPr>
        <w:spacing w:before="0" w:after="120" w:line="276" w:lineRule="auto"/>
        <w:jc w:val="both"/>
      </w:pPr>
      <w:r>
        <w:rPr>
          <w:rFonts w:ascii="Calibri" w:hAnsi="Calibri"/>
          <w:color w:val="2D3748"/>
          <w:sz w:val="22"/>
        </w:rPr>
        <w:t>GemForecast AI is architected as a highly modular, decoupled, six-tier enterprise platform designed for microsecond-latency evaluation, strict separation of concerns, and maximum maintainability. Figure 5.1 illustrates the complete system architecture from raw input ingestion to jeweller workstation interfaces.</w:t>
      </w:r>
    </w:p>
    <w:p>
      <w:pPr>
        <w:spacing w:before="160" w:after="80"/>
        <w:jc w:val="center"/>
      </w:pPr>
      <w:r>
        <w:drawing>
          <wp:inline xmlns:a="http://schemas.openxmlformats.org/drawingml/2006/main" xmlns:pic="http://schemas.openxmlformats.org/drawingml/2006/picture">
            <wp:extent cx="5669280" cy="358881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669280" cy="3588810"/>
                    </a:xfrm>
                    <a:prstGeom prst="rect"/>
                  </pic:spPr>
                </pic:pic>
              </a:graphicData>
            </a:graphic>
          </wp:inline>
        </w:drawing>
      </w:r>
    </w:p>
    <w:p>
      <w:pPr>
        <w:spacing w:before="40" w:after="200"/>
        <w:jc w:val="center"/>
      </w:pPr>
      <w:r>
        <w:rPr>
          <w:i/>
          <w:color w:val="4A5568"/>
          <w:sz w:val="19"/>
        </w:rPr>
        <w:t>Figure 5.1: Multi-Tier Architectural Blueprint of GemForecast AI Platform</w:t>
      </w:r>
    </w:p>
    <w:p>
      <w:pPr>
        <w:keepNext/>
        <w:spacing w:before="280" w:after="120"/>
      </w:pPr>
      <w:r>
        <w:rPr>
          <w:rFonts w:ascii="Calibri" w:hAnsi="Calibri"/>
          <w:b/>
          <w:color w:val="2B6CB0"/>
          <w:sz w:val="26"/>
        </w:rPr>
        <w:t>5.2 Verification &amp; Document Processing Tier</w:t>
      </w:r>
    </w:p>
    <w:p>
      <w:pPr>
        <w:spacing w:before="0" w:after="120" w:line="276" w:lineRule="auto"/>
        <w:jc w:val="both"/>
      </w:pPr>
      <w:r>
        <w:rPr>
          <w:rFonts w:ascii="Calibri" w:hAnsi="Calibri"/>
          <w:color w:val="2D3748"/>
          <w:sz w:val="22"/>
        </w:rPr>
        <w:t>The ingestion tier acts as the primary gateway into the platform, handling both structured report lookups and unstructured digital certificate documents:</w:t>
      </w:r>
    </w:p>
    <w:p>
      <w:pPr>
        <w:pStyle w:val="ListBullet"/>
        <w:spacing w:before="40" w:after="60" w:line="276" w:lineRule="auto"/>
        <w:jc w:val="both"/>
      </w:pPr>
      <w:r>
        <w:rPr>
          <w:rFonts w:ascii="Calibri" w:hAnsi="Calibri"/>
          <w:b/>
          <w:color w:val="1A365D"/>
          <w:sz w:val="21"/>
        </w:rPr>
        <w:t xml:space="preserve">IGI Official Lookup Gateway: </w:t>
      </w:r>
      <w:r>
        <w:rPr>
          <w:rFonts w:ascii="Calibri" w:hAnsi="Calibri"/>
          <w:color w:val="2D3748"/>
          <w:sz w:val="21"/>
        </w:rPr>
        <w:t>Constructs canonical verification URLs (`lookup.igi.org/index.php/reports/diamond-reports/en?report_no=...`) and checks against a curated authentic sample repository for rapid 1-click testing.</w:t>
      </w:r>
    </w:p>
    <w:p>
      <w:pPr>
        <w:pStyle w:val="ListBullet"/>
        <w:spacing w:before="40" w:after="60" w:line="276" w:lineRule="auto"/>
        <w:jc w:val="both"/>
      </w:pPr>
      <w:r>
        <w:rPr>
          <w:rFonts w:ascii="Calibri" w:hAnsi="Calibri"/>
          <w:b/>
          <w:color w:val="1A365D"/>
          <w:sz w:val="21"/>
        </w:rPr>
        <w:t xml:space="preserve">Automated PDF Certificate Extraction Engine (`IGIService.extract_from_pdf`): </w:t>
      </w:r>
      <w:r>
        <w:rPr>
          <w:rFonts w:ascii="Calibri" w:hAnsi="Calibri"/>
          <w:color w:val="2D3748"/>
          <w:sz w:val="21"/>
        </w:rPr>
        <w:t>Processes raw binary PDF byte streams using `pypdf.PdfReader`. The engine scans raw text tokens using robust regular expression patterns to extract Report Number, Date, Shape, Carat weight, Color grade, Clarity tier, Cut quality, Depth %, Table %, Crown/Pavilion angles, Polish, Symmetry, Fluorescence, Dimensions (x, y, z mm), and Laser Inscription strings.</w:t>
      </w:r>
    </w:p>
    <w:p>
      <w:pPr>
        <w:keepNext/>
        <w:spacing w:before="280" w:after="120"/>
      </w:pPr>
      <w:r>
        <w:rPr>
          <w:rFonts w:ascii="Calibri" w:hAnsi="Calibri"/>
          <w:b/>
          <w:color w:val="2B6CB0"/>
          <w:sz w:val="26"/>
        </w:rPr>
        <w:t>5.3 Gemological Normalization &amp; Origin Separation Tier</w:t>
      </w:r>
    </w:p>
    <w:p>
      <w:pPr>
        <w:spacing w:before="0" w:after="120" w:line="276" w:lineRule="auto"/>
        <w:jc w:val="both"/>
      </w:pPr>
      <w:r>
        <w:rPr>
          <w:rFonts w:ascii="Calibri" w:hAnsi="Calibri"/>
          <w:color w:val="2D3748"/>
          <w:sz w:val="22"/>
        </w:rPr>
        <w:t>Once extracted, raw gemological text is normalized into standardized enumerations conforming to international IGI grading conventions. Crucially, the origin discriminator inspects report type strings, inscription prefixes (e.g., 'LG', 'LABGROWN'), and growth process descriptions (CVD or HPHT). If synthetic origin is detected, the stone is tagged as Lab-Grown and routed exclusively to the Surat Diamond Bourse manufacturing matrix. Otherwise, it is classified as Natural Mined and routed to the Bharat Diamond Bourse wholesale matrix.</w:t>
      </w:r>
    </w:p>
    <w:p>
      <w:pPr>
        <w:keepNext/>
        <w:spacing w:before="280" w:after="120"/>
      </w:pPr>
      <w:r>
        <w:rPr>
          <w:rFonts w:ascii="Calibri" w:hAnsi="Calibri"/>
          <w:b/>
          <w:color w:val="2B6CB0"/>
          <w:sz w:val="26"/>
        </w:rPr>
        <w:t>5.4 The 4-Pillar Hybrid Valuation Engine</w:t>
      </w:r>
    </w:p>
    <w:p>
      <w:pPr>
        <w:spacing w:before="0" w:after="120" w:line="276" w:lineRule="auto"/>
        <w:jc w:val="both"/>
      </w:pPr>
      <w:r>
        <w:rPr>
          <w:rFonts w:ascii="Calibri" w:hAnsi="Calibri"/>
          <w:color w:val="2D3748"/>
          <w:sz w:val="22"/>
        </w:rPr>
        <w:t>The core intellectual contribution of GemForecast AI is the four-pillar hybrid valuation architecture embodied in `ValuationEngine.calculate_valuation`. Rather than trusting a solitary model, the engine synthesizes four independent lines of valuation evidence:</w:t>
      </w:r>
    </w:p>
    <w:p>
      <w:pPr>
        <w:spacing w:before="160" w:after="80"/>
        <w:jc w:val="center"/>
      </w:pPr>
      <w:r>
        <w:drawing>
          <wp:inline xmlns:a="http://schemas.openxmlformats.org/drawingml/2006/main" xmlns:pic="http://schemas.openxmlformats.org/drawingml/2006/picture">
            <wp:extent cx="5486400" cy="2749747"/>
            <wp:docPr id="2" name="Picture 2"/>
            <wp:cNvGraphicFramePr>
              <a:graphicFrameLocks noChangeAspect="1"/>
            </wp:cNvGraphicFramePr>
            <a:graphic>
              <a:graphicData uri="http://schemas.openxmlformats.org/drawingml/2006/picture">
                <pic:pic>
                  <pic:nvPicPr>
                    <pic:cNvPr id="0" name="four_pillars_flow.png"/>
                    <pic:cNvPicPr/>
                  </pic:nvPicPr>
                  <pic:blipFill>
                    <a:blip r:embed="rId10"/>
                    <a:stretch>
                      <a:fillRect/>
                    </a:stretch>
                  </pic:blipFill>
                  <pic:spPr>
                    <a:xfrm>
                      <a:off x="0" y="0"/>
                      <a:ext cx="5486400" cy="2749747"/>
                    </a:xfrm>
                    <a:prstGeom prst="rect"/>
                  </pic:spPr>
                </pic:pic>
              </a:graphicData>
            </a:graphic>
          </wp:inline>
        </w:drawing>
      </w:r>
    </w:p>
    <w:p>
      <w:pPr>
        <w:spacing w:before="40" w:after="200"/>
        <w:jc w:val="center"/>
      </w:pPr>
      <w:r>
        <w:rPr>
          <w:i/>
          <w:color w:val="4A5568"/>
          <w:sz w:val="19"/>
        </w:rPr>
        <w:t>Figure 5.2: 4-Pillar Hybrid Valuation Synthesis and Weight Allocation Flowchart</w:t>
      </w:r>
    </w:p>
    <w:p>
      <w:pPr>
        <w:spacing w:before="0" w:after="120" w:line="276" w:lineRule="auto"/>
        <w:jc w:val="both"/>
      </w:pPr>
      <w:r>
        <w:rPr>
          <w:rFonts w:ascii="Calibri" w:hAnsi="Calibri"/>
          <w:color w:val="2D3748"/>
          <w:sz w:val="22"/>
        </w:rPr>
        <w:t>The mathematical synthesis for composite Fair Market Value ($V_{fair}$) is defined as follows:</w:t>
      </w:r>
    </w:p>
    <w:p>
      <w:pPr>
        <w:spacing w:before="0" w:after="120" w:line="276" w:lineRule="auto"/>
        <w:jc w:val="both"/>
      </w:pPr>
      <w:r>
        <w:rPr>
          <w:rFonts w:ascii="Calibri" w:hAnsi="Calibri"/>
          <w:b/>
          <w:color w:val="1A365D"/>
          <w:sz w:val="22"/>
        </w:rPr>
        <w:t xml:space="preserve">Natural Formulation: </w:t>
      </w:r>
      <w:r>
        <w:rPr>
          <w:rFonts w:ascii="Calibri" w:hAnsi="Calibri"/>
          <w:color w:val="2D3748"/>
          <w:sz w:val="22"/>
        </w:rPr>
        <w:t xml:space="preserve">For Natural Mined Diamonds: </w:t>
      </w:r>
    </w:p>
    <w:p>
      <w:pPr>
        <w:spacing w:before="0" w:after="120" w:line="276" w:lineRule="auto"/>
        <w:jc w:val="both"/>
      </w:pPr>
      <w:r>
        <w:rPr>
          <w:rFonts w:ascii="Calibri" w:hAnsi="Calibri"/>
          <w:color w:val="2D3748"/>
          <w:sz w:val="22"/>
        </w:rPr>
        <w:t>V_{fair}^{Natural} = 0.55 \cdot W_{BDB} + 0.30 \cdot C_{median} + 0.15 \cdot M_{baseline}</w:t>
      </w:r>
    </w:p>
    <w:p>
      <w:pPr>
        <w:spacing w:before="0" w:after="120" w:line="276" w:lineRule="auto"/>
        <w:jc w:val="both"/>
      </w:pPr>
      <w:r>
        <w:rPr>
          <w:rFonts w:ascii="Calibri" w:hAnsi="Calibri"/>
          <w:color w:val="2D3748"/>
          <w:sz w:val="22"/>
        </w:rPr>
        <w:t>Where $W_{BDB}$ represents the live Mumbai Bharat Diamond Bourse wholesale benchmark, $C_{median}$ represents the median price of empirical historical comparables within a ±10% carat window, and $M_{baseline}$ represents the ordinal scikit-learn regression baseline in INR.</w:t>
      </w:r>
    </w:p>
    <w:p>
      <w:pPr>
        <w:spacing w:before="0" w:after="120" w:line="276" w:lineRule="auto"/>
        <w:jc w:val="both"/>
      </w:pPr>
      <w:r>
        <w:rPr>
          <w:rFonts w:ascii="Calibri" w:hAnsi="Calibri"/>
          <w:b/>
          <w:color w:val="1A365D"/>
          <w:sz w:val="22"/>
        </w:rPr>
        <w:t xml:space="preserve">Lab-Grown Formulation: </w:t>
      </w:r>
      <w:r>
        <w:rPr>
          <w:rFonts w:ascii="Calibri" w:hAnsi="Calibri"/>
          <w:color w:val="2D3748"/>
          <w:sz w:val="22"/>
        </w:rPr>
        <w:t xml:space="preserve">For Lab-Grown Diamonds (LGD): </w:t>
      </w:r>
    </w:p>
    <w:p>
      <w:pPr>
        <w:spacing w:before="0" w:after="120" w:line="276" w:lineRule="auto"/>
        <w:jc w:val="both"/>
      </w:pPr>
      <w:r>
        <w:rPr>
          <w:rFonts w:ascii="Calibri" w:hAnsi="Calibri"/>
          <w:color w:val="2D3748"/>
          <w:sz w:val="22"/>
        </w:rPr>
        <w:t>V_{fair}^{LGD} = 0.80 \cdot W_{SDB} + 0.20 \cdot (C_{median} \cdot \gamma_{lgd})</w:t>
      </w:r>
    </w:p>
    <w:p>
      <w:pPr>
        <w:spacing w:before="0" w:after="120" w:line="276" w:lineRule="auto"/>
        <w:jc w:val="both"/>
      </w:pPr>
      <w:r>
        <w:rPr>
          <w:rFonts w:ascii="Calibri" w:hAnsi="Calibri"/>
          <w:color w:val="2D3748"/>
          <w:sz w:val="22"/>
        </w:rPr>
        <w:t>Where $W_{SDB}$ is the Surat Diamond Bourse factory production index (typically ₹9,000–₹48,000/ct), and $\gamma_{lgd} \approx 0.08$ is the empirical lab-grown price discount relative to historical natural comps.</w:t>
      </w:r>
    </w:p>
    <w:p>
      <w:pPr>
        <w:keepNext/>
        <w:spacing w:before="280" w:after="120"/>
      </w:pPr>
      <w:r>
        <w:rPr>
          <w:rFonts w:ascii="Calibri" w:hAnsi="Calibri"/>
          <w:b/>
          <w:color w:val="2B6CB0"/>
          <w:sz w:val="26"/>
        </w:rPr>
        <w:t>5.5 High-Precision Decimal Invoicing &amp; Accounting Tier</w:t>
      </w:r>
    </w:p>
    <w:p>
      <w:pPr>
        <w:spacing w:before="0" w:after="120" w:line="276" w:lineRule="auto"/>
        <w:jc w:val="both"/>
      </w:pPr>
      <w:r>
        <w:rPr>
          <w:rFonts w:ascii="Calibri" w:hAnsi="Calibri"/>
          <w:color w:val="2D3748"/>
          <w:sz w:val="22"/>
        </w:rPr>
        <w:t>Implemented in `JewelleryCalculator`, this tier manages all commercial pricing, labour charges, setting fees, BIS hallmarking charges (₹45 flat per item), promotional discounts, and GST breakdowns. The engine utilizes Python's `Decimal` module with `ROUND_HALF_UP` rounding, ensuring that the fundamental accounting identity holds true to the exact paisa:</w:t>
      </w:r>
    </w:p>
    <w:p>
      <w:pPr>
        <w:spacing w:before="0" w:after="120" w:line="276" w:lineRule="auto"/>
        <w:jc w:val="both"/>
      </w:pPr>
      <w:r>
        <w:rPr>
          <w:rFonts w:ascii="Calibri" w:hAnsi="Calibri"/>
          <w:color w:val="2D3748"/>
          <w:sz w:val="22"/>
        </w:rPr>
        <w:t>\text{Grand Total} = \text{Taxable Subtotal} + \text{CGST} (1.5\%) + \text{SGST} (1.5\%)</w:t>
      </w:r>
    </w:p>
    <w:p>
      <w:pPr>
        <w:keepNext/>
        <w:spacing w:before="280" w:after="120"/>
      </w:pPr>
      <w:r>
        <w:rPr>
          <w:rFonts w:ascii="Calibri" w:hAnsi="Calibri"/>
          <w:b/>
          <w:color w:val="2B6CB0"/>
          <w:sz w:val="26"/>
        </w:rPr>
        <w:t>5.6 Conversational Trade Advisor Agent Architecture</w:t>
      </w:r>
    </w:p>
    <w:p>
      <w:pPr>
        <w:spacing w:before="0" w:after="120" w:line="276" w:lineRule="auto"/>
        <w:jc w:val="both"/>
      </w:pPr>
      <w:r>
        <w:rPr>
          <w:rFonts w:ascii="Calibri" w:hAnsi="Calibri"/>
          <w:color w:val="2D3748"/>
          <w:sz w:val="22"/>
        </w:rPr>
        <w:t>The conversational agent (`AITradeAdvisorAgent`) provides an interactive interface for jewellers navigating complex trade negotiations. It features:</w:t>
      </w:r>
    </w:p>
    <w:p>
      <w:pPr>
        <w:pStyle w:val="ListBullet"/>
        <w:spacing w:before="40" w:after="60" w:line="276" w:lineRule="auto"/>
        <w:jc w:val="both"/>
      </w:pPr>
      <w:r>
        <w:rPr>
          <w:rFonts w:ascii="Calibri" w:hAnsi="Calibri"/>
          <w:b/>
          <w:color w:val="1A365D"/>
          <w:sz w:val="21"/>
        </w:rPr>
        <w:t xml:space="preserve">Persistent SQLite Conversation Memory: </w:t>
      </w:r>
      <w:r>
        <w:rPr>
          <w:rFonts w:ascii="Calibri" w:hAnsi="Calibri"/>
          <w:color w:val="2D3748"/>
          <w:sz w:val="21"/>
        </w:rPr>
        <w:t>Maintains full multi-turn session histories across browser reloads.</w:t>
      </w:r>
    </w:p>
    <w:p>
      <w:pPr>
        <w:pStyle w:val="ListBullet"/>
        <w:spacing w:before="40" w:after="60" w:line="276" w:lineRule="auto"/>
        <w:jc w:val="both"/>
      </w:pPr>
      <w:r>
        <w:rPr>
          <w:rFonts w:ascii="Calibri" w:hAnsi="Calibri"/>
          <w:b/>
          <w:color w:val="1A365D"/>
          <w:sz w:val="21"/>
        </w:rPr>
        <w:t xml:space="preserve">Autonomous Function Calling: </w:t>
      </w:r>
      <w:r>
        <w:rPr>
          <w:rFonts w:ascii="Calibri" w:hAnsi="Calibri"/>
          <w:color w:val="2D3748"/>
          <w:sz w:val="21"/>
        </w:rPr>
        <w:t>Equipped with deterministic tools (`get_live_bullion_rates`, `get_diamond_market_quote`, `calculate_jewellery_quotation`) to fetch live ground-truth data before generating advice.</w:t>
      </w:r>
    </w:p>
    <w:p>
      <w:pPr>
        <w:pStyle w:val="ListBullet"/>
        <w:spacing w:before="40" w:after="60" w:line="276" w:lineRule="auto"/>
        <w:jc w:val="both"/>
      </w:pPr>
      <w:r>
        <w:rPr>
          <w:rFonts w:ascii="Calibri" w:hAnsi="Calibri"/>
          <w:b/>
          <w:color w:val="1A365D"/>
          <w:sz w:val="21"/>
        </w:rPr>
        <w:t xml:space="preserve">Multi-Provider LLM Orchestration: </w:t>
      </w:r>
      <w:r>
        <w:rPr>
          <w:rFonts w:ascii="Calibri" w:hAnsi="Calibri"/>
          <w:color w:val="2D3748"/>
          <w:sz w:val="21"/>
        </w:rPr>
        <w:t>Connects to Google Gemini API (gemini-2.5-flash) and Groq API (llama-3.3-70b-versatile) with graceful fallback to local gemological heuristic reasoning.</w:t>
      </w:r>
    </w:p>
    <w:p>
      <w:pPr>
        <w:keepNext/>
        <w:spacing w:before="280" w:after="120"/>
      </w:pPr>
      <w:r>
        <w:rPr>
          <w:rFonts w:ascii="Calibri" w:hAnsi="Calibri"/>
          <w:b/>
          <w:color w:val="2B6CB0"/>
          <w:sz w:val="26"/>
        </w:rPr>
        <w:t>5.7 Relational Database Schema Design</w:t>
      </w:r>
    </w:p>
    <w:p>
      <w:pPr>
        <w:spacing w:before="0" w:after="120" w:line="276" w:lineRule="auto"/>
        <w:jc w:val="both"/>
      </w:pPr>
      <w:r>
        <w:rPr>
          <w:rFonts w:ascii="Calibri" w:hAnsi="Calibri"/>
          <w:color w:val="2D3748"/>
          <w:sz w:val="22"/>
        </w:rPr>
        <w:t>The system uses SQLite (`artifacts/jeweller_workspace.db`) structured across five normalized relational tables:</w:t>
      </w:r>
    </w:p>
    <w:p>
      <w:pPr>
        <w:pStyle w:val="ListBullet"/>
        <w:spacing w:before="40" w:after="60" w:line="276" w:lineRule="auto"/>
        <w:jc w:val="both"/>
      </w:pPr>
      <w:r>
        <w:rPr>
          <w:rFonts w:ascii="Calibri" w:hAnsi="Calibri"/>
          <w:b/>
          <w:color w:val="1A365D"/>
          <w:sz w:val="21"/>
        </w:rPr>
        <w:t xml:space="preserve">1. users: </w:t>
      </w:r>
      <w:r>
        <w:rPr>
          <w:rFonts w:ascii="Calibri" w:hAnsi="Calibri"/>
          <w:color w:val="2D3748"/>
          <w:sz w:val="21"/>
        </w:rPr>
        <w:t>Manages jeweller authentication credentials (`id`, `email`, `password_hash`, `store_name`, `city`, `phone`, `gstin`, `created_at`).</w:t>
      </w:r>
    </w:p>
    <w:p>
      <w:pPr>
        <w:pStyle w:val="ListBullet"/>
        <w:spacing w:before="40" w:after="60" w:line="276" w:lineRule="auto"/>
        <w:jc w:val="both"/>
      </w:pPr>
      <w:r>
        <w:rPr>
          <w:rFonts w:ascii="Calibri" w:hAnsi="Calibri"/>
          <w:b/>
          <w:color w:val="1A365D"/>
          <w:sz w:val="21"/>
        </w:rPr>
        <w:t xml:space="preserve">2. inventory: </w:t>
      </w:r>
      <w:r>
        <w:rPr>
          <w:rFonts w:ascii="Calibri" w:hAnsi="Calibri"/>
          <w:color w:val="2D3748"/>
          <w:sz w:val="21"/>
        </w:rPr>
        <w:t>Tracks in-stock and memo diamond items (`id`, `jeweller_id`, `report_number`, `carat`, `color`, `clarity`, `cut`, `origin_type`, `cost_price_inr`, `asking_price_inr`, `status`, `added_date`).</w:t>
      </w:r>
    </w:p>
    <w:p>
      <w:pPr>
        <w:pStyle w:val="ListBullet"/>
        <w:spacing w:before="40" w:after="60" w:line="276" w:lineRule="auto"/>
        <w:jc w:val="both"/>
      </w:pPr>
      <w:r>
        <w:rPr>
          <w:rFonts w:ascii="Calibri" w:hAnsi="Calibri"/>
          <w:b/>
          <w:color w:val="1A365D"/>
          <w:sz w:val="21"/>
        </w:rPr>
        <w:t xml:space="preserve">3. invoices: </w:t>
      </w:r>
      <w:r>
        <w:rPr>
          <w:rFonts w:ascii="Calibri" w:hAnsi="Calibri"/>
          <w:color w:val="2D3748"/>
          <w:sz w:val="21"/>
        </w:rPr>
        <w:t>Stores sequential billing history (`id`, `invoice_number`, `jeweller_id`, `customer_name`, `customer_phone`, `grand_total`, `taxable_amount`, `gst_amount`, `items_json`, `share_token`, `created_at`).</w:t>
      </w:r>
    </w:p>
    <w:p>
      <w:pPr>
        <w:pStyle w:val="ListBullet"/>
        <w:spacing w:before="40" w:after="60" w:line="276" w:lineRule="auto"/>
        <w:jc w:val="both"/>
      </w:pPr>
      <w:r>
        <w:rPr>
          <w:rFonts w:ascii="Calibri" w:hAnsi="Calibri"/>
          <w:b/>
          <w:color w:val="1A365D"/>
          <w:sz w:val="21"/>
        </w:rPr>
        <w:t xml:space="preserve">4. conversations &amp; chat_messages: </w:t>
      </w:r>
      <w:r>
        <w:rPr>
          <w:rFonts w:ascii="Calibri" w:hAnsi="Calibri"/>
          <w:color w:val="2D3748"/>
          <w:sz w:val="21"/>
        </w:rPr>
        <w:t>Preserves multi-turn LLM session state (`session_id`, `jeweller_id`, `role`, `content`, `tool_calls_json`, `timestamp`).</w:t>
      </w:r>
    </w:p>
    <w:p>
      <w:r>
        <w:br w:type="page"/>
      </w:r>
    </w:p>
    <w:p>
      <w:pPr>
        <w:keepNext/>
        <w:spacing w:before="360" w:after="160"/>
      </w:pPr>
      <w:r>
        <w:rPr>
          <w:rFonts w:ascii="Calibri" w:hAnsi="Calibri"/>
          <w:b/>
          <w:color w:val="1A365D"/>
          <w:sz w:val="32"/>
        </w:rPr>
        <w:t>CHAPTER 6: PROPOSED METHODOLOGY AND ALGORITHMS</w:t>
      </w:r>
    </w:p>
    <w:p>
      <w:pPr>
        <w:keepNext/>
        <w:spacing w:before="280" w:after="120"/>
      </w:pPr>
      <w:r>
        <w:rPr>
          <w:rFonts w:ascii="Calibri" w:hAnsi="Calibri"/>
          <w:b/>
          <w:color w:val="2B6CB0"/>
          <w:sz w:val="26"/>
        </w:rPr>
        <w:t>6.1 Mathematical Formulation of Valuation &amp; Loss Functions</w:t>
      </w:r>
    </w:p>
    <w:p>
      <w:pPr>
        <w:spacing w:before="0" w:after="120" w:line="276" w:lineRule="auto"/>
        <w:jc w:val="both"/>
      </w:pPr>
      <w:r>
        <w:rPr>
          <w:rFonts w:ascii="Calibri" w:hAnsi="Calibri"/>
          <w:color w:val="2D3748"/>
          <w:sz w:val="22"/>
        </w:rPr>
        <w:t>The supervised machine learning task consists of learning a mapping function $f: \mathbb{R}^d \to \mathbb{R}^+$ from a 9-dimensional gemological feature vector $\mathbf{x} = [\text{carat}, \text{cut}, \text{color}, \text{clarity}, \text{depth}, \text{table}, x, y, z]$ to diamond price $y \in \mathbb{R}^+$. The optimization objective minimizes the regularized empirical risk:</w:t>
      </w:r>
    </w:p>
    <w:p>
      <w:pPr>
        <w:spacing w:before="0" w:after="120" w:line="276" w:lineRule="auto"/>
        <w:jc w:val="both"/>
      </w:pPr>
      <w:r>
        <w:rPr>
          <w:rFonts w:ascii="Calibri" w:hAnsi="Calibri"/>
          <w:color w:val="2D3748"/>
          <w:sz w:val="22"/>
        </w:rPr>
        <w:t>\min_{\mathbf{w}, b} \frac{1}{2N} \sum_{i=1}^N \left( y_i - (\mathbf{w}^T \mathbf{x}_i + b) \right)^2 + \lambda \Omega(\mathbf{w})</w:t>
      </w:r>
    </w:p>
    <w:p>
      <w:pPr>
        <w:spacing w:before="0" w:after="120" w:line="276" w:lineRule="auto"/>
        <w:jc w:val="both"/>
      </w:pPr>
      <w:r>
        <w:rPr>
          <w:rFonts w:ascii="Calibri" w:hAnsi="Calibri"/>
          <w:color w:val="2D3748"/>
          <w:sz w:val="22"/>
        </w:rPr>
        <w:t>Where $\Omega(\mathbf{w}) = ||\mathbf{w}||_1$ for Lasso (L1 regularization), encouraging sparse feature selection, and $\Omega(\mathbf{w}) = ||\mathbf{w}||_2^2$ for Ridge (L2 regularization), controlling multicollinearity among collinear diamond spatial dimensions ($x, y, z$).</w:t>
      </w:r>
    </w:p>
    <w:p>
      <w:pPr>
        <w:keepNext/>
        <w:spacing w:before="280" w:after="120"/>
      </w:pPr>
      <w:r>
        <w:rPr>
          <w:rFonts w:ascii="Calibri" w:hAnsi="Calibri"/>
          <w:b/>
          <w:color w:val="2B6CB0"/>
          <w:sz w:val="26"/>
        </w:rPr>
        <w:t>6.2 Data Ingestion &amp; Preprocessing Pipeline</w:t>
      </w:r>
    </w:p>
    <w:p>
      <w:pPr>
        <w:spacing w:before="0" w:after="120" w:line="276" w:lineRule="auto"/>
        <w:jc w:val="both"/>
      </w:pPr>
      <w:r>
        <w:rPr>
          <w:rFonts w:ascii="Calibri" w:hAnsi="Calibri"/>
          <w:color w:val="2D3748"/>
          <w:sz w:val="22"/>
        </w:rPr>
        <w:t>Implemented in `DataTransformation.get_transformed_data()`, the data pipeline segregates features into numerical and categorical subsets:</w:t>
      </w:r>
    </w:p>
    <w:p>
      <w:pPr>
        <w:pStyle w:val="ListBullet"/>
        <w:spacing w:before="40" w:after="60" w:line="276" w:lineRule="auto"/>
        <w:jc w:val="both"/>
      </w:pPr>
      <w:r>
        <w:rPr>
          <w:rFonts w:ascii="Calibri" w:hAnsi="Calibri"/>
          <w:b/>
          <w:color w:val="1A365D"/>
          <w:sz w:val="21"/>
        </w:rPr>
        <w:t xml:space="preserve">Numerical Pipeline: </w:t>
      </w:r>
      <w:r>
        <w:rPr>
          <w:rFonts w:ascii="Calibri" w:hAnsi="Calibri"/>
          <w:color w:val="2D3748"/>
          <w:sz w:val="21"/>
        </w:rPr>
        <w:t>Numerical features (`carat`, `depth`, `table`, `x`, `y`, `z`) are processed via `SimpleImputer(strategy='median')` to handle missing values, followed by `StandardScaler()` for zero-mean unit-variance scaling.</w:t>
      </w:r>
    </w:p>
    <w:p>
      <w:pPr>
        <w:pStyle w:val="ListBullet"/>
        <w:spacing w:before="40" w:after="60" w:line="276" w:lineRule="auto"/>
        <w:jc w:val="both"/>
      </w:pPr>
      <w:r>
        <w:rPr>
          <w:rFonts w:ascii="Calibri" w:hAnsi="Calibri"/>
          <w:b/>
          <w:color w:val="1A365D"/>
          <w:sz w:val="21"/>
        </w:rPr>
        <w:t xml:space="preserve">Categorical Pipeline: </w:t>
      </w:r>
      <w:r>
        <w:rPr>
          <w:rFonts w:ascii="Calibri" w:hAnsi="Calibri"/>
          <w:color w:val="2D3748"/>
          <w:sz w:val="21"/>
        </w:rPr>
        <w:t>Categorical features (`cut`, `color`, `clarity`) are strictly encoded using `OrdinalEncoder` respecting gemological hierarchy:</w:t>
      </w:r>
    </w:p>
    <w:p>
      <w:pPr>
        <w:spacing w:before="0" w:after="120" w:line="276" w:lineRule="auto"/>
        <w:jc w:val="both"/>
      </w:pPr>
      <w:r>
        <w:rPr>
          <w:rFonts w:ascii="Calibri" w:hAnsi="Calibri"/>
          <w:color w:val="2D3748"/>
          <w:sz w:val="22"/>
        </w:rPr>
        <w:t>Cut ranks: Fair (0) &lt; Good (1) &lt; Very Good (2) &lt; Premium (3) &lt; Ideal (4)</w:t>
      </w:r>
    </w:p>
    <w:p>
      <w:pPr>
        <w:spacing w:before="0" w:after="120" w:line="276" w:lineRule="auto"/>
        <w:jc w:val="both"/>
      </w:pPr>
      <w:r>
        <w:rPr>
          <w:rFonts w:ascii="Calibri" w:hAnsi="Calibri"/>
          <w:color w:val="2D3748"/>
          <w:sz w:val="22"/>
        </w:rPr>
        <w:t>Color ranks: J (0) &lt; I (1) &lt; H (2) &lt; G (3) &lt; F (4) &lt; E (5) &lt; D (6)</w:t>
      </w:r>
    </w:p>
    <w:p>
      <w:pPr>
        <w:spacing w:before="0" w:after="120" w:line="276" w:lineRule="auto"/>
        <w:jc w:val="both"/>
      </w:pPr>
      <w:r>
        <w:rPr>
          <w:rFonts w:ascii="Calibri" w:hAnsi="Calibri"/>
          <w:color w:val="2D3748"/>
          <w:sz w:val="22"/>
        </w:rPr>
        <w:t>Clarity ranks: I1 (0) &lt; SI2 (1) &lt; SI1 (2) &lt; VS2 (3) &lt; VS1 (4) &lt; VVS2 (5) &lt; VVS1 (6) &lt; IF (7)</w:t>
      </w:r>
    </w:p>
    <w:p>
      <w:pPr>
        <w:spacing w:before="0" w:after="120" w:line="276" w:lineRule="auto"/>
        <w:jc w:val="both"/>
      </w:pPr>
      <w:r>
        <w:rPr>
          <w:rFonts w:ascii="Calibri" w:hAnsi="Calibri"/>
          <w:color w:val="2D3748"/>
          <w:sz w:val="22"/>
        </w:rPr>
        <w:t>Both pipelines are combined via `ColumnTransformer` and serialized into `artifacts/preprocessor.pkl`.</w:t>
      </w:r>
    </w:p>
    <w:p>
      <w:pPr>
        <w:keepNext/>
        <w:spacing w:before="280" w:after="120"/>
      </w:pPr>
      <w:r>
        <w:rPr>
          <w:rFonts w:ascii="Calibri" w:hAnsi="Calibri"/>
          <w:b/>
          <w:color w:val="2B6CB0"/>
          <w:sz w:val="26"/>
        </w:rPr>
        <w:t>6.3 Algorithm 1: Automated IGI Certificate Extraction &amp; Normalization</w:t>
      </w:r>
    </w:p>
    <w:p>
      <w:pPr>
        <w:spacing w:before="0" w:after="120" w:line="276" w:lineRule="auto"/>
        <w:jc w:val="both"/>
      </w:pPr>
      <w:r>
        <w:rPr>
          <w:rFonts w:ascii="Calibri" w:hAnsi="Calibri"/>
          <w:color w:val="2D3748"/>
          <w:sz w:val="22"/>
        </w:rPr>
        <w:t>Algorithm 1 details the deterministic extraction of gemological attributes from raw PDF certificates.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F497D"/>
              <w:bottom w:val="none"/>
              <w:right w:val="none"/>
            </w:tcBorders>
          </w:tcPr>
          <w:p>
            <w:pPr>
              <w:spacing w:before="60" w:after="60" w:line="276" w:lineRule="auto"/>
            </w:pPr>
            <w:r>
              <w:rPr>
                <w:rFonts w:ascii="Calibri" w:hAnsi="Calibri"/>
                <w:b/>
                <w:color w:val="1F497D"/>
                <w:sz w:val="20"/>
              </w:rPr>
              <w:t xml:space="preserve">[ALGORITHM 1] </w:t>
            </w:r>
            <w:r>
              <w:rPr>
                <w:rFonts w:ascii="Calibri" w:hAnsi="Calibri"/>
                <w:color w:val="2C3E50"/>
                <w:sz w:val="20"/>
              </w:rPr>
              <w:t>Algorithm 1: IGI Certificate PDF Extraction &amp; Normalization</w:t>
              <w:br/>
              <w:t>Input: Raw PDF binary byte stream B_pdf</w:t>
              <w:br/>
              <w:t>Output: Normalized Diamond Specification Dictionary D_spec</w:t>
              <w:br/>
              <w:t>1: Initialize reader = pypdf.PdfReader(io.BytesIO(B_pdf))</w:t>
              <w:br/>
              <w:t>2: Extract concatenated text string T = sum(page.extract_text() for page in reader.pages)</w:t>
              <w:br/>
              <w:t>3: report_number = regex_match(r'(\d{9,10}|LG\d{8,10})', T)</w:t>
              <w:br/>
              <w:t>4: carat = float(regex_match(r'(\d+\.\d{2})\s*(?:Carat|ct)', T))</w:t>
              <w:br/>
              <w:t>5: color = regex_match(r'\b([D-Z])\s+Color\b', T)</w:t>
              <w:br/>
              <w:t>6: clarity = regex_match(r'\b(IF|VVS[12]|VS[12]|SI[12]|I[1-3])\b', T)</w:t>
              <w:br/>
              <w:t>7: cut = regex_match(r'\b(Ideal|Excellent|Very Good|Good|Fair)\b', T)</w:t>
              <w:br/>
              <w:t>8: table_pct, depth_pct = extract_proportions(T)</w:t>
              <w:br/>
              <w:t>9: x, y, z = extract_measurements(r'(\d+\.\d{2})\s*-\s*(\d+\.\d{2})\s*x\s*(\d+\.\d{2})\s*mm', T)</w:t>
              <w:br/>
              <w:t>10: is_lab = ('LABORATORY GROWN' in T) or ('CVD' in T) or ('HPHT' in T) or report_number.startswith('LG')</w:t>
              <w:br/>
              <w:t>11: return D_spec = {report_number, carat, color, clarity, cut, table_pct, depth_pct, x, y, z, origin: 'Lab-Grown' if is_lab else 'Natural'}</w:t>
            </w:r>
          </w:p>
        </w:tc>
      </w:tr>
    </w:tbl>
    <w:p>
      <w:pPr>
        <w:spacing w:before="0" w:after="80"/>
      </w:pPr>
    </w:p>
    <w:p>
      <w:pPr>
        <w:keepNext/>
        <w:spacing w:before="280" w:after="120"/>
      </w:pPr>
      <w:r>
        <w:rPr>
          <w:rFonts w:ascii="Calibri" w:hAnsi="Calibri"/>
          <w:b/>
          <w:color w:val="2B6CB0"/>
          <w:sz w:val="26"/>
        </w:rPr>
        <w:t>6.4 Algorithm 2: 4-Pillar Hybrid Valuation with AI Face Score Layer</w:t>
      </w:r>
    </w:p>
    <w:p>
      <w:pPr>
        <w:spacing w:before="0" w:after="120" w:line="276" w:lineRule="auto"/>
        <w:jc w:val="both"/>
      </w:pPr>
      <w:r>
        <w:rPr>
          <w:rFonts w:ascii="Calibri" w:hAnsi="Calibri"/>
          <w:color w:val="2D3748"/>
          <w:sz w:val="22"/>
        </w:rPr>
        <w:t>Algorithm 2 executes multi-pillar synthesis and computes commercial jeweller acquisition targets.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F497D"/>
              <w:bottom w:val="none"/>
              <w:right w:val="none"/>
            </w:tcBorders>
          </w:tcPr>
          <w:p>
            <w:pPr>
              <w:spacing w:before="60" w:after="60" w:line="276" w:lineRule="auto"/>
            </w:pPr>
            <w:r>
              <w:rPr>
                <w:rFonts w:ascii="Calibri" w:hAnsi="Calibri"/>
                <w:b/>
                <w:color w:val="1F497D"/>
                <w:sz w:val="20"/>
              </w:rPr>
              <w:t xml:space="preserve">[ALGORITHM 2] </w:t>
            </w:r>
            <w:r>
              <w:rPr>
                <w:rFonts w:ascii="Calibri" w:hAnsi="Calibri"/>
                <w:color w:val="2C3E50"/>
                <w:sz w:val="20"/>
              </w:rPr>
              <w:t>Algorithm 2: 4-Pillar Hybrid Valuation &amp; AI Deal Formulation</w:t>
              <w:br/>
              <w:t>Input: D_spec, ML baseline model M, Historical Comps Database DB_comps, Live FX Rate R_usd_inr</w:t>
              <w:br/>
              <w:t>Output: Appraisal Dossier {FairMarket, SuggestedBuy, SuggestedSell, Profit, MarginPct, GST}</w:t>
              <w:br/>
              <w:t>1: W_inr = IndianMarketService.get_wholesale_quote(D_spec)</w:t>
              <w:br/>
              <w:t>2: C_stats = DB_comps.query_median(D_spec.carat ± 10%, D_spec.color, D_spec.clarity)</w:t>
              <w:br/>
              <w:t>3: X_scaled = preprocessor.transform(D_spec)</w:t>
              <w:br/>
              <w:t>4: ML_inr = M.predict(X_scaled) * R_usd_inr * (0.08 if D_spec.is_lab else 1.0)</w:t>
              <w:br/>
              <w:t>5: if D_spec.is_lab then</w:t>
              <w:br/>
              <w:t>6:     V_fair = round(0.80 * W_inr + 0.20 * C_stats.median * 0.08)</w:t>
              <w:br/>
              <w:t>7: else</w:t>
              <w:br/>
              <w:t>8:     V_fair = round(0.55 * W_inr + 0.30 * C_stats.median + 0.15 * ML_inr)</w:t>
              <w:br/>
              <w:t>9: Score_face = StyleValueService.compute_face_score(D_spec)  // 0 to 100 based on Tolkowsky optics</w:t>
              <w:br/>
              <w:t>10: SuggestedBuy = round(V_fair * (0.88 if D_spec.is_lab else 0.90))</w:t>
              <w:br/>
              <w:t>11: SuggestedSell = round(V_fair * (1.0 + TargetMarkupPct / 100.0))</w:t>
              <w:br/>
              <w:t>12: Profit = SuggestedSell - SuggestedBuy</w:t>
              <w:br/>
              <w:t>13: GST_amount = round(SuggestedSell * 0.03)  // 3% Diamond GST</w:t>
              <w:br/>
              <w:t>14: return Dossier {V_fair, SuggestedBuy, SuggestedSell, Profit, MarginPct, GST_amount, Score_face}</w:t>
            </w:r>
          </w:p>
        </w:tc>
      </w:tr>
    </w:tbl>
    <w:p>
      <w:pPr>
        <w:spacing w:before="0" w:after="80"/>
      </w:pPr>
    </w:p>
    <w:p>
      <w:pPr>
        <w:keepNext/>
        <w:spacing w:before="280" w:after="120"/>
      </w:pPr>
      <w:r>
        <w:rPr>
          <w:rFonts w:ascii="Calibri" w:hAnsi="Calibri"/>
          <w:b/>
          <w:color w:val="2B6CB0"/>
          <w:sz w:val="26"/>
        </w:rPr>
        <w:t>6.5 Algorithm 3: High-Precision Decimal Costing &amp; GST Invoice Computation</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F497D"/>
              <w:bottom w:val="none"/>
              <w:right w:val="none"/>
            </w:tcBorders>
          </w:tcPr>
          <w:p>
            <w:pPr>
              <w:spacing w:before="60" w:after="60" w:line="276" w:lineRule="auto"/>
            </w:pPr>
            <w:r>
              <w:rPr>
                <w:rFonts w:ascii="Calibri" w:hAnsi="Calibri"/>
                <w:b/>
                <w:color w:val="1F497D"/>
                <w:sz w:val="20"/>
              </w:rPr>
              <w:t xml:space="preserve">[ALGORITHM 3] </w:t>
            </w:r>
            <w:r>
              <w:rPr>
                <w:rFonts w:ascii="Calibri" w:hAnsi="Calibri"/>
                <w:color w:val="2C3E50"/>
                <w:sz w:val="20"/>
              </w:rPr>
              <w:t>Algorithm 3: Decimal Jewellery Costing &amp; Composite Tax Allocation</w:t>
              <w:br/>
              <w:t>Input: Metal_Params, Diamond_Params, Gemstone_Params, Making_Params, Discount_Params</w:t>
              <w:br/>
              <w:t>Output: Strict Decimal Line Items &amp; Tax Breakdown</w:t>
              <w:br/>
              <w:t>1: net_weight = Decimal(Metal_Params.net_weight)</w:t>
              <w:br/>
              <w:t>2: gross_weight = net_weight * (1 + Decimal(Metal_Params.wastage_pct) / 100)</w:t>
              <w:br/>
              <w:t>3: metal_cost = (gross_weight * Decimal(Metal_Params.rate_per_g)).quantize(Decimal('0.01'), ROUND_HALF_UP)</w:t>
              <w:br/>
              <w:t>4: diamond_cost = (Decimal(Diamond_Params.carat) * Decimal(Diamond_Params.rate_per_ct)).quantize(Decimal('0.01'), ROUND_HALF_UP)</w:t>
              <w:br/>
              <w:t>5: making_charges = (net_weight * Decimal(Making_Params.rate_per_g)).quantize(Decimal('0.01'), ROUND_HALF_UP)</w:t>
              <w:br/>
              <w:t>6: pre_tax_subtotal = metal_cost + diamond_cost + making_charges + Decimal('45.00')  // BIS Hallmark</w:t>
              <w:br/>
              <w:t>7: taxable_amount = pre_tax_subtotal - Decimal(Discount_Params.discount_amount)</w:t>
              <w:br/>
              <w:t>8: cgst = (taxable_amount * Decimal('0.015')).quantize(Decimal('0.01'), ROUND_HALF_UP)</w:t>
              <w:br/>
              <w:t>9: sgst = (taxable_amount * Decimal('0.015')).quantize(Decimal('0.01'), ROUND_HALF_UP)</w:t>
              <w:br/>
              <w:t>10: grand_total = taxable_amount + cgst + sgst</w:t>
              <w:br/>
              <w:t>11: return {metal_cost, diamond_cost, making_charges, taxable_amount, cgst, sgst, grand_total}</w:t>
            </w:r>
          </w:p>
        </w:tc>
      </w:tr>
    </w:tbl>
    <w:p>
      <w:pPr>
        <w:spacing w:before="0" w:after="80"/>
      </w:pPr>
    </w:p>
    <w:p>
      <w:pPr>
        <w:keepNext/>
        <w:spacing w:before="280" w:after="120"/>
      </w:pPr>
      <w:r>
        <w:rPr>
          <w:rFonts w:ascii="Calibri" w:hAnsi="Calibri"/>
          <w:b/>
          <w:color w:val="2B6CB0"/>
          <w:sz w:val="26"/>
        </w:rPr>
        <w:t>6.6 Algorithm 4: LLM-Driven Trade Advisory with Multi-Turn Tool Calling</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F497D"/>
              <w:bottom w:val="none"/>
              <w:right w:val="none"/>
            </w:tcBorders>
          </w:tcPr>
          <w:p>
            <w:pPr>
              <w:spacing w:before="60" w:after="60" w:line="276" w:lineRule="auto"/>
            </w:pPr>
            <w:r>
              <w:rPr>
                <w:rFonts w:ascii="Calibri" w:hAnsi="Calibri"/>
                <w:b/>
                <w:color w:val="1F497D"/>
                <w:sz w:val="20"/>
              </w:rPr>
              <w:t xml:space="preserve">[ALGORITHM 4] </w:t>
            </w:r>
            <w:r>
              <w:rPr>
                <w:rFonts w:ascii="Calibri" w:hAnsi="Calibri"/>
                <w:color w:val="2C3E50"/>
                <w:sz w:val="20"/>
              </w:rPr>
              <w:t>Algorithm 4: Conversational LLM Tool-Calling Engine</w:t>
              <w:br/>
              <w:t>Input: User Message M_user, Session ID S_id, Database DB</w:t>
              <w:br/>
              <w:t>Output: Verified Gemological Trade Response R_agent</w:t>
              <w:br/>
              <w:t>1: history = DB.fetch_recent_turns(S_id, limit=10)</w:t>
              <w:br/>
              <w:t>2: prompt = assemble_system_prompt(SYSTEM_INSTRUCTION, history, M_user)</w:t>
              <w:br/>
              <w:t>3: response = LLM.generate(prompt, tools=TOOLS_DECLARATIONS)</w:t>
              <w:br/>
              <w:t>4: while response.has_tool_call() do</w:t>
              <w:br/>
              <w:t>5:     tool_name, args = response.get_tool_call()</w:t>
              <w:br/>
              <w:t>6:     tool_result = execute_internal_service(tool_name, args)  // BDB, IBJA, or Calculator</w:t>
              <w:br/>
              <w:t>7:     response = LLM.continue_turn(tool_name, tool_result)</w:t>
              <w:br/>
              <w:t>8: end while</w:t>
              <w:br/>
              <w:t>9: DB.persist_turn(S_id, role='assistant', content=response.text)</w:t>
              <w:br/>
              <w:t>10: return response.text</w:t>
            </w:r>
          </w:p>
        </w:tc>
      </w:tr>
    </w:tbl>
    <w:p>
      <w:pPr>
        <w:spacing w:before="0" w:after="80"/>
      </w:pPr>
    </w:p>
    <w:p>
      <w:r>
        <w:br w:type="page"/>
      </w:r>
    </w:p>
    <w:p>
      <w:pPr>
        <w:keepNext/>
        <w:spacing w:before="360" w:after="160"/>
      </w:pPr>
      <w:r>
        <w:rPr>
          <w:rFonts w:ascii="Calibri" w:hAnsi="Calibri"/>
          <w:b/>
          <w:color w:val="1A365D"/>
          <w:sz w:val="32"/>
        </w:rPr>
        <w:t>CHAPTER 7: TECH STACK AND IMPLEMENTATION DETAILS</w:t>
      </w:r>
    </w:p>
    <w:p>
      <w:pPr>
        <w:keepNext/>
        <w:spacing w:before="280" w:after="120"/>
      </w:pPr>
      <w:r>
        <w:rPr>
          <w:rFonts w:ascii="Calibri" w:hAnsi="Calibri"/>
          <w:b/>
          <w:color w:val="2B6CB0"/>
          <w:sz w:val="26"/>
        </w:rPr>
        <w:t>7.1 Technology Stack Selection Rationale</w:t>
      </w:r>
    </w:p>
    <w:p>
      <w:pPr>
        <w:spacing w:before="0" w:after="120" w:line="276" w:lineRule="auto"/>
        <w:jc w:val="both"/>
      </w:pPr>
      <w:r>
        <w:rPr>
          <w:rFonts w:ascii="Calibri" w:hAnsi="Calibri"/>
          <w:color w:val="2D3748"/>
          <w:sz w:val="22"/>
        </w:rPr>
        <w:t>The technical stack for GemForecast AI was curated to deliver high computational efficiency, enterprise stability, and strict financial auditability without bloated dependencies. Table 7.1 outlines the primary stack components.</w:t>
      </w:r>
    </w:p>
    <w:tbl>
      <w:tblPr>
        <w:tblW w:type="auto" w:w="0"/>
        <w:jc w:val="center"/>
        <w:tblLook w:firstColumn="1" w:firstRow="1" w:lastColumn="0" w:lastRow="0" w:noHBand="0" w:noVBand="1" w:val="04A0"/>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Pr>
      <w:tblGrid>
        <w:gridCol w:w="2340"/>
        <w:gridCol w:w="2340"/>
        <w:gridCol w:w="2340"/>
        <w:gridCol w:w="2340"/>
      </w:tblGrid>
      <w:tr>
        <w:tc>
          <w:tcPr>
            <w:tcW w:type="dxa" w:w="2160"/>
            <w:shd w:fill="1A365D"/>
            <w:tcMar>
              <w:top w:w="120" w:type="dxa"/>
              <w:bottom w:w="120" w:type="dxa"/>
              <w:left w:w="140" w:type="dxa"/>
              <w:right w:w="140" w:type="dxa"/>
            </w:tcMar>
          </w:tcPr>
          <w:p>
            <w:pPr>
              <w:jc w:val="left"/>
            </w:pPr>
            <w:r>
              <w:rPr>
                <w:b/>
                <w:color w:val="FFFFFF"/>
                <w:sz w:val="19"/>
              </w:rPr>
              <w:t>Layer</w:t>
            </w:r>
          </w:p>
        </w:tc>
        <w:tc>
          <w:tcPr>
            <w:tcW w:type="dxa" w:w="2160"/>
            <w:shd w:fill="1A365D"/>
            <w:tcMar>
              <w:top w:w="120" w:type="dxa"/>
              <w:bottom w:w="120" w:type="dxa"/>
              <w:left w:w="140" w:type="dxa"/>
              <w:right w:w="140" w:type="dxa"/>
            </w:tcMar>
          </w:tcPr>
          <w:p>
            <w:pPr>
              <w:jc w:val="left"/>
            </w:pPr>
            <w:r>
              <w:rPr>
                <w:b/>
                <w:color w:val="FFFFFF"/>
                <w:sz w:val="19"/>
              </w:rPr>
              <w:t>Technology</w:t>
            </w:r>
          </w:p>
        </w:tc>
        <w:tc>
          <w:tcPr>
            <w:tcW w:type="dxa" w:w="1440"/>
            <w:shd w:fill="1A365D"/>
            <w:tcMar>
              <w:top w:w="120" w:type="dxa"/>
              <w:bottom w:w="120" w:type="dxa"/>
              <w:left w:w="140" w:type="dxa"/>
              <w:right w:w="140" w:type="dxa"/>
            </w:tcMar>
          </w:tcPr>
          <w:p>
            <w:pPr>
              <w:jc w:val="left"/>
            </w:pPr>
            <w:r>
              <w:rPr>
                <w:b/>
                <w:color w:val="FFFFFF"/>
                <w:sz w:val="19"/>
              </w:rPr>
              <w:t>Version</w:t>
            </w:r>
          </w:p>
        </w:tc>
        <w:tc>
          <w:tcPr>
            <w:tcW w:type="dxa" w:w="3600"/>
            <w:shd w:fill="1A365D"/>
            <w:tcMar>
              <w:top w:w="120" w:type="dxa"/>
              <w:bottom w:w="120" w:type="dxa"/>
              <w:left w:w="140" w:type="dxa"/>
              <w:right w:w="140" w:type="dxa"/>
            </w:tcMar>
          </w:tcPr>
          <w:p>
            <w:pPr>
              <w:jc w:val="left"/>
            </w:pPr>
            <w:r>
              <w:rPr>
                <w:b/>
                <w:color w:val="FFFFFF"/>
                <w:sz w:val="19"/>
              </w:rPr>
              <w:t>Selection Rationale</w:t>
            </w:r>
          </w:p>
        </w:tc>
      </w:tr>
      <w:tr>
        <w:tc>
          <w:tcPr>
            <w:tcW w:type="dxa" w:w="2160"/>
            <w:shd w:fill="FFFFFF"/>
            <w:tcMar>
              <w:top w:w="100" w:type="dxa"/>
              <w:bottom w:w="100" w:type="dxa"/>
              <w:left w:w="140" w:type="dxa"/>
              <w:right w:w="140" w:type="dxa"/>
            </w:tcMar>
          </w:tcPr>
          <w:p>
            <w:pPr>
              <w:jc w:val="left"/>
            </w:pPr>
            <w:r>
              <w:rPr>
                <w:color w:val="2D3748"/>
                <w:sz w:val="18"/>
              </w:rPr>
              <w:t>Runtime Environment</w:t>
            </w:r>
          </w:p>
        </w:tc>
        <w:tc>
          <w:tcPr>
            <w:tcW w:type="dxa" w:w="2160"/>
            <w:shd w:fill="FFFFFF"/>
            <w:tcMar>
              <w:top w:w="100" w:type="dxa"/>
              <w:bottom w:w="100" w:type="dxa"/>
              <w:left w:w="140" w:type="dxa"/>
              <w:right w:w="140" w:type="dxa"/>
            </w:tcMar>
          </w:tcPr>
          <w:p>
            <w:pPr>
              <w:jc w:val="left"/>
            </w:pPr>
            <w:r>
              <w:rPr>
                <w:color w:val="2D3748"/>
                <w:sz w:val="18"/>
              </w:rPr>
              <w:t>Python</w:t>
            </w:r>
          </w:p>
        </w:tc>
        <w:tc>
          <w:tcPr>
            <w:tcW w:type="dxa" w:w="1440"/>
            <w:shd w:fill="FFFFFF"/>
            <w:tcMar>
              <w:top w:w="100" w:type="dxa"/>
              <w:bottom w:w="100" w:type="dxa"/>
              <w:left w:w="140" w:type="dxa"/>
              <w:right w:w="140" w:type="dxa"/>
            </w:tcMar>
          </w:tcPr>
          <w:p>
            <w:pPr>
              <w:jc w:val="left"/>
            </w:pPr>
            <w:r>
              <w:rPr>
                <w:color w:val="2D3748"/>
                <w:sz w:val="18"/>
              </w:rPr>
              <w:t>3.13.5</w:t>
            </w:r>
          </w:p>
        </w:tc>
        <w:tc>
          <w:tcPr>
            <w:tcW w:type="dxa" w:w="3600"/>
            <w:shd w:fill="FFFFFF"/>
            <w:tcMar>
              <w:top w:w="100" w:type="dxa"/>
              <w:bottom w:w="100" w:type="dxa"/>
              <w:left w:w="140" w:type="dxa"/>
              <w:right w:w="140" w:type="dxa"/>
            </w:tcMar>
          </w:tcPr>
          <w:p>
            <w:pPr>
              <w:jc w:val="left"/>
            </w:pPr>
            <w:r>
              <w:rPr>
                <w:color w:val="2D3748"/>
                <w:sz w:val="18"/>
              </w:rPr>
              <w:t>High performance, robust standard library, native Decimal support</w:t>
            </w:r>
          </w:p>
        </w:tc>
      </w:tr>
      <w:tr>
        <w:tc>
          <w:tcPr>
            <w:tcW w:type="dxa" w:w="2160"/>
            <w:shd w:fill="F7FAFC"/>
            <w:tcMar>
              <w:top w:w="100" w:type="dxa"/>
              <w:bottom w:w="100" w:type="dxa"/>
              <w:left w:w="140" w:type="dxa"/>
              <w:right w:w="140" w:type="dxa"/>
            </w:tcMar>
          </w:tcPr>
          <w:p>
            <w:pPr>
              <w:jc w:val="left"/>
            </w:pPr>
            <w:r>
              <w:rPr>
                <w:color w:val="2D3748"/>
                <w:sz w:val="18"/>
              </w:rPr>
              <w:t>Web Framework</w:t>
            </w:r>
          </w:p>
        </w:tc>
        <w:tc>
          <w:tcPr>
            <w:tcW w:type="dxa" w:w="2160"/>
            <w:shd w:fill="F7FAFC"/>
            <w:tcMar>
              <w:top w:w="100" w:type="dxa"/>
              <w:bottom w:w="100" w:type="dxa"/>
              <w:left w:w="140" w:type="dxa"/>
              <w:right w:w="140" w:type="dxa"/>
            </w:tcMar>
          </w:tcPr>
          <w:p>
            <w:pPr>
              <w:jc w:val="left"/>
            </w:pPr>
            <w:r>
              <w:rPr>
                <w:color w:val="2D3748"/>
                <w:sz w:val="18"/>
              </w:rPr>
              <w:t>Flask</w:t>
            </w:r>
          </w:p>
        </w:tc>
        <w:tc>
          <w:tcPr>
            <w:tcW w:type="dxa" w:w="1440"/>
            <w:shd w:fill="F7FAFC"/>
            <w:tcMar>
              <w:top w:w="100" w:type="dxa"/>
              <w:bottom w:w="100" w:type="dxa"/>
              <w:left w:w="140" w:type="dxa"/>
              <w:right w:w="140" w:type="dxa"/>
            </w:tcMar>
          </w:tcPr>
          <w:p>
            <w:pPr>
              <w:jc w:val="left"/>
            </w:pPr>
            <w:r>
              <w:rPr>
                <w:color w:val="2D3748"/>
                <w:sz w:val="18"/>
              </w:rPr>
              <w:t>3.1.3</w:t>
            </w:r>
          </w:p>
        </w:tc>
        <w:tc>
          <w:tcPr>
            <w:tcW w:type="dxa" w:w="3600"/>
            <w:shd w:fill="F7FAFC"/>
            <w:tcMar>
              <w:top w:w="100" w:type="dxa"/>
              <w:bottom w:w="100" w:type="dxa"/>
              <w:left w:w="140" w:type="dxa"/>
              <w:right w:w="140" w:type="dxa"/>
            </w:tcMar>
          </w:tcPr>
          <w:p>
            <w:pPr>
              <w:jc w:val="left"/>
            </w:pPr>
            <w:r>
              <w:rPr>
                <w:color w:val="2D3748"/>
                <w:sz w:val="18"/>
              </w:rPr>
              <w:t>Lightweight, WSGI compliant, minimal overhead, rapid routing</w:t>
            </w:r>
          </w:p>
        </w:tc>
      </w:tr>
      <w:tr>
        <w:tc>
          <w:tcPr>
            <w:tcW w:type="dxa" w:w="2160"/>
            <w:shd w:fill="FFFFFF"/>
            <w:tcMar>
              <w:top w:w="100" w:type="dxa"/>
              <w:bottom w:w="100" w:type="dxa"/>
              <w:left w:w="140" w:type="dxa"/>
              <w:right w:w="140" w:type="dxa"/>
            </w:tcMar>
          </w:tcPr>
          <w:p>
            <w:pPr>
              <w:jc w:val="left"/>
            </w:pPr>
            <w:r>
              <w:rPr>
                <w:color w:val="2D3748"/>
                <w:sz w:val="18"/>
              </w:rPr>
              <w:t>Machine Learning</w:t>
            </w:r>
          </w:p>
        </w:tc>
        <w:tc>
          <w:tcPr>
            <w:tcW w:type="dxa" w:w="2160"/>
            <w:shd w:fill="FFFFFF"/>
            <w:tcMar>
              <w:top w:w="100" w:type="dxa"/>
              <w:bottom w:w="100" w:type="dxa"/>
              <w:left w:w="140" w:type="dxa"/>
              <w:right w:w="140" w:type="dxa"/>
            </w:tcMar>
          </w:tcPr>
          <w:p>
            <w:pPr>
              <w:jc w:val="left"/>
            </w:pPr>
            <w:r>
              <w:rPr>
                <w:color w:val="2D3748"/>
                <w:sz w:val="18"/>
              </w:rPr>
              <w:t>Scikit-Learn</w:t>
            </w:r>
          </w:p>
        </w:tc>
        <w:tc>
          <w:tcPr>
            <w:tcW w:type="dxa" w:w="1440"/>
            <w:shd w:fill="FFFFFF"/>
            <w:tcMar>
              <w:top w:w="100" w:type="dxa"/>
              <w:bottom w:w="100" w:type="dxa"/>
              <w:left w:w="140" w:type="dxa"/>
              <w:right w:w="140" w:type="dxa"/>
            </w:tcMar>
          </w:tcPr>
          <w:p>
            <w:pPr>
              <w:jc w:val="left"/>
            </w:pPr>
            <w:r>
              <w:rPr>
                <w:color w:val="2D3748"/>
                <w:sz w:val="18"/>
              </w:rPr>
              <w:t>1.6.1</w:t>
            </w:r>
          </w:p>
        </w:tc>
        <w:tc>
          <w:tcPr>
            <w:tcW w:type="dxa" w:w="3600"/>
            <w:shd w:fill="FFFFFF"/>
            <w:tcMar>
              <w:top w:w="100" w:type="dxa"/>
              <w:bottom w:w="100" w:type="dxa"/>
              <w:left w:w="140" w:type="dxa"/>
              <w:right w:w="140" w:type="dxa"/>
            </w:tcMar>
          </w:tcPr>
          <w:p>
            <w:pPr>
              <w:jc w:val="left"/>
            </w:pPr>
            <w:r>
              <w:rPr>
                <w:color w:val="2D3748"/>
                <w:sz w:val="18"/>
              </w:rPr>
              <w:t>Standardized regression estimators, robust ColumnTransformer pipelines</w:t>
            </w:r>
          </w:p>
        </w:tc>
      </w:tr>
      <w:tr>
        <w:tc>
          <w:tcPr>
            <w:tcW w:type="dxa" w:w="2160"/>
            <w:shd w:fill="F7FAFC"/>
            <w:tcMar>
              <w:top w:w="100" w:type="dxa"/>
              <w:bottom w:w="100" w:type="dxa"/>
              <w:left w:w="140" w:type="dxa"/>
              <w:right w:w="140" w:type="dxa"/>
            </w:tcMar>
          </w:tcPr>
          <w:p>
            <w:pPr>
              <w:jc w:val="left"/>
            </w:pPr>
            <w:r>
              <w:rPr>
                <w:color w:val="2D3748"/>
                <w:sz w:val="18"/>
              </w:rPr>
              <w:t>Scientific Computing</w:t>
            </w:r>
          </w:p>
        </w:tc>
        <w:tc>
          <w:tcPr>
            <w:tcW w:type="dxa" w:w="2160"/>
            <w:shd w:fill="F7FAFC"/>
            <w:tcMar>
              <w:top w:w="100" w:type="dxa"/>
              <w:bottom w:w="100" w:type="dxa"/>
              <w:left w:w="140" w:type="dxa"/>
              <w:right w:w="140" w:type="dxa"/>
            </w:tcMar>
          </w:tcPr>
          <w:p>
            <w:pPr>
              <w:jc w:val="left"/>
            </w:pPr>
            <w:r>
              <w:rPr>
                <w:color w:val="2D3748"/>
                <w:sz w:val="18"/>
              </w:rPr>
              <w:t>NumPy &amp; Pandas</w:t>
            </w:r>
          </w:p>
        </w:tc>
        <w:tc>
          <w:tcPr>
            <w:tcW w:type="dxa" w:w="1440"/>
            <w:shd w:fill="F7FAFC"/>
            <w:tcMar>
              <w:top w:w="100" w:type="dxa"/>
              <w:bottom w:w="100" w:type="dxa"/>
              <w:left w:w="140" w:type="dxa"/>
              <w:right w:w="140" w:type="dxa"/>
            </w:tcMar>
          </w:tcPr>
          <w:p>
            <w:pPr>
              <w:jc w:val="left"/>
            </w:pPr>
            <w:r>
              <w:rPr>
                <w:color w:val="2D3748"/>
                <w:sz w:val="18"/>
              </w:rPr>
              <w:t>2.5.3 / 3.0.5</w:t>
            </w:r>
          </w:p>
        </w:tc>
        <w:tc>
          <w:tcPr>
            <w:tcW w:type="dxa" w:w="3600"/>
            <w:shd w:fill="F7FAFC"/>
            <w:tcMar>
              <w:top w:w="100" w:type="dxa"/>
              <w:bottom w:w="100" w:type="dxa"/>
              <w:left w:w="140" w:type="dxa"/>
              <w:right w:w="140" w:type="dxa"/>
            </w:tcMar>
          </w:tcPr>
          <w:p>
            <w:pPr>
              <w:jc w:val="left"/>
            </w:pPr>
            <w:r>
              <w:rPr>
                <w:color w:val="2D3748"/>
                <w:sz w:val="18"/>
              </w:rPr>
              <w:t>High-throughput array operations and tabular dataset indexing</w:t>
            </w:r>
          </w:p>
        </w:tc>
      </w:tr>
      <w:tr>
        <w:tc>
          <w:tcPr>
            <w:tcW w:type="dxa" w:w="2160"/>
            <w:shd w:fill="FFFFFF"/>
            <w:tcMar>
              <w:top w:w="100" w:type="dxa"/>
              <w:bottom w:w="100" w:type="dxa"/>
              <w:left w:w="140" w:type="dxa"/>
              <w:right w:w="140" w:type="dxa"/>
            </w:tcMar>
          </w:tcPr>
          <w:p>
            <w:pPr>
              <w:jc w:val="left"/>
            </w:pPr>
            <w:r>
              <w:rPr>
                <w:color w:val="2D3748"/>
                <w:sz w:val="18"/>
              </w:rPr>
              <w:t>PDF Extraction</w:t>
            </w:r>
          </w:p>
        </w:tc>
        <w:tc>
          <w:tcPr>
            <w:tcW w:type="dxa" w:w="2160"/>
            <w:shd w:fill="FFFFFF"/>
            <w:tcMar>
              <w:top w:w="100" w:type="dxa"/>
              <w:bottom w:w="100" w:type="dxa"/>
              <w:left w:w="140" w:type="dxa"/>
              <w:right w:w="140" w:type="dxa"/>
            </w:tcMar>
          </w:tcPr>
          <w:p>
            <w:pPr>
              <w:jc w:val="left"/>
            </w:pPr>
            <w:r>
              <w:rPr>
                <w:color w:val="2D3748"/>
                <w:sz w:val="18"/>
              </w:rPr>
              <w:t>PyPDF</w:t>
            </w:r>
          </w:p>
        </w:tc>
        <w:tc>
          <w:tcPr>
            <w:tcW w:type="dxa" w:w="1440"/>
            <w:shd w:fill="FFFFFF"/>
            <w:tcMar>
              <w:top w:w="100" w:type="dxa"/>
              <w:bottom w:w="100" w:type="dxa"/>
              <w:left w:w="140" w:type="dxa"/>
              <w:right w:w="140" w:type="dxa"/>
            </w:tcMar>
          </w:tcPr>
          <w:p>
            <w:pPr>
              <w:jc w:val="left"/>
            </w:pPr>
            <w:r>
              <w:rPr>
                <w:color w:val="2D3748"/>
                <w:sz w:val="18"/>
              </w:rPr>
              <w:t>6.18.1</w:t>
            </w:r>
          </w:p>
        </w:tc>
        <w:tc>
          <w:tcPr>
            <w:tcW w:type="dxa" w:w="3600"/>
            <w:shd w:fill="FFFFFF"/>
            <w:tcMar>
              <w:top w:w="100" w:type="dxa"/>
              <w:bottom w:w="100" w:type="dxa"/>
              <w:left w:w="140" w:type="dxa"/>
              <w:right w:w="140" w:type="dxa"/>
            </w:tcMar>
          </w:tcPr>
          <w:p>
            <w:pPr>
              <w:jc w:val="left"/>
            </w:pPr>
            <w:r>
              <w:rPr>
                <w:color w:val="2D3748"/>
                <w:sz w:val="18"/>
              </w:rPr>
              <w:t>Pure-Python binary PDF parsing; zero C-dependency footprint</w:t>
            </w:r>
          </w:p>
        </w:tc>
      </w:tr>
      <w:tr>
        <w:tc>
          <w:tcPr>
            <w:tcW w:type="dxa" w:w="2160"/>
            <w:shd w:fill="F7FAFC"/>
            <w:tcMar>
              <w:top w:w="100" w:type="dxa"/>
              <w:bottom w:w="100" w:type="dxa"/>
              <w:left w:w="140" w:type="dxa"/>
              <w:right w:w="140" w:type="dxa"/>
            </w:tcMar>
          </w:tcPr>
          <w:p>
            <w:pPr>
              <w:jc w:val="left"/>
            </w:pPr>
            <w:r>
              <w:rPr>
                <w:color w:val="2D3748"/>
                <w:sz w:val="18"/>
              </w:rPr>
              <w:t>PDF Generation</w:t>
            </w:r>
          </w:p>
        </w:tc>
        <w:tc>
          <w:tcPr>
            <w:tcW w:type="dxa" w:w="2160"/>
            <w:shd w:fill="F7FAFC"/>
            <w:tcMar>
              <w:top w:w="100" w:type="dxa"/>
              <w:bottom w:w="100" w:type="dxa"/>
              <w:left w:w="140" w:type="dxa"/>
              <w:right w:w="140" w:type="dxa"/>
            </w:tcMar>
          </w:tcPr>
          <w:p>
            <w:pPr>
              <w:jc w:val="left"/>
            </w:pPr>
            <w:r>
              <w:rPr>
                <w:color w:val="2D3748"/>
                <w:sz w:val="18"/>
              </w:rPr>
              <w:t>ReportLab</w:t>
            </w:r>
          </w:p>
        </w:tc>
        <w:tc>
          <w:tcPr>
            <w:tcW w:type="dxa" w:w="1440"/>
            <w:shd w:fill="F7FAFC"/>
            <w:tcMar>
              <w:top w:w="100" w:type="dxa"/>
              <w:bottom w:w="100" w:type="dxa"/>
              <w:left w:w="140" w:type="dxa"/>
              <w:right w:w="140" w:type="dxa"/>
            </w:tcMar>
          </w:tcPr>
          <w:p>
            <w:pPr>
              <w:jc w:val="left"/>
            </w:pPr>
            <w:r>
              <w:rPr>
                <w:color w:val="2D3748"/>
                <w:sz w:val="18"/>
              </w:rPr>
              <w:t>5.0.1</w:t>
            </w:r>
          </w:p>
        </w:tc>
        <w:tc>
          <w:tcPr>
            <w:tcW w:type="dxa" w:w="3600"/>
            <w:shd w:fill="F7FAFC"/>
            <w:tcMar>
              <w:top w:w="100" w:type="dxa"/>
              <w:bottom w:w="100" w:type="dxa"/>
              <w:left w:w="140" w:type="dxa"/>
              <w:right w:w="140" w:type="dxa"/>
            </w:tcMar>
          </w:tcPr>
          <w:p>
            <w:pPr>
              <w:jc w:val="left"/>
            </w:pPr>
            <w:r>
              <w:rPr>
                <w:color w:val="2D3748"/>
                <w:sz w:val="18"/>
              </w:rPr>
              <w:t>Industry-standard programmatic A4 invoice canvas generation</w:t>
            </w:r>
          </w:p>
        </w:tc>
      </w:tr>
      <w:tr>
        <w:tc>
          <w:tcPr>
            <w:tcW w:type="dxa" w:w="2160"/>
            <w:shd w:fill="FFFFFF"/>
            <w:tcMar>
              <w:top w:w="100" w:type="dxa"/>
              <w:bottom w:w="100" w:type="dxa"/>
              <w:left w:w="140" w:type="dxa"/>
              <w:right w:w="140" w:type="dxa"/>
            </w:tcMar>
          </w:tcPr>
          <w:p>
            <w:pPr>
              <w:jc w:val="left"/>
            </w:pPr>
            <w:r>
              <w:rPr>
                <w:color w:val="2D3748"/>
                <w:sz w:val="18"/>
              </w:rPr>
              <w:t>Database Layer</w:t>
            </w:r>
          </w:p>
        </w:tc>
        <w:tc>
          <w:tcPr>
            <w:tcW w:type="dxa" w:w="2160"/>
            <w:shd w:fill="FFFFFF"/>
            <w:tcMar>
              <w:top w:w="100" w:type="dxa"/>
              <w:bottom w:w="100" w:type="dxa"/>
              <w:left w:w="140" w:type="dxa"/>
              <w:right w:w="140" w:type="dxa"/>
            </w:tcMar>
          </w:tcPr>
          <w:p>
            <w:pPr>
              <w:jc w:val="left"/>
            </w:pPr>
            <w:r>
              <w:rPr>
                <w:color w:val="2D3748"/>
                <w:sz w:val="18"/>
              </w:rPr>
              <w:t>SQLite3</w:t>
            </w:r>
          </w:p>
        </w:tc>
        <w:tc>
          <w:tcPr>
            <w:tcW w:type="dxa" w:w="1440"/>
            <w:shd w:fill="FFFFFF"/>
            <w:tcMar>
              <w:top w:w="100" w:type="dxa"/>
              <w:bottom w:w="100" w:type="dxa"/>
              <w:left w:w="140" w:type="dxa"/>
              <w:right w:w="140" w:type="dxa"/>
            </w:tcMar>
          </w:tcPr>
          <w:p>
            <w:pPr>
              <w:jc w:val="left"/>
            </w:pPr>
            <w:r>
              <w:rPr>
                <w:color w:val="2D3748"/>
                <w:sz w:val="18"/>
              </w:rPr>
              <w:t>Built-in</w:t>
            </w:r>
          </w:p>
        </w:tc>
        <w:tc>
          <w:tcPr>
            <w:tcW w:type="dxa" w:w="3600"/>
            <w:shd w:fill="FFFFFF"/>
            <w:tcMar>
              <w:top w:w="100" w:type="dxa"/>
              <w:bottom w:w="100" w:type="dxa"/>
              <w:left w:w="140" w:type="dxa"/>
              <w:right w:w="140" w:type="dxa"/>
            </w:tcMar>
          </w:tcPr>
          <w:p>
            <w:pPr>
              <w:jc w:val="left"/>
            </w:pPr>
            <w:r>
              <w:rPr>
                <w:color w:val="2D3748"/>
                <w:sz w:val="18"/>
              </w:rPr>
              <w:t>Zero-configuration, ACID compliant, embedded file persistence</w:t>
            </w:r>
          </w:p>
        </w:tc>
      </w:tr>
      <w:tr>
        <w:tc>
          <w:tcPr>
            <w:tcW w:type="dxa" w:w="2160"/>
            <w:shd w:fill="F7FAFC"/>
            <w:tcMar>
              <w:top w:w="100" w:type="dxa"/>
              <w:bottom w:w="100" w:type="dxa"/>
              <w:left w:w="140" w:type="dxa"/>
              <w:right w:w="140" w:type="dxa"/>
            </w:tcMar>
          </w:tcPr>
          <w:p>
            <w:pPr>
              <w:jc w:val="left"/>
            </w:pPr>
            <w:r>
              <w:rPr>
                <w:color w:val="2D3748"/>
                <w:sz w:val="18"/>
              </w:rPr>
              <w:t>Testing Framework</w:t>
            </w:r>
          </w:p>
        </w:tc>
        <w:tc>
          <w:tcPr>
            <w:tcW w:type="dxa" w:w="2160"/>
            <w:shd w:fill="F7FAFC"/>
            <w:tcMar>
              <w:top w:w="100" w:type="dxa"/>
              <w:bottom w:w="100" w:type="dxa"/>
              <w:left w:w="140" w:type="dxa"/>
              <w:right w:w="140" w:type="dxa"/>
            </w:tcMar>
          </w:tcPr>
          <w:p>
            <w:pPr>
              <w:jc w:val="left"/>
            </w:pPr>
            <w:r>
              <w:rPr>
                <w:color w:val="2D3748"/>
                <w:sz w:val="18"/>
              </w:rPr>
              <w:t>PyTest</w:t>
            </w:r>
          </w:p>
        </w:tc>
        <w:tc>
          <w:tcPr>
            <w:tcW w:type="dxa" w:w="1440"/>
            <w:shd w:fill="F7FAFC"/>
            <w:tcMar>
              <w:top w:w="100" w:type="dxa"/>
              <w:bottom w:w="100" w:type="dxa"/>
              <w:left w:w="140" w:type="dxa"/>
              <w:right w:w="140" w:type="dxa"/>
            </w:tcMar>
          </w:tcPr>
          <w:p>
            <w:pPr>
              <w:jc w:val="left"/>
            </w:pPr>
            <w:r>
              <w:rPr>
                <w:color w:val="2D3748"/>
                <w:sz w:val="18"/>
              </w:rPr>
              <w:t>9.1.1</w:t>
            </w:r>
          </w:p>
        </w:tc>
        <w:tc>
          <w:tcPr>
            <w:tcW w:type="dxa" w:w="3600"/>
            <w:shd w:fill="F7FAFC"/>
            <w:tcMar>
              <w:top w:w="100" w:type="dxa"/>
              <w:bottom w:w="100" w:type="dxa"/>
              <w:left w:w="140" w:type="dxa"/>
              <w:right w:w="140" w:type="dxa"/>
            </w:tcMar>
          </w:tcPr>
          <w:p>
            <w:pPr>
              <w:jc w:val="left"/>
            </w:pPr>
            <w:r>
              <w:rPr>
                <w:color w:val="2D3748"/>
                <w:sz w:val="18"/>
              </w:rPr>
              <w:t>Comprehensive automated unit, integration, and failure testing</w:t>
            </w:r>
          </w:p>
        </w:tc>
      </w:tr>
      <w:tr>
        <w:tc>
          <w:tcPr>
            <w:tcW w:type="dxa" w:w="2160"/>
            <w:shd w:fill="FFFFFF"/>
            <w:tcMar>
              <w:top w:w="100" w:type="dxa"/>
              <w:bottom w:w="100" w:type="dxa"/>
              <w:left w:w="140" w:type="dxa"/>
              <w:right w:w="140" w:type="dxa"/>
            </w:tcMar>
          </w:tcPr>
          <w:p>
            <w:pPr>
              <w:jc w:val="left"/>
            </w:pPr>
            <w:r>
              <w:rPr>
                <w:color w:val="2D3748"/>
                <w:sz w:val="18"/>
              </w:rPr>
              <w:t>Frontend UI</w:t>
            </w:r>
          </w:p>
        </w:tc>
        <w:tc>
          <w:tcPr>
            <w:tcW w:type="dxa" w:w="2160"/>
            <w:shd w:fill="FFFFFF"/>
            <w:tcMar>
              <w:top w:w="100" w:type="dxa"/>
              <w:bottom w:w="100" w:type="dxa"/>
              <w:left w:w="140" w:type="dxa"/>
              <w:right w:w="140" w:type="dxa"/>
            </w:tcMar>
          </w:tcPr>
          <w:p>
            <w:pPr>
              <w:jc w:val="left"/>
            </w:pPr>
            <w:r>
              <w:rPr>
                <w:color w:val="2D3748"/>
                <w:sz w:val="18"/>
              </w:rPr>
              <w:t>HTML5 / Vanilla CSS</w:t>
            </w:r>
          </w:p>
        </w:tc>
        <w:tc>
          <w:tcPr>
            <w:tcW w:type="dxa" w:w="1440"/>
            <w:shd w:fill="FFFFFF"/>
            <w:tcMar>
              <w:top w:w="100" w:type="dxa"/>
              <w:bottom w:w="100" w:type="dxa"/>
              <w:left w:w="140" w:type="dxa"/>
              <w:right w:w="140" w:type="dxa"/>
            </w:tcMar>
          </w:tcPr>
          <w:p>
            <w:pPr>
              <w:jc w:val="left"/>
            </w:pPr>
            <w:r>
              <w:rPr>
                <w:color w:val="2D3748"/>
                <w:sz w:val="18"/>
              </w:rPr>
              <w:t>Modern CSS3</w:t>
            </w:r>
          </w:p>
        </w:tc>
        <w:tc>
          <w:tcPr>
            <w:tcW w:type="dxa" w:w="3600"/>
            <w:shd w:fill="FFFFFF"/>
            <w:tcMar>
              <w:top w:w="100" w:type="dxa"/>
              <w:bottom w:w="100" w:type="dxa"/>
              <w:left w:w="140" w:type="dxa"/>
              <w:right w:w="140" w:type="dxa"/>
            </w:tcMar>
          </w:tcPr>
          <w:p>
            <w:pPr>
              <w:jc w:val="left"/>
            </w:pPr>
            <w:r>
              <w:rPr>
                <w:color w:val="2D3748"/>
                <w:sz w:val="18"/>
              </w:rPr>
              <w:t>India-First Obsidian &amp; Gold dark mode, zero frontend build overhead</w:t>
            </w:r>
          </w:p>
        </w:tc>
      </w:tr>
      <w:tr>
        <w:tc>
          <w:tcPr>
            <w:tcW w:type="dxa" w:w="2160"/>
            <w:shd w:fill="F7FAFC"/>
            <w:tcMar>
              <w:top w:w="100" w:type="dxa"/>
              <w:bottom w:w="100" w:type="dxa"/>
              <w:left w:w="140" w:type="dxa"/>
              <w:right w:w="140" w:type="dxa"/>
            </w:tcMar>
          </w:tcPr>
          <w:p>
            <w:pPr>
              <w:jc w:val="left"/>
            </w:pPr>
            <w:r>
              <w:rPr>
                <w:color w:val="2D3748"/>
                <w:sz w:val="18"/>
              </w:rPr>
              <w:t>Typography</w:t>
            </w:r>
          </w:p>
        </w:tc>
        <w:tc>
          <w:tcPr>
            <w:tcW w:type="dxa" w:w="2160"/>
            <w:shd w:fill="F7FAFC"/>
            <w:tcMar>
              <w:top w:w="100" w:type="dxa"/>
              <w:bottom w:w="100" w:type="dxa"/>
              <w:left w:w="140" w:type="dxa"/>
              <w:right w:w="140" w:type="dxa"/>
            </w:tcMar>
          </w:tcPr>
          <w:p>
            <w:pPr>
              <w:jc w:val="left"/>
            </w:pPr>
            <w:r>
              <w:rPr>
                <w:color w:val="2D3748"/>
                <w:sz w:val="18"/>
              </w:rPr>
              <w:t>Google Fonts</w:t>
            </w:r>
          </w:p>
        </w:tc>
        <w:tc>
          <w:tcPr>
            <w:tcW w:type="dxa" w:w="1440"/>
            <w:shd w:fill="F7FAFC"/>
            <w:tcMar>
              <w:top w:w="100" w:type="dxa"/>
              <w:bottom w:w="100" w:type="dxa"/>
              <w:left w:w="140" w:type="dxa"/>
              <w:right w:w="140" w:type="dxa"/>
            </w:tcMar>
          </w:tcPr>
          <w:p>
            <w:pPr>
              <w:jc w:val="left"/>
            </w:pPr>
            <w:r>
              <w:rPr>
                <w:color w:val="2D3748"/>
                <w:sz w:val="18"/>
              </w:rPr>
              <w:t>Outfit &amp; Inter</w:t>
            </w:r>
          </w:p>
        </w:tc>
        <w:tc>
          <w:tcPr>
            <w:tcW w:type="dxa" w:w="3600"/>
            <w:shd w:fill="F7FAFC"/>
            <w:tcMar>
              <w:top w:w="100" w:type="dxa"/>
              <w:bottom w:w="100" w:type="dxa"/>
              <w:left w:w="140" w:type="dxa"/>
              <w:right w:w="140" w:type="dxa"/>
            </w:tcMar>
          </w:tcPr>
          <w:p>
            <w:pPr>
              <w:jc w:val="left"/>
            </w:pPr>
            <w:r>
              <w:rPr>
                <w:color w:val="2D3748"/>
                <w:sz w:val="18"/>
              </w:rPr>
              <w:t>Modern luxury aesthetics with high readability</w:t>
            </w:r>
          </w:p>
        </w:tc>
      </w:tr>
      <w:tr>
        <w:tc>
          <w:tcPr>
            <w:tcW w:type="dxa" w:w="2160"/>
            <w:shd w:fill="FFFFFF"/>
            <w:tcMar>
              <w:top w:w="100" w:type="dxa"/>
              <w:bottom w:w="100" w:type="dxa"/>
              <w:left w:w="140" w:type="dxa"/>
              <w:right w:w="140" w:type="dxa"/>
            </w:tcMar>
          </w:tcPr>
          <w:p>
            <w:pPr>
              <w:jc w:val="left"/>
            </w:pPr>
            <w:r>
              <w:rPr>
                <w:color w:val="2D3748"/>
                <w:sz w:val="18"/>
              </w:rPr>
              <w:t>Production Server</w:t>
            </w:r>
          </w:p>
        </w:tc>
        <w:tc>
          <w:tcPr>
            <w:tcW w:type="dxa" w:w="2160"/>
            <w:shd w:fill="FFFFFF"/>
            <w:tcMar>
              <w:top w:w="100" w:type="dxa"/>
              <w:bottom w:w="100" w:type="dxa"/>
              <w:left w:w="140" w:type="dxa"/>
              <w:right w:w="140" w:type="dxa"/>
            </w:tcMar>
          </w:tcPr>
          <w:p>
            <w:pPr>
              <w:jc w:val="left"/>
            </w:pPr>
            <w:r>
              <w:rPr>
                <w:color w:val="2D3748"/>
                <w:sz w:val="18"/>
              </w:rPr>
              <w:t>Gunicorn</w:t>
            </w:r>
          </w:p>
        </w:tc>
        <w:tc>
          <w:tcPr>
            <w:tcW w:type="dxa" w:w="1440"/>
            <w:shd w:fill="FFFFFF"/>
            <w:tcMar>
              <w:top w:w="100" w:type="dxa"/>
              <w:bottom w:w="100" w:type="dxa"/>
              <w:left w:w="140" w:type="dxa"/>
              <w:right w:w="140" w:type="dxa"/>
            </w:tcMar>
          </w:tcPr>
          <w:p>
            <w:pPr>
              <w:jc w:val="left"/>
            </w:pPr>
            <w:r>
              <w:rPr>
                <w:color w:val="2D3748"/>
                <w:sz w:val="18"/>
              </w:rPr>
              <w:t>26.2.0</w:t>
            </w:r>
          </w:p>
        </w:tc>
        <w:tc>
          <w:tcPr>
            <w:tcW w:type="dxa" w:w="3600"/>
            <w:shd w:fill="FFFFFF"/>
            <w:tcMar>
              <w:top w:w="100" w:type="dxa"/>
              <w:bottom w:w="100" w:type="dxa"/>
              <w:left w:w="140" w:type="dxa"/>
              <w:right w:w="140" w:type="dxa"/>
            </w:tcMar>
          </w:tcPr>
          <w:p>
            <w:pPr>
              <w:jc w:val="left"/>
            </w:pPr>
            <w:r>
              <w:rPr>
                <w:color w:val="2D3748"/>
                <w:sz w:val="18"/>
              </w:rPr>
              <w:t>Pre-fork worker model for concurrent WSGI request handling</w:t>
            </w:r>
          </w:p>
        </w:tc>
      </w:tr>
      <w:tr>
        <w:tc>
          <w:tcPr>
            <w:tcW w:type="dxa" w:w="2160"/>
            <w:shd w:fill="F7FAFC"/>
            <w:tcMar>
              <w:top w:w="100" w:type="dxa"/>
              <w:bottom w:w="100" w:type="dxa"/>
              <w:left w:w="140" w:type="dxa"/>
              <w:right w:w="140" w:type="dxa"/>
            </w:tcMar>
          </w:tcPr>
          <w:p>
            <w:pPr>
              <w:jc w:val="left"/>
            </w:pPr>
            <w:r>
              <w:rPr>
                <w:color w:val="2D3748"/>
                <w:sz w:val="18"/>
              </w:rPr>
              <w:t>Deployment Platform</w:t>
            </w:r>
          </w:p>
        </w:tc>
        <w:tc>
          <w:tcPr>
            <w:tcW w:type="dxa" w:w="2160"/>
            <w:shd w:fill="F7FAFC"/>
            <w:tcMar>
              <w:top w:w="100" w:type="dxa"/>
              <w:bottom w:w="100" w:type="dxa"/>
              <w:left w:w="140" w:type="dxa"/>
              <w:right w:w="140" w:type="dxa"/>
            </w:tcMar>
          </w:tcPr>
          <w:p>
            <w:pPr>
              <w:jc w:val="left"/>
            </w:pPr>
            <w:r>
              <w:rPr>
                <w:color w:val="2D3748"/>
                <w:sz w:val="18"/>
              </w:rPr>
              <w:t>Render Cloud</w:t>
            </w:r>
          </w:p>
        </w:tc>
        <w:tc>
          <w:tcPr>
            <w:tcW w:type="dxa" w:w="1440"/>
            <w:shd w:fill="F7FAFC"/>
            <w:tcMar>
              <w:top w:w="100" w:type="dxa"/>
              <w:bottom w:w="100" w:type="dxa"/>
              <w:left w:w="140" w:type="dxa"/>
              <w:right w:w="140" w:type="dxa"/>
            </w:tcMar>
          </w:tcPr>
          <w:p>
            <w:pPr>
              <w:jc w:val="left"/>
            </w:pPr>
            <w:r>
              <w:rPr>
                <w:color w:val="2D3748"/>
                <w:sz w:val="18"/>
              </w:rPr>
              <w:t>Linux Docker</w:t>
            </w:r>
          </w:p>
        </w:tc>
        <w:tc>
          <w:tcPr>
            <w:tcW w:type="dxa" w:w="3600"/>
            <w:shd w:fill="F7FAFC"/>
            <w:tcMar>
              <w:top w:w="100" w:type="dxa"/>
              <w:bottom w:w="100" w:type="dxa"/>
              <w:left w:w="140" w:type="dxa"/>
              <w:right w:w="140" w:type="dxa"/>
            </w:tcMar>
          </w:tcPr>
          <w:p>
            <w:pPr>
              <w:jc w:val="left"/>
            </w:pPr>
            <w:r>
              <w:rPr>
                <w:color w:val="2D3748"/>
                <w:sz w:val="18"/>
              </w:rPr>
              <w:t>Persistent volume mount (`/var/data`), automated Git CI/CD</w:t>
            </w:r>
          </w:p>
        </w:tc>
      </w:tr>
    </w:tbl>
    <w:p>
      <w:pPr>
        <w:spacing w:before="0" w:after="120"/>
      </w:pPr>
    </w:p>
    <w:p>
      <w:pPr>
        <w:keepNext/>
        <w:spacing w:before="280" w:after="120"/>
      </w:pPr>
      <w:r>
        <w:rPr>
          <w:rFonts w:ascii="Calibri" w:hAnsi="Calibri"/>
          <w:b/>
          <w:color w:val="2B6CB0"/>
          <w:sz w:val="26"/>
        </w:rPr>
        <w:t>7.2 Core Backend Service Modules Architecture</w:t>
      </w:r>
    </w:p>
    <w:p>
      <w:pPr>
        <w:spacing w:before="0" w:after="120" w:line="276" w:lineRule="auto"/>
        <w:jc w:val="both"/>
      </w:pPr>
      <w:r>
        <w:rPr>
          <w:rFonts w:ascii="Calibri" w:hAnsi="Calibri"/>
          <w:color w:val="2D3748"/>
          <w:sz w:val="22"/>
        </w:rPr>
        <w:t>The application architecture in `src/DiamondPricePrediction/services/` encapsulates domain logic into clean service classes:</w:t>
      </w:r>
    </w:p>
    <w:p>
      <w:pPr>
        <w:pStyle w:val="ListBullet"/>
        <w:spacing w:before="40" w:after="60" w:line="276" w:lineRule="auto"/>
        <w:jc w:val="both"/>
      </w:pPr>
      <w:r>
        <w:rPr>
          <w:rFonts w:ascii="Calibri" w:hAnsi="Calibri"/>
          <w:b/>
          <w:color w:val="1A365D"/>
          <w:sz w:val="21"/>
        </w:rPr>
        <w:t xml:space="preserve">`ValuationEngine`: </w:t>
      </w:r>
      <w:r>
        <w:rPr>
          <w:rFonts w:ascii="Calibri" w:hAnsi="Calibri"/>
          <w:color w:val="2D3748"/>
          <w:sz w:val="21"/>
        </w:rPr>
        <w:t>Master synthesis engine executing the 4-pillar valuation logic, deal quality scoring, and plain-language 'Why this price?' justifications.</w:t>
      </w:r>
    </w:p>
    <w:p>
      <w:pPr>
        <w:pStyle w:val="ListBullet"/>
        <w:spacing w:before="40" w:after="60" w:line="276" w:lineRule="auto"/>
        <w:jc w:val="both"/>
      </w:pPr>
      <w:r>
        <w:rPr>
          <w:rFonts w:ascii="Calibri" w:hAnsi="Calibri"/>
          <w:b/>
          <w:color w:val="1A365D"/>
          <w:sz w:val="21"/>
        </w:rPr>
        <w:t xml:space="preserve">`IndianMarketService`: </w:t>
      </w:r>
      <w:r>
        <w:rPr>
          <w:rFonts w:ascii="Calibri" w:hAnsi="Calibri"/>
          <w:color w:val="2D3748"/>
          <w:sz w:val="21"/>
        </w:rPr>
        <w:t>Provides verified Mumbai BDB and Surat SDB diamond matrices, caches Frankfurter USD/INR FX rates, and orchestrates market configuration.</w:t>
      </w:r>
    </w:p>
    <w:p>
      <w:pPr>
        <w:pStyle w:val="ListBullet"/>
        <w:spacing w:before="40" w:after="60" w:line="276" w:lineRule="auto"/>
        <w:jc w:val="both"/>
      </w:pPr>
      <w:r>
        <w:rPr>
          <w:rFonts w:ascii="Calibri" w:hAnsi="Calibri"/>
          <w:b/>
          <w:color w:val="1A365D"/>
          <w:sz w:val="21"/>
        </w:rPr>
        <w:t xml:space="preserve">`IGIService`: </w:t>
      </w:r>
      <w:r>
        <w:rPr>
          <w:rFonts w:ascii="Calibri" w:hAnsi="Calibri"/>
          <w:color w:val="2D3748"/>
          <w:sz w:val="21"/>
        </w:rPr>
        <w:t>Maintains official verification URLs, parses uploaded certificate PDFs via PyPDF regex extraction, and enforces the Zero-Fake transparency policy.</w:t>
      </w:r>
    </w:p>
    <w:p>
      <w:pPr>
        <w:pStyle w:val="ListBullet"/>
        <w:spacing w:before="40" w:after="60" w:line="276" w:lineRule="auto"/>
        <w:jc w:val="both"/>
      </w:pPr>
      <w:r>
        <w:rPr>
          <w:rFonts w:ascii="Calibri" w:hAnsi="Calibri"/>
          <w:b/>
          <w:color w:val="1A365D"/>
          <w:sz w:val="21"/>
        </w:rPr>
        <w:t xml:space="preserve">`JewelleryCalculator`: </w:t>
      </w:r>
      <w:r>
        <w:rPr>
          <w:rFonts w:ascii="Calibri" w:hAnsi="Calibri"/>
          <w:color w:val="2D3748"/>
          <w:sz w:val="21"/>
        </w:rPr>
        <w:t>Executes strict Decimal jewellery costing across 5 precious metals, diamonds, gemstones, making charges, and 3% Indian GST.</w:t>
      </w:r>
    </w:p>
    <w:p>
      <w:pPr>
        <w:pStyle w:val="ListBullet"/>
        <w:spacing w:before="40" w:after="60" w:line="276" w:lineRule="auto"/>
        <w:jc w:val="both"/>
      </w:pPr>
      <w:r>
        <w:rPr>
          <w:rFonts w:ascii="Calibri" w:hAnsi="Calibri"/>
          <w:b/>
          <w:color w:val="1A365D"/>
          <w:sz w:val="21"/>
        </w:rPr>
        <w:t xml:space="preserve">`AITradeAdvisorAgent`: </w:t>
      </w:r>
      <w:r>
        <w:rPr>
          <w:rFonts w:ascii="Calibri" w:hAnsi="Calibri"/>
          <w:color w:val="2D3748"/>
          <w:sz w:val="21"/>
        </w:rPr>
        <w:t>LLM-powered conversational agent maintaining SQLite conversation memory and executing multi-turn tool calling across live bullion and diamond feeds.</w:t>
      </w:r>
    </w:p>
    <w:p>
      <w:pPr>
        <w:pStyle w:val="ListBullet"/>
        <w:spacing w:before="40" w:after="60" w:line="276" w:lineRule="auto"/>
        <w:jc w:val="both"/>
      </w:pPr>
      <w:r>
        <w:rPr>
          <w:rFonts w:ascii="Calibri" w:hAnsi="Calibri"/>
          <w:b/>
          <w:color w:val="1A365D"/>
          <w:sz w:val="21"/>
        </w:rPr>
        <w:t xml:space="preserve">`InvoiceService` &amp; `InvoicePdfGenerator`: </w:t>
      </w:r>
      <w:r>
        <w:rPr>
          <w:rFonts w:ascii="Calibri" w:hAnsi="Calibri"/>
          <w:color w:val="2D3748"/>
          <w:sz w:val="21"/>
        </w:rPr>
        <w:t>Persists customer invoices in SQLite, manages sequential billing numbers, generates cryptographic share tokens, and renders official A4 PDF invoices with dynamic QR codes.</w:t>
      </w:r>
    </w:p>
    <w:p>
      <w:pPr>
        <w:keepNext/>
        <w:spacing w:before="280" w:after="120"/>
      </w:pPr>
      <w:r>
        <w:rPr>
          <w:rFonts w:ascii="Calibri" w:hAnsi="Calibri"/>
          <w:b/>
          <w:color w:val="2B6CB0"/>
          <w:sz w:val="26"/>
        </w:rPr>
        <w:t>7.3 Frontend User Interface Architecture (Obsidian &amp; Gold)</w:t>
      </w:r>
    </w:p>
    <w:p>
      <w:pPr>
        <w:spacing w:before="0" w:after="120" w:line="276" w:lineRule="auto"/>
        <w:jc w:val="both"/>
      </w:pPr>
      <w:r>
        <w:rPr>
          <w:rFonts w:ascii="Calibri" w:hAnsi="Calibri"/>
          <w:color w:val="2D3748"/>
          <w:sz w:val="22"/>
        </w:rPr>
        <w:t>The web interface is styled in a bespoke 'Obsidian &amp; Gold' luxury dark mode tailored for high-end jewellery workstations. It utilizes CSS custom properties (`--bg-obsidian: #0b0f19;`, `--gold-primary: #d4af37;`, `--emerald-accent: #10b981;`), responsive CSS grid layouts, and native `@media print` stylesheets that reformat web invoices into pristine black-and-white physical receipts on standard A4 paper.</w:t>
      </w:r>
    </w:p>
    <w:p>
      <w:pPr>
        <w:keepNext/>
        <w:spacing w:before="280" w:after="120"/>
      </w:pPr>
      <w:r>
        <w:rPr>
          <w:rFonts w:ascii="Calibri" w:hAnsi="Calibri"/>
          <w:b/>
          <w:color w:val="2B6CB0"/>
          <w:sz w:val="26"/>
        </w:rPr>
        <w:t>7.4 External API Integrations (FX, Bullion, LLMs)</w:t>
      </w:r>
    </w:p>
    <w:p>
      <w:pPr>
        <w:pStyle w:val="ListBullet"/>
        <w:spacing w:before="40" w:after="60" w:line="276" w:lineRule="auto"/>
        <w:jc w:val="both"/>
      </w:pPr>
      <w:r>
        <w:rPr>
          <w:rFonts w:ascii="Calibri" w:hAnsi="Calibri"/>
          <w:b/>
          <w:color w:val="1A365D"/>
          <w:sz w:val="21"/>
        </w:rPr>
        <w:t xml:space="preserve">Frankfurter Exchange Rate API: </w:t>
      </w:r>
      <w:r>
        <w:rPr>
          <w:rFonts w:ascii="Calibri" w:hAnsi="Calibri"/>
          <w:color w:val="2D3748"/>
          <w:sz w:val="21"/>
        </w:rPr>
        <w:t>Synchronizes real-time USD/INR currency rates (`api.frankfurter.dev`) with a 15-minute in-memory cache and automatic fallback to ₹87.50.</w:t>
      </w:r>
    </w:p>
    <w:p>
      <w:pPr>
        <w:pStyle w:val="ListBullet"/>
        <w:spacing w:before="40" w:after="60" w:line="276" w:lineRule="auto"/>
        <w:jc w:val="both"/>
      </w:pPr>
      <w:r>
        <w:rPr>
          <w:rFonts w:ascii="Calibri" w:hAnsi="Calibri"/>
          <w:b/>
          <w:color w:val="1A365D"/>
          <w:sz w:val="21"/>
        </w:rPr>
        <w:t xml:space="preserve">Bullions.co.in &amp; IBJA Bullion Feeds: </w:t>
      </w:r>
      <w:r>
        <w:rPr>
          <w:rFonts w:ascii="Calibri" w:hAnsi="Calibri"/>
          <w:color w:val="2D3748"/>
          <w:sz w:val="21"/>
        </w:rPr>
        <w:t>Fetches live daily market benchmarks for 24K, 22K, 18K, 14K gold and Silver 999 with AM/PM session stamps and staleness detection.</w:t>
      </w:r>
    </w:p>
    <w:p>
      <w:pPr>
        <w:pStyle w:val="ListBullet"/>
        <w:spacing w:before="40" w:after="60" w:line="276" w:lineRule="auto"/>
        <w:jc w:val="both"/>
      </w:pPr>
      <w:r>
        <w:rPr>
          <w:rFonts w:ascii="Calibri" w:hAnsi="Calibri"/>
          <w:b/>
          <w:color w:val="1A365D"/>
          <w:sz w:val="21"/>
        </w:rPr>
        <w:t xml:space="preserve">Google Gemini &amp; Groq LLM APIs: </w:t>
      </w:r>
      <w:r>
        <w:rPr>
          <w:rFonts w:ascii="Calibri" w:hAnsi="Calibri"/>
          <w:color w:val="2D3748"/>
          <w:sz w:val="21"/>
        </w:rPr>
        <w:t>Provides conversational intelligence via Gemini 2.5 Flash and LLaMA 3.3 70B Versatile with automated function calling.</w:t>
      </w:r>
    </w:p>
    <w:p>
      <w:r>
        <w:br w:type="page"/>
      </w:r>
    </w:p>
    <w:p>
      <w:pPr>
        <w:keepNext/>
        <w:spacing w:before="360" w:after="160"/>
      </w:pPr>
      <w:r>
        <w:rPr>
          <w:rFonts w:ascii="Calibri" w:hAnsi="Calibri"/>
          <w:b/>
          <w:color w:val="1A365D"/>
          <w:sz w:val="32"/>
        </w:rPr>
        <w:t>CHAPTER 8: DATASET PROFILE AND EXPLORATORY DATA ANALYSIS (EDA)</w:t>
      </w:r>
    </w:p>
    <w:p>
      <w:pPr>
        <w:keepNext/>
        <w:spacing w:before="280" w:after="120"/>
      </w:pPr>
      <w:r>
        <w:rPr>
          <w:rFonts w:ascii="Calibri" w:hAnsi="Calibri"/>
          <w:b/>
          <w:color w:val="2B6CB0"/>
          <w:sz w:val="26"/>
        </w:rPr>
        <w:t>8.1 Empirical Dataset Profile (193,573 Samples)</w:t>
      </w:r>
    </w:p>
    <w:p>
      <w:pPr>
        <w:spacing w:before="0" w:after="120" w:line="276" w:lineRule="auto"/>
        <w:jc w:val="both"/>
      </w:pPr>
      <w:r>
        <w:rPr>
          <w:rFonts w:ascii="Calibri" w:hAnsi="Calibri"/>
          <w:color w:val="2D3748"/>
          <w:sz w:val="22"/>
        </w:rPr>
        <w:t>GemForecast AI is trained and benchmarked on a comprehensive empirical corpus comprising 193,573 diamond records stored in `artifacts/raw.csv`. The dataset represents diverse physical diamond geometries, grading tiers, and price points. Table 8.1 details the statistical summary metrics.</w:t>
      </w:r>
    </w:p>
    <w:tbl>
      <w:tblPr>
        <w:tblW w:type="auto" w:w="0"/>
        <w:jc w:val="center"/>
        <w:tblLook w:firstColumn="1" w:firstRow="1" w:lastColumn="0" w:lastRow="0" w:noHBand="0" w:noVBand="1" w:val="04A0"/>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Pr>
      <w:tblGrid>
        <w:gridCol w:w="1337"/>
        <w:gridCol w:w="1337"/>
        <w:gridCol w:w="1337"/>
        <w:gridCol w:w="1337"/>
        <w:gridCol w:w="1337"/>
        <w:gridCol w:w="1337"/>
        <w:gridCol w:w="1337"/>
      </w:tblGrid>
      <w:tr>
        <w:tc>
          <w:tcPr>
            <w:tcW w:type="dxa" w:w="1296"/>
            <w:shd w:fill="1A365D"/>
            <w:tcMar>
              <w:top w:w="120" w:type="dxa"/>
              <w:bottom w:w="120" w:type="dxa"/>
              <w:left w:w="140" w:type="dxa"/>
              <w:right w:w="140" w:type="dxa"/>
            </w:tcMar>
          </w:tcPr>
          <w:p>
            <w:pPr>
              <w:jc w:val="left"/>
            </w:pPr>
            <w:r>
              <w:rPr>
                <w:b/>
                <w:color w:val="FFFFFF"/>
                <w:sz w:val="19"/>
              </w:rPr>
              <w:t>Attribute</w:t>
            </w:r>
          </w:p>
        </w:tc>
        <w:tc>
          <w:tcPr>
            <w:tcW w:type="dxa" w:w="1584"/>
            <w:shd w:fill="1A365D"/>
            <w:tcMar>
              <w:top w:w="120" w:type="dxa"/>
              <w:bottom w:w="120" w:type="dxa"/>
              <w:left w:w="140" w:type="dxa"/>
              <w:right w:w="140" w:type="dxa"/>
            </w:tcMar>
          </w:tcPr>
          <w:p>
            <w:pPr>
              <w:jc w:val="left"/>
            </w:pPr>
            <w:r>
              <w:rPr>
                <w:b/>
                <w:color w:val="FFFFFF"/>
                <w:sz w:val="19"/>
              </w:rPr>
              <w:t>Data Type</w:t>
            </w:r>
          </w:p>
        </w:tc>
        <w:tc>
          <w:tcPr>
            <w:tcW w:type="dxa" w:w="1152"/>
            <w:shd w:fill="1A365D"/>
            <w:tcMar>
              <w:top w:w="120" w:type="dxa"/>
              <w:bottom w:w="120" w:type="dxa"/>
              <w:left w:w="140" w:type="dxa"/>
              <w:right w:w="140" w:type="dxa"/>
            </w:tcMar>
          </w:tcPr>
          <w:p>
            <w:pPr>
              <w:jc w:val="left"/>
            </w:pPr>
            <w:r>
              <w:rPr>
                <w:b/>
                <w:color w:val="FFFFFF"/>
                <w:sz w:val="19"/>
              </w:rPr>
              <w:t>Count</w:t>
            </w:r>
          </w:p>
        </w:tc>
        <w:tc>
          <w:tcPr>
            <w:tcW w:type="dxa" w:w="2016"/>
            <w:shd w:fill="1A365D"/>
            <w:tcMar>
              <w:top w:w="120" w:type="dxa"/>
              <w:bottom w:w="120" w:type="dxa"/>
              <w:left w:w="140" w:type="dxa"/>
              <w:right w:w="140" w:type="dxa"/>
            </w:tcMar>
          </w:tcPr>
          <w:p>
            <w:pPr>
              <w:jc w:val="left"/>
            </w:pPr>
            <w:r>
              <w:rPr>
                <w:b/>
                <w:color w:val="FFFFFF"/>
                <w:sz w:val="19"/>
              </w:rPr>
              <w:t>Mean ± Std Dev</w:t>
            </w:r>
          </w:p>
        </w:tc>
        <w:tc>
          <w:tcPr>
            <w:tcW w:type="dxa" w:w="864"/>
            <w:shd w:fill="1A365D"/>
            <w:tcMar>
              <w:top w:w="120" w:type="dxa"/>
              <w:bottom w:w="120" w:type="dxa"/>
              <w:left w:w="140" w:type="dxa"/>
              <w:right w:w="140" w:type="dxa"/>
            </w:tcMar>
          </w:tcPr>
          <w:p>
            <w:pPr>
              <w:jc w:val="left"/>
            </w:pPr>
            <w:r>
              <w:rPr>
                <w:b/>
                <w:color w:val="FFFFFF"/>
                <w:sz w:val="19"/>
              </w:rPr>
              <w:t>Min</w:t>
            </w:r>
          </w:p>
        </w:tc>
        <w:tc>
          <w:tcPr>
            <w:tcW w:type="dxa" w:w="1296"/>
            <w:shd w:fill="1A365D"/>
            <w:tcMar>
              <w:top w:w="120" w:type="dxa"/>
              <w:bottom w:w="120" w:type="dxa"/>
              <w:left w:w="140" w:type="dxa"/>
              <w:right w:w="140" w:type="dxa"/>
            </w:tcMar>
          </w:tcPr>
          <w:p>
            <w:pPr>
              <w:jc w:val="left"/>
            </w:pPr>
            <w:r>
              <w:rPr>
                <w:b/>
                <w:color w:val="FFFFFF"/>
                <w:sz w:val="19"/>
              </w:rPr>
              <w:t>Median (50%)</w:t>
            </w:r>
          </w:p>
        </w:tc>
        <w:tc>
          <w:tcPr>
            <w:tcW w:type="dxa" w:w="1152"/>
            <w:shd w:fill="1A365D"/>
            <w:tcMar>
              <w:top w:w="120" w:type="dxa"/>
              <w:bottom w:w="120" w:type="dxa"/>
              <w:left w:w="140" w:type="dxa"/>
              <w:right w:w="140" w:type="dxa"/>
            </w:tcMar>
          </w:tcPr>
          <w:p>
            <w:pPr>
              <w:jc w:val="left"/>
            </w:pPr>
            <w:r>
              <w:rPr>
                <w:b/>
                <w:color w:val="FFFFFF"/>
                <w:sz w:val="19"/>
              </w:rPr>
              <w:t>Max</w:t>
            </w:r>
          </w:p>
        </w:tc>
      </w:tr>
      <w:tr>
        <w:tc>
          <w:tcPr>
            <w:tcW w:type="dxa" w:w="1296"/>
            <w:shd w:fill="FFFFFF"/>
            <w:tcMar>
              <w:top w:w="100" w:type="dxa"/>
              <w:bottom w:w="100" w:type="dxa"/>
              <w:left w:w="140" w:type="dxa"/>
              <w:right w:w="140" w:type="dxa"/>
            </w:tcMar>
          </w:tcPr>
          <w:p>
            <w:pPr>
              <w:jc w:val="left"/>
            </w:pPr>
            <w:r>
              <w:rPr>
                <w:color w:val="2D3748"/>
                <w:sz w:val="18"/>
              </w:rPr>
              <w:t>id</w:t>
            </w:r>
          </w:p>
        </w:tc>
        <w:tc>
          <w:tcPr>
            <w:tcW w:type="dxa" w:w="1584"/>
            <w:shd w:fill="FFFFFF"/>
            <w:tcMar>
              <w:top w:w="100" w:type="dxa"/>
              <w:bottom w:w="100" w:type="dxa"/>
              <w:left w:w="140" w:type="dxa"/>
              <w:right w:w="140" w:type="dxa"/>
            </w:tcMar>
          </w:tcPr>
          <w:p>
            <w:pPr>
              <w:jc w:val="left"/>
            </w:pPr>
            <w:r>
              <w:rPr>
                <w:color w:val="2D3748"/>
                <w:sz w:val="18"/>
              </w:rPr>
              <w:t>Integer (Index)</w:t>
            </w:r>
          </w:p>
        </w:tc>
        <w:tc>
          <w:tcPr>
            <w:tcW w:type="dxa" w:w="1152"/>
            <w:shd w:fill="FFFFFF"/>
            <w:tcMar>
              <w:top w:w="100" w:type="dxa"/>
              <w:bottom w:w="100" w:type="dxa"/>
              <w:left w:w="140" w:type="dxa"/>
              <w:right w:w="140" w:type="dxa"/>
            </w:tcMar>
          </w:tcPr>
          <w:p>
            <w:pPr>
              <w:jc w:val="left"/>
            </w:pPr>
            <w:r>
              <w:rPr>
                <w:color w:val="2D3748"/>
                <w:sz w:val="18"/>
              </w:rPr>
              <w:t>193,573</w:t>
            </w:r>
          </w:p>
        </w:tc>
        <w:tc>
          <w:tcPr>
            <w:tcW w:type="dxa" w:w="2016"/>
            <w:shd w:fill="FFFFFF"/>
            <w:tcMar>
              <w:top w:w="100" w:type="dxa"/>
              <w:bottom w:w="100" w:type="dxa"/>
              <w:left w:w="140" w:type="dxa"/>
              <w:right w:w="140" w:type="dxa"/>
            </w:tcMar>
          </w:tcPr>
          <w:p>
            <w:pPr>
              <w:jc w:val="left"/>
            </w:pPr>
            <w:r>
              <w:rPr>
                <w:color w:val="2D3748"/>
                <w:sz w:val="18"/>
              </w:rPr>
              <w:t>96,786 ± 55,880</w:t>
            </w:r>
          </w:p>
        </w:tc>
        <w:tc>
          <w:tcPr>
            <w:tcW w:type="dxa" w:w="864"/>
            <w:shd w:fill="FFFFFF"/>
            <w:tcMar>
              <w:top w:w="100" w:type="dxa"/>
              <w:bottom w:w="100" w:type="dxa"/>
              <w:left w:w="140" w:type="dxa"/>
              <w:right w:w="140" w:type="dxa"/>
            </w:tcMar>
          </w:tcPr>
          <w:p>
            <w:pPr>
              <w:jc w:val="left"/>
            </w:pPr>
            <w:r>
              <w:rPr>
                <w:color w:val="2D3748"/>
                <w:sz w:val="18"/>
              </w:rPr>
              <w:t>0</w:t>
            </w:r>
          </w:p>
        </w:tc>
        <w:tc>
          <w:tcPr>
            <w:tcW w:type="dxa" w:w="1296"/>
            <w:shd w:fill="FFFFFF"/>
            <w:tcMar>
              <w:top w:w="100" w:type="dxa"/>
              <w:bottom w:w="100" w:type="dxa"/>
              <w:left w:w="140" w:type="dxa"/>
              <w:right w:w="140" w:type="dxa"/>
            </w:tcMar>
          </w:tcPr>
          <w:p>
            <w:pPr>
              <w:jc w:val="left"/>
            </w:pPr>
            <w:r>
              <w:rPr>
                <w:color w:val="2D3748"/>
                <w:sz w:val="18"/>
              </w:rPr>
              <w:t>96,786</w:t>
            </w:r>
          </w:p>
        </w:tc>
        <w:tc>
          <w:tcPr>
            <w:tcW w:type="dxa" w:w="1152"/>
            <w:shd w:fill="FFFFFF"/>
            <w:tcMar>
              <w:top w:w="100" w:type="dxa"/>
              <w:bottom w:w="100" w:type="dxa"/>
              <w:left w:w="140" w:type="dxa"/>
              <w:right w:w="140" w:type="dxa"/>
            </w:tcMar>
          </w:tcPr>
          <w:p>
            <w:pPr>
              <w:jc w:val="left"/>
            </w:pPr>
            <w:r>
              <w:rPr>
                <w:color w:val="2D3748"/>
                <w:sz w:val="18"/>
              </w:rPr>
              <w:t>193,572</w:t>
            </w:r>
          </w:p>
        </w:tc>
      </w:tr>
      <w:tr>
        <w:tc>
          <w:tcPr>
            <w:tcW w:type="dxa" w:w="1296"/>
            <w:shd w:fill="F7FAFC"/>
            <w:tcMar>
              <w:top w:w="100" w:type="dxa"/>
              <w:bottom w:w="100" w:type="dxa"/>
              <w:left w:w="140" w:type="dxa"/>
              <w:right w:w="140" w:type="dxa"/>
            </w:tcMar>
          </w:tcPr>
          <w:p>
            <w:pPr>
              <w:jc w:val="left"/>
            </w:pPr>
            <w:r>
              <w:rPr>
                <w:color w:val="2D3748"/>
                <w:sz w:val="18"/>
              </w:rPr>
              <w:t>carat</w:t>
            </w:r>
          </w:p>
        </w:tc>
        <w:tc>
          <w:tcPr>
            <w:tcW w:type="dxa" w:w="1584"/>
            <w:shd w:fill="F7FAFC"/>
            <w:tcMar>
              <w:top w:w="100" w:type="dxa"/>
              <w:bottom w:w="100" w:type="dxa"/>
              <w:left w:w="140" w:type="dxa"/>
              <w:right w:w="140" w:type="dxa"/>
            </w:tcMar>
          </w:tcPr>
          <w:p>
            <w:pPr>
              <w:jc w:val="left"/>
            </w:pPr>
            <w:r>
              <w:rPr>
                <w:color w:val="2D3748"/>
                <w:sz w:val="18"/>
              </w:rPr>
              <w:t>Float (Weight)</w:t>
            </w:r>
          </w:p>
        </w:tc>
        <w:tc>
          <w:tcPr>
            <w:tcW w:type="dxa" w:w="1152"/>
            <w:shd w:fill="F7FAFC"/>
            <w:tcMar>
              <w:top w:w="100" w:type="dxa"/>
              <w:bottom w:w="100" w:type="dxa"/>
              <w:left w:w="140" w:type="dxa"/>
              <w:right w:w="140" w:type="dxa"/>
            </w:tcMar>
          </w:tcPr>
          <w:p>
            <w:pPr>
              <w:jc w:val="left"/>
            </w:pPr>
            <w:r>
              <w:rPr>
                <w:color w:val="2D3748"/>
                <w:sz w:val="18"/>
              </w:rPr>
              <w:t>193,573</w:t>
            </w:r>
          </w:p>
        </w:tc>
        <w:tc>
          <w:tcPr>
            <w:tcW w:type="dxa" w:w="2016"/>
            <w:shd w:fill="F7FAFC"/>
            <w:tcMar>
              <w:top w:w="100" w:type="dxa"/>
              <w:bottom w:w="100" w:type="dxa"/>
              <w:left w:w="140" w:type="dxa"/>
              <w:right w:w="140" w:type="dxa"/>
            </w:tcMar>
          </w:tcPr>
          <w:p>
            <w:pPr>
              <w:jc w:val="left"/>
            </w:pPr>
            <w:r>
              <w:rPr>
                <w:color w:val="2D3748"/>
                <w:sz w:val="18"/>
              </w:rPr>
              <w:t>0.791 ± 0.463</w:t>
            </w:r>
          </w:p>
        </w:tc>
        <w:tc>
          <w:tcPr>
            <w:tcW w:type="dxa" w:w="864"/>
            <w:shd w:fill="F7FAFC"/>
            <w:tcMar>
              <w:top w:w="100" w:type="dxa"/>
              <w:bottom w:w="100" w:type="dxa"/>
              <w:left w:w="140" w:type="dxa"/>
              <w:right w:w="140" w:type="dxa"/>
            </w:tcMar>
          </w:tcPr>
          <w:p>
            <w:pPr>
              <w:jc w:val="left"/>
            </w:pPr>
            <w:r>
              <w:rPr>
                <w:color w:val="2D3748"/>
                <w:sz w:val="18"/>
              </w:rPr>
              <w:t>0.20</w:t>
            </w:r>
          </w:p>
        </w:tc>
        <w:tc>
          <w:tcPr>
            <w:tcW w:type="dxa" w:w="1296"/>
            <w:shd w:fill="F7FAFC"/>
            <w:tcMar>
              <w:top w:w="100" w:type="dxa"/>
              <w:bottom w:w="100" w:type="dxa"/>
              <w:left w:w="140" w:type="dxa"/>
              <w:right w:w="140" w:type="dxa"/>
            </w:tcMar>
          </w:tcPr>
          <w:p>
            <w:pPr>
              <w:jc w:val="left"/>
            </w:pPr>
            <w:r>
              <w:rPr>
                <w:color w:val="2D3748"/>
                <w:sz w:val="18"/>
              </w:rPr>
              <w:t>0.70</w:t>
            </w:r>
          </w:p>
        </w:tc>
        <w:tc>
          <w:tcPr>
            <w:tcW w:type="dxa" w:w="1152"/>
            <w:shd w:fill="F7FAFC"/>
            <w:tcMar>
              <w:top w:w="100" w:type="dxa"/>
              <w:bottom w:w="100" w:type="dxa"/>
              <w:left w:w="140" w:type="dxa"/>
              <w:right w:w="140" w:type="dxa"/>
            </w:tcMar>
          </w:tcPr>
          <w:p>
            <w:pPr>
              <w:jc w:val="left"/>
            </w:pPr>
            <w:r>
              <w:rPr>
                <w:color w:val="2D3748"/>
                <w:sz w:val="18"/>
              </w:rPr>
              <w:t>3.50</w:t>
            </w:r>
          </w:p>
        </w:tc>
      </w:tr>
      <w:tr>
        <w:tc>
          <w:tcPr>
            <w:tcW w:type="dxa" w:w="1296"/>
            <w:shd w:fill="FFFFFF"/>
            <w:tcMar>
              <w:top w:w="100" w:type="dxa"/>
              <w:bottom w:w="100" w:type="dxa"/>
              <w:left w:w="140" w:type="dxa"/>
              <w:right w:w="140" w:type="dxa"/>
            </w:tcMar>
          </w:tcPr>
          <w:p>
            <w:pPr>
              <w:jc w:val="left"/>
            </w:pPr>
            <w:r>
              <w:rPr>
                <w:color w:val="2D3748"/>
                <w:sz w:val="18"/>
              </w:rPr>
              <w:t>depth</w:t>
            </w:r>
          </w:p>
        </w:tc>
        <w:tc>
          <w:tcPr>
            <w:tcW w:type="dxa" w:w="1584"/>
            <w:shd w:fill="FFFFFF"/>
            <w:tcMar>
              <w:top w:w="100" w:type="dxa"/>
              <w:bottom w:w="100" w:type="dxa"/>
              <w:left w:w="140" w:type="dxa"/>
              <w:right w:w="140" w:type="dxa"/>
            </w:tcMar>
          </w:tcPr>
          <w:p>
            <w:pPr>
              <w:jc w:val="left"/>
            </w:pPr>
            <w:r>
              <w:rPr>
                <w:color w:val="2D3748"/>
                <w:sz w:val="18"/>
              </w:rPr>
              <w:t>Float (Ratio %)</w:t>
            </w:r>
          </w:p>
        </w:tc>
        <w:tc>
          <w:tcPr>
            <w:tcW w:type="dxa" w:w="1152"/>
            <w:shd w:fill="FFFFFF"/>
            <w:tcMar>
              <w:top w:w="100" w:type="dxa"/>
              <w:bottom w:w="100" w:type="dxa"/>
              <w:left w:w="140" w:type="dxa"/>
              <w:right w:w="140" w:type="dxa"/>
            </w:tcMar>
          </w:tcPr>
          <w:p>
            <w:pPr>
              <w:jc w:val="left"/>
            </w:pPr>
            <w:r>
              <w:rPr>
                <w:color w:val="2D3748"/>
                <w:sz w:val="18"/>
              </w:rPr>
              <w:t>193,573</w:t>
            </w:r>
          </w:p>
        </w:tc>
        <w:tc>
          <w:tcPr>
            <w:tcW w:type="dxa" w:w="2016"/>
            <w:shd w:fill="FFFFFF"/>
            <w:tcMar>
              <w:top w:w="100" w:type="dxa"/>
              <w:bottom w:w="100" w:type="dxa"/>
              <w:left w:w="140" w:type="dxa"/>
              <w:right w:w="140" w:type="dxa"/>
            </w:tcMar>
          </w:tcPr>
          <w:p>
            <w:pPr>
              <w:jc w:val="left"/>
            </w:pPr>
            <w:r>
              <w:rPr>
                <w:color w:val="2D3748"/>
                <w:sz w:val="18"/>
              </w:rPr>
              <w:t>61.82 ± 1.082</w:t>
            </w:r>
          </w:p>
        </w:tc>
        <w:tc>
          <w:tcPr>
            <w:tcW w:type="dxa" w:w="864"/>
            <w:shd w:fill="FFFFFF"/>
            <w:tcMar>
              <w:top w:w="100" w:type="dxa"/>
              <w:bottom w:w="100" w:type="dxa"/>
              <w:left w:w="140" w:type="dxa"/>
              <w:right w:w="140" w:type="dxa"/>
            </w:tcMar>
          </w:tcPr>
          <w:p>
            <w:pPr>
              <w:jc w:val="left"/>
            </w:pPr>
            <w:r>
              <w:rPr>
                <w:color w:val="2D3748"/>
                <w:sz w:val="18"/>
              </w:rPr>
              <w:t>52.10</w:t>
            </w:r>
          </w:p>
        </w:tc>
        <w:tc>
          <w:tcPr>
            <w:tcW w:type="dxa" w:w="1296"/>
            <w:shd w:fill="FFFFFF"/>
            <w:tcMar>
              <w:top w:w="100" w:type="dxa"/>
              <w:bottom w:w="100" w:type="dxa"/>
              <w:left w:w="140" w:type="dxa"/>
              <w:right w:w="140" w:type="dxa"/>
            </w:tcMar>
          </w:tcPr>
          <w:p>
            <w:pPr>
              <w:jc w:val="left"/>
            </w:pPr>
            <w:r>
              <w:rPr>
                <w:color w:val="2D3748"/>
                <w:sz w:val="18"/>
              </w:rPr>
              <w:t>61.90</w:t>
            </w:r>
          </w:p>
        </w:tc>
        <w:tc>
          <w:tcPr>
            <w:tcW w:type="dxa" w:w="1152"/>
            <w:shd w:fill="FFFFFF"/>
            <w:tcMar>
              <w:top w:w="100" w:type="dxa"/>
              <w:bottom w:w="100" w:type="dxa"/>
              <w:left w:w="140" w:type="dxa"/>
              <w:right w:w="140" w:type="dxa"/>
            </w:tcMar>
          </w:tcPr>
          <w:p>
            <w:pPr>
              <w:jc w:val="left"/>
            </w:pPr>
            <w:r>
              <w:rPr>
                <w:color w:val="2D3748"/>
                <w:sz w:val="18"/>
              </w:rPr>
              <w:t>71.60</w:t>
            </w:r>
          </w:p>
        </w:tc>
      </w:tr>
      <w:tr>
        <w:tc>
          <w:tcPr>
            <w:tcW w:type="dxa" w:w="1296"/>
            <w:shd w:fill="F7FAFC"/>
            <w:tcMar>
              <w:top w:w="100" w:type="dxa"/>
              <w:bottom w:w="100" w:type="dxa"/>
              <w:left w:w="140" w:type="dxa"/>
              <w:right w:w="140" w:type="dxa"/>
            </w:tcMar>
          </w:tcPr>
          <w:p>
            <w:pPr>
              <w:jc w:val="left"/>
            </w:pPr>
            <w:r>
              <w:rPr>
                <w:color w:val="2D3748"/>
                <w:sz w:val="18"/>
              </w:rPr>
              <w:t>table</w:t>
            </w:r>
          </w:p>
        </w:tc>
        <w:tc>
          <w:tcPr>
            <w:tcW w:type="dxa" w:w="1584"/>
            <w:shd w:fill="F7FAFC"/>
            <w:tcMar>
              <w:top w:w="100" w:type="dxa"/>
              <w:bottom w:w="100" w:type="dxa"/>
              <w:left w:w="140" w:type="dxa"/>
              <w:right w:w="140" w:type="dxa"/>
            </w:tcMar>
          </w:tcPr>
          <w:p>
            <w:pPr>
              <w:jc w:val="left"/>
            </w:pPr>
            <w:r>
              <w:rPr>
                <w:color w:val="2D3748"/>
                <w:sz w:val="18"/>
              </w:rPr>
              <w:t>Float (Ratio %)</w:t>
            </w:r>
          </w:p>
        </w:tc>
        <w:tc>
          <w:tcPr>
            <w:tcW w:type="dxa" w:w="1152"/>
            <w:shd w:fill="F7FAFC"/>
            <w:tcMar>
              <w:top w:w="100" w:type="dxa"/>
              <w:bottom w:w="100" w:type="dxa"/>
              <w:left w:w="140" w:type="dxa"/>
              <w:right w:w="140" w:type="dxa"/>
            </w:tcMar>
          </w:tcPr>
          <w:p>
            <w:pPr>
              <w:jc w:val="left"/>
            </w:pPr>
            <w:r>
              <w:rPr>
                <w:color w:val="2D3748"/>
                <w:sz w:val="18"/>
              </w:rPr>
              <w:t>193,573</w:t>
            </w:r>
          </w:p>
        </w:tc>
        <w:tc>
          <w:tcPr>
            <w:tcW w:type="dxa" w:w="2016"/>
            <w:shd w:fill="F7FAFC"/>
            <w:tcMar>
              <w:top w:w="100" w:type="dxa"/>
              <w:bottom w:w="100" w:type="dxa"/>
              <w:left w:w="140" w:type="dxa"/>
              <w:right w:w="140" w:type="dxa"/>
            </w:tcMar>
          </w:tcPr>
          <w:p>
            <w:pPr>
              <w:jc w:val="left"/>
            </w:pPr>
            <w:r>
              <w:rPr>
                <w:color w:val="2D3748"/>
                <w:sz w:val="18"/>
              </w:rPr>
              <w:t>57.23 ± 1.919</w:t>
            </w:r>
          </w:p>
        </w:tc>
        <w:tc>
          <w:tcPr>
            <w:tcW w:type="dxa" w:w="864"/>
            <w:shd w:fill="F7FAFC"/>
            <w:tcMar>
              <w:top w:w="100" w:type="dxa"/>
              <w:bottom w:w="100" w:type="dxa"/>
              <w:left w:w="140" w:type="dxa"/>
              <w:right w:w="140" w:type="dxa"/>
            </w:tcMar>
          </w:tcPr>
          <w:p>
            <w:pPr>
              <w:jc w:val="left"/>
            </w:pPr>
            <w:r>
              <w:rPr>
                <w:color w:val="2D3748"/>
                <w:sz w:val="18"/>
              </w:rPr>
              <w:t>49.00</w:t>
            </w:r>
          </w:p>
        </w:tc>
        <w:tc>
          <w:tcPr>
            <w:tcW w:type="dxa" w:w="1296"/>
            <w:shd w:fill="F7FAFC"/>
            <w:tcMar>
              <w:top w:w="100" w:type="dxa"/>
              <w:bottom w:w="100" w:type="dxa"/>
              <w:left w:w="140" w:type="dxa"/>
              <w:right w:w="140" w:type="dxa"/>
            </w:tcMar>
          </w:tcPr>
          <w:p>
            <w:pPr>
              <w:jc w:val="left"/>
            </w:pPr>
            <w:r>
              <w:rPr>
                <w:color w:val="2D3748"/>
                <w:sz w:val="18"/>
              </w:rPr>
              <w:t>57.00</w:t>
            </w:r>
          </w:p>
        </w:tc>
        <w:tc>
          <w:tcPr>
            <w:tcW w:type="dxa" w:w="1152"/>
            <w:shd w:fill="F7FAFC"/>
            <w:tcMar>
              <w:top w:w="100" w:type="dxa"/>
              <w:bottom w:w="100" w:type="dxa"/>
              <w:left w:w="140" w:type="dxa"/>
              <w:right w:w="140" w:type="dxa"/>
            </w:tcMar>
          </w:tcPr>
          <w:p>
            <w:pPr>
              <w:jc w:val="left"/>
            </w:pPr>
            <w:r>
              <w:rPr>
                <w:color w:val="2D3748"/>
                <w:sz w:val="18"/>
              </w:rPr>
              <w:t>79.00</w:t>
            </w:r>
          </w:p>
        </w:tc>
      </w:tr>
      <w:tr>
        <w:tc>
          <w:tcPr>
            <w:tcW w:type="dxa" w:w="1296"/>
            <w:shd w:fill="FFFFFF"/>
            <w:tcMar>
              <w:top w:w="100" w:type="dxa"/>
              <w:bottom w:w="100" w:type="dxa"/>
              <w:left w:w="140" w:type="dxa"/>
              <w:right w:w="140" w:type="dxa"/>
            </w:tcMar>
          </w:tcPr>
          <w:p>
            <w:pPr>
              <w:jc w:val="left"/>
            </w:pPr>
            <w:r>
              <w:rPr>
                <w:color w:val="2D3748"/>
                <w:sz w:val="18"/>
              </w:rPr>
              <w:t>x</w:t>
            </w:r>
          </w:p>
        </w:tc>
        <w:tc>
          <w:tcPr>
            <w:tcW w:type="dxa" w:w="1584"/>
            <w:shd w:fill="FFFFFF"/>
            <w:tcMar>
              <w:top w:w="100" w:type="dxa"/>
              <w:bottom w:w="100" w:type="dxa"/>
              <w:left w:w="140" w:type="dxa"/>
              <w:right w:w="140" w:type="dxa"/>
            </w:tcMar>
          </w:tcPr>
          <w:p>
            <w:pPr>
              <w:jc w:val="left"/>
            </w:pPr>
            <w:r>
              <w:rPr>
                <w:color w:val="2D3748"/>
                <w:sz w:val="18"/>
              </w:rPr>
              <w:t>Float (Length mm)</w:t>
            </w:r>
          </w:p>
        </w:tc>
        <w:tc>
          <w:tcPr>
            <w:tcW w:type="dxa" w:w="1152"/>
            <w:shd w:fill="FFFFFF"/>
            <w:tcMar>
              <w:top w:w="100" w:type="dxa"/>
              <w:bottom w:w="100" w:type="dxa"/>
              <w:left w:w="140" w:type="dxa"/>
              <w:right w:w="140" w:type="dxa"/>
            </w:tcMar>
          </w:tcPr>
          <w:p>
            <w:pPr>
              <w:jc w:val="left"/>
            </w:pPr>
            <w:r>
              <w:rPr>
                <w:color w:val="2D3748"/>
                <w:sz w:val="18"/>
              </w:rPr>
              <w:t>193,573</w:t>
            </w:r>
          </w:p>
        </w:tc>
        <w:tc>
          <w:tcPr>
            <w:tcW w:type="dxa" w:w="2016"/>
            <w:shd w:fill="FFFFFF"/>
            <w:tcMar>
              <w:top w:w="100" w:type="dxa"/>
              <w:bottom w:w="100" w:type="dxa"/>
              <w:left w:w="140" w:type="dxa"/>
              <w:right w:w="140" w:type="dxa"/>
            </w:tcMar>
          </w:tcPr>
          <w:p>
            <w:pPr>
              <w:jc w:val="left"/>
            </w:pPr>
            <w:r>
              <w:rPr>
                <w:color w:val="2D3748"/>
                <w:sz w:val="18"/>
              </w:rPr>
              <w:t>5.715 ± 1.109</w:t>
            </w:r>
          </w:p>
        </w:tc>
        <w:tc>
          <w:tcPr>
            <w:tcW w:type="dxa" w:w="864"/>
            <w:shd w:fill="FFFFFF"/>
            <w:tcMar>
              <w:top w:w="100" w:type="dxa"/>
              <w:bottom w:w="100" w:type="dxa"/>
              <w:left w:w="140" w:type="dxa"/>
              <w:right w:w="140" w:type="dxa"/>
            </w:tcMar>
          </w:tcPr>
          <w:p>
            <w:pPr>
              <w:jc w:val="left"/>
            </w:pPr>
            <w:r>
              <w:rPr>
                <w:color w:val="2D3748"/>
                <w:sz w:val="18"/>
              </w:rPr>
              <w:t>0.00</w:t>
            </w:r>
          </w:p>
        </w:tc>
        <w:tc>
          <w:tcPr>
            <w:tcW w:type="dxa" w:w="1296"/>
            <w:shd w:fill="FFFFFF"/>
            <w:tcMar>
              <w:top w:w="100" w:type="dxa"/>
              <w:bottom w:w="100" w:type="dxa"/>
              <w:left w:w="140" w:type="dxa"/>
              <w:right w:w="140" w:type="dxa"/>
            </w:tcMar>
          </w:tcPr>
          <w:p>
            <w:pPr>
              <w:jc w:val="left"/>
            </w:pPr>
            <w:r>
              <w:rPr>
                <w:color w:val="2D3748"/>
                <w:sz w:val="18"/>
              </w:rPr>
              <w:t>5.70</w:t>
            </w:r>
          </w:p>
        </w:tc>
        <w:tc>
          <w:tcPr>
            <w:tcW w:type="dxa" w:w="1152"/>
            <w:shd w:fill="FFFFFF"/>
            <w:tcMar>
              <w:top w:w="100" w:type="dxa"/>
              <w:bottom w:w="100" w:type="dxa"/>
              <w:left w:w="140" w:type="dxa"/>
              <w:right w:w="140" w:type="dxa"/>
            </w:tcMar>
          </w:tcPr>
          <w:p>
            <w:pPr>
              <w:jc w:val="left"/>
            </w:pPr>
            <w:r>
              <w:rPr>
                <w:color w:val="2D3748"/>
                <w:sz w:val="18"/>
              </w:rPr>
              <w:t>9.65</w:t>
            </w:r>
          </w:p>
        </w:tc>
      </w:tr>
      <w:tr>
        <w:tc>
          <w:tcPr>
            <w:tcW w:type="dxa" w:w="1296"/>
            <w:shd w:fill="F7FAFC"/>
            <w:tcMar>
              <w:top w:w="100" w:type="dxa"/>
              <w:bottom w:w="100" w:type="dxa"/>
              <w:left w:w="140" w:type="dxa"/>
              <w:right w:w="140" w:type="dxa"/>
            </w:tcMar>
          </w:tcPr>
          <w:p>
            <w:pPr>
              <w:jc w:val="left"/>
            </w:pPr>
            <w:r>
              <w:rPr>
                <w:color w:val="2D3748"/>
                <w:sz w:val="18"/>
              </w:rPr>
              <w:t>y</w:t>
            </w:r>
          </w:p>
        </w:tc>
        <w:tc>
          <w:tcPr>
            <w:tcW w:type="dxa" w:w="1584"/>
            <w:shd w:fill="F7FAFC"/>
            <w:tcMar>
              <w:top w:w="100" w:type="dxa"/>
              <w:bottom w:w="100" w:type="dxa"/>
              <w:left w:w="140" w:type="dxa"/>
              <w:right w:w="140" w:type="dxa"/>
            </w:tcMar>
          </w:tcPr>
          <w:p>
            <w:pPr>
              <w:jc w:val="left"/>
            </w:pPr>
            <w:r>
              <w:rPr>
                <w:color w:val="2D3748"/>
                <w:sz w:val="18"/>
              </w:rPr>
              <w:t>Float (Width mm)</w:t>
            </w:r>
          </w:p>
        </w:tc>
        <w:tc>
          <w:tcPr>
            <w:tcW w:type="dxa" w:w="1152"/>
            <w:shd w:fill="F7FAFC"/>
            <w:tcMar>
              <w:top w:w="100" w:type="dxa"/>
              <w:bottom w:w="100" w:type="dxa"/>
              <w:left w:w="140" w:type="dxa"/>
              <w:right w:w="140" w:type="dxa"/>
            </w:tcMar>
          </w:tcPr>
          <w:p>
            <w:pPr>
              <w:jc w:val="left"/>
            </w:pPr>
            <w:r>
              <w:rPr>
                <w:color w:val="2D3748"/>
                <w:sz w:val="18"/>
              </w:rPr>
              <w:t>193,573</w:t>
            </w:r>
          </w:p>
        </w:tc>
        <w:tc>
          <w:tcPr>
            <w:tcW w:type="dxa" w:w="2016"/>
            <w:shd w:fill="F7FAFC"/>
            <w:tcMar>
              <w:top w:w="100" w:type="dxa"/>
              <w:bottom w:w="100" w:type="dxa"/>
              <w:left w:w="140" w:type="dxa"/>
              <w:right w:w="140" w:type="dxa"/>
            </w:tcMar>
          </w:tcPr>
          <w:p>
            <w:pPr>
              <w:jc w:val="left"/>
            </w:pPr>
            <w:r>
              <w:rPr>
                <w:color w:val="2D3748"/>
                <w:sz w:val="18"/>
              </w:rPr>
              <w:t>5.720 ± 1.102</w:t>
            </w:r>
          </w:p>
        </w:tc>
        <w:tc>
          <w:tcPr>
            <w:tcW w:type="dxa" w:w="864"/>
            <w:shd w:fill="F7FAFC"/>
            <w:tcMar>
              <w:top w:w="100" w:type="dxa"/>
              <w:bottom w:w="100" w:type="dxa"/>
              <w:left w:w="140" w:type="dxa"/>
              <w:right w:w="140" w:type="dxa"/>
            </w:tcMar>
          </w:tcPr>
          <w:p>
            <w:pPr>
              <w:jc w:val="left"/>
            </w:pPr>
            <w:r>
              <w:rPr>
                <w:color w:val="2D3748"/>
                <w:sz w:val="18"/>
              </w:rPr>
              <w:t>0.00</w:t>
            </w:r>
          </w:p>
        </w:tc>
        <w:tc>
          <w:tcPr>
            <w:tcW w:type="dxa" w:w="1296"/>
            <w:shd w:fill="F7FAFC"/>
            <w:tcMar>
              <w:top w:w="100" w:type="dxa"/>
              <w:bottom w:w="100" w:type="dxa"/>
              <w:left w:w="140" w:type="dxa"/>
              <w:right w:w="140" w:type="dxa"/>
            </w:tcMar>
          </w:tcPr>
          <w:p>
            <w:pPr>
              <w:jc w:val="left"/>
            </w:pPr>
            <w:r>
              <w:rPr>
                <w:color w:val="2D3748"/>
                <w:sz w:val="18"/>
              </w:rPr>
              <w:t>5.72</w:t>
            </w:r>
          </w:p>
        </w:tc>
        <w:tc>
          <w:tcPr>
            <w:tcW w:type="dxa" w:w="1152"/>
            <w:shd w:fill="F7FAFC"/>
            <w:tcMar>
              <w:top w:w="100" w:type="dxa"/>
              <w:bottom w:w="100" w:type="dxa"/>
              <w:left w:w="140" w:type="dxa"/>
              <w:right w:w="140" w:type="dxa"/>
            </w:tcMar>
          </w:tcPr>
          <w:p>
            <w:pPr>
              <w:jc w:val="left"/>
            </w:pPr>
            <w:r>
              <w:rPr>
                <w:color w:val="2D3748"/>
                <w:sz w:val="18"/>
              </w:rPr>
              <w:t>10.01</w:t>
            </w:r>
          </w:p>
        </w:tc>
      </w:tr>
      <w:tr>
        <w:tc>
          <w:tcPr>
            <w:tcW w:type="dxa" w:w="1296"/>
            <w:shd w:fill="FFFFFF"/>
            <w:tcMar>
              <w:top w:w="100" w:type="dxa"/>
              <w:bottom w:w="100" w:type="dxa"/>
              <w:left w:w="140" w:type="dxa"/>
              <w:right w:w="140" w:type="dxa"/>
            </w:tcMar>
          </w:tcPr>
          <w:p>
            <w:pPr>
              <w:jc w:val="left"/>
            </w:pPr>
            <w:r>
              <w:rPr>
                <w:color w:val="2D3748"/>
                <w:sz w:val="18"/>
              </w:rPr>
              <w:t>z</w:t>
            </w:r>
          </w:p>
        </w:tc>
        <w:tc>
          <w:tcPr>
            <w:tcW w:type="dxa" w:w="1584"/>
            <w:shd w:fill="FFFFFF"/>
            <w:tcMar>
              <w:top w:w="100" w:type="dxa"/>
              <w:bottom w:w="100" w:type="dxa"/>
              <w:left w:w="140" w:type="dxa"/>
              <w:right w:w="140" w:type="dxa"/>
            </w:tcMar>
          </w:tcPr>
          <w:p>
            <w:pPr>
              <w:jc w:val="left"/>
            </w:pPr>
            <w:r>
              <w:rPr>
                <w:color w:val="2D3748"/>
                <w:sz w:val="18"/>
              </w:rPr>
              <w:t>Float (Depth mm)</w:t>
            </w:r>
          </w:p>
        </w:tc>
        <w:tc>
          <w:tcPr>
            <w:tcW w:type="dxa" w:w="1152"/>
            <w:shd w:fill="FFFFFF"/>
            <w:tcMar>
              <w:top w:w="100" w:type="dxa"/>
              <w:bottom w:w="100" w:type="dxa"/>
              <w:left w:w="140" w:type="dxa"/>
              <w:right w:w="140" w:type="dxa"/>
            </w:tcMar>
          </w:tcPr>
          <w:p>
            <w:pPr>
              <w:jc w:val="left"/>
            </w:pPr>
            <w:r>
              <w:rPr>
                <w:color w:val="2D3748"/>
                <w:sz w:val="18"/>
              </w:rPr>
              <w:t>193,573</w:t>
            </w:r>
          </w:p>
        </w:tc>
        <w:tc>
          <w:tcPr>
            <w:tcW w:type="dxa" w:w="2016"/>
            <w:shd w:fill="FFFFFF"/>
            <w:tcMar>
              <w:top w:w="100" w:type="dxa"/>
              <w:bottom w:w="100" w:type="dxa"/>
              <w:left w:w="140" w:type="dxa"/>
              <w:right w:w="140" w:type="dxa"/>
            </w:tcMar>
          </w:tcPr>
          <w:p>
            <w:pPr>
              <w:jc w:val="left"/>
            </w:pPr>
            <w:r>
              <w:rPr>
                <w:color w:val="2D3748"/>
                <w:sz w:val="18"/>
              </w:rPr>
              <w:t>3.534 ± 0.689</w:t>
            </w:r>
          </w:p>
        </w:tc>
        <w:tc>
          <w:tcPr>
            <w:tcW w:type="dxa" w:w="864"/>
            <w:shd w:fill="FFFFFF"/>
            <w:tcMar>
              <w:top w:w="100" w:type="dxa"/>
              <w:bottom w:w="100" w:type="dxa"/>
              <w:left w:w="140" w:type="dxa"/>
              <w:right w:w="140" w:type="dxa"/>
            </w:tcMar>
          </w:tcPr>
          <w:p>
            <w:pPr>
              <w:jc w:val="left"/>
            </w:pPr>
            <w:r>
              <w:rPr>
                <w:color w:val="2D3748"/>
                <w:sz w:val="18"/>
              </w:rPr>
              <w:t>0.00</w:t>
            </w:r>
          </w:p>
        </w:tc>
        <w:tc>
          <w:tcPr>
            <w:tcW w:type="dxa" w:w="1296"/>
            <w:shd w:fill="FFFFFF"/>
            <w:tcMar>
              <w:top w:w="100" w:type="dxa"/>
              <w:bottom w:w="100" w:type="dxa"/>
              <w:left w:w="140" w:type="dxa"/>
              <w:right w:w="140" w:type="dxa"/>
            </w:tcMar>
          </w:tcPr>
          <w:p>
            <w:pPr>
              <w:jc w:val="left"/>
            </w:pPr>
            <w:r>
              <w:rPr>
                <w:color w:val="2D3748"/>
                <w:sz w:val="18"/>
              </w:rPr>
              <w:t>3.53</w:t>
            </w:r>
          </w:p>
        </w:tc>
        <w:tc>
          <w:tcPr>
            <w:tcW w:type="dxa" w:w="1152"/>
            <w:shd w:fill="FFFFFF"/>
            <w:tcMar>
              <w:top w:w="100" w:type="dxa"/>
              <w:bottom w:w="100" w:type="dxa"/>
              <w:left w:w="140" w:type="dxa"/>
              <w:right w:w="140" w:type="dxa"/>
            </w:tcMar>
          </w:tcPr>
          <w:p>
            <w:pPr>
              <w:jc w:val="left"/>
            </w:pPr>
            <w:r>
              <w:rPr>
                <w:color w:val="2D3748"/>
                <w:sz w:val="18"/>
              </w:rPr>
              <w:t>31.30</w:t>
            </w:r>
          </w:p>
        </w:tc>
      </w:tr>
      <w:tr>
        <w:tc>
          <w:tcPr>
            <w:tcW w:type="dxa" w:w="1296"/>
            <w:shd w:fill="F7FAFC"/>
            <w:tcMar>
              <w:top w:w="100" w:type="dxa"/>
              <w:bottom w:w="100" w:type="dxa"/>
              <w:left w:w="140" w:type="dxa"/>
              <w:right w:w="140" w:type="dxa"/>
            </w:tcMar>
          </w:tcPr>
          <w:p>
            <w:pPr>
              <w:jc w:val="left"/>
            </w:pPr>
            <w:r>
              <w:rPr>
                <w:color w:val="2D3748"/>
                <w:sz w:val="18"/>
              </w:rPr>
              <w:t>price</w:t>
            </w:r>
          </w:p>
        </w:tc>
        <w:tc>
          <w:tcPr>
            <w:tcW w:type="dxa" w:w="1584"/>
            <w:shd w:fill="F7FAFC"/>
            <w:tcMar>
              <w:top w:w="100" w:type="dxa"/>
              <w:bottom w:w="100" w:type="dxa"/>
              <w:left w:w="140" w:type="dxa"/>
              <w:right w:w="140" w:type="dxa"/>
            </w:tcMar>
          </w:tcPr>
          <w:p>
            <w:pPr>
              <w:jc w:val="left"/>
            </w:pPr>
            <w:r>
              <w:rPr>
                <w:color w:val="2D3748"/>
                <w:sz w:val="18"/>
              </w:rPr>
              <w:t>Float (USD $)</w:t>
            </w:r>
          </w:p>
        </w:tc>
        <w:tc>
          <w:tcPr>
            <w:tcW w:type="dxa" w:w="1152"/>
            <w:shd w:fill="F7FAFC"/>
            <w:tcMar>
              <w:top w:w="100" w:type="dxa"/>
              <w:bottom w:w="100" w:type="dxa"/>
              <w:left w:w="140" w:type="dxa"/>
              <w:right w:w="140" w:type="dxa"/>
            </w:tcMar>
          </w:tcPr>
          <w:p>
            <w:pPr>
              <w:jc w:val="left"/>
            </w:pPr>
            <w:r>
              <w:rPr>
                <w:color w:val="2D3748"/>
                <w:sz w:val="18"/>
              </w:rPr>
              <w:t>193,573</w:t>
            </w:r>
          </w:p>
        </w:tc>
        <w:tc>
          <w:tcPr>
            <w:tcW w:type="dxa" w:w="2016"/>
            <w:shd w:fill="F7FAFC"/>
            <w:tcMar>
              <w:top w:w="100" w:type="dxa"/>
              <w:bottom w:w="100" w:type="dxa"/>
              <w:left w:w="140" w:type="dxa"/>
              <w:right w:w="140" w:type="dxa"/>
            </w:tcMar>
          </w:tcPr>
          <w:p>
            <w:pPr>
              <w:jc w:val="left"/>
            </w:pPr>
            <w:r>
              <w:rPr>
                <w:color w:val="2D3748"/>
                <w:sz w:val="18"/>
              </w:rPr>
              <w:t>$3,969.16 ± $4,034.37</w:t>
            </w:r>
          </w:p>
        </w:tc>
        <w:tc>
          <w:tcPr>
            <w:tcW w:type="dxa" w:w="864"/>
            <w:shd w:fill="F7FAFC"/>
            <w:tcMar>
              <w:top w:w="100" w:type="dxa"/>
              <w:bottom w:w="100" w:type="dxa"/>
              <w:left w:w="140" w:type="dxa"/>
              <w:right w:w="140" w:type="dxa"/>
            </w:tcMar>
          </w:tcPr>
          <w:p>
            <w:pPr>
              <w:jc w:val="left"/>
            </w:pPr>
            <w:r>
              <w:rPr>
                <w:color w:val="2D3748"/>
                <w:sz w:val="18"/>
              </w:rPr>
              <w:t>$326.00</w:t>
            </w:r>
          </w:p>
        </w:tc>
        <w:tc>
          <w:tcPr>
            <w:tcW w:type="dxa" w:w="1296"/>
            <w:shd w:fill="F7FAFC"/>
            <w:tcMar>
              <w:top w:w="100" w:type="dxa"/>
              <w:bottom w:w="100" w:type="dxa"/>
              <w:left w:w="140" w:type="dxa"/>
              <w:right w:w="140" w:type="dxa"/>
            </w:tcMar>
          </w:tcPr>
          <w:p>
            <w:pPr>
              <w:jc w:val="left"/>
            </w:pPr>
            <w:r>
              <w:rPr>
                <w:color w:val="2D3748"/>
                <w:sz w:val="18"/>
              </w:rPr>
              <w:t>$2,401.00</w:t>
            </w:r>
          </w:p>
        </w:tc>
        <w:tc>
          <w:tcPr>
            <w:tcW w:type="dxa" w:w="1152"/>
            <w:shd w:fill="F7FAFC"/>
            <w:tcMar>
              <w:top w:w="100" w:type="dxa"/>
              <w:bottom w:w="100" w:type="dxa"/>
              <w:left w:w="140" w:type="dxa"/>
              <w:right w:w="140" w:type="dxa"/>
            </w:tcMar>
          </w:tcPr>
          <w:p>
            <w:pPr>
              <w:jc w:val="left"/>
            </w:pPr>
            <w:r>
              <w:rPr>
                <w:color w:val="2D3748"/>
                <w:sz w:val="18"/>
              </w:rPr>
              <w:t>$18,818.00</w:t>
            </w:r>
          </w:p>
        </w:tc>
      </w:tr>
    </w:tbl>
    <w:p>
      <w:pPr>
        <w:spacing w:before="0" w:after="120"/>
      </w:pPr>
    </w:p>
    <w:p>
      <w:pPr>
        <w:keepNext/>
        <w:spacing w:before="280" w:after="120"/>
      </w:pPr>
      <w:r>
        <w:rPr>
          <w:rFonts w:ascii="Calibri" w:hAnsi="Calibri"/>
          <w:b/>
          <w:color w:val="2B6CB0"/>
          <w:sz w:val="26"/>
        </w:rPr>
        <w:t>8.2 Feature Definitions and Gemological Attributes</w:t>
      </w:r>
    </w:p>
    <w:p>
      <w:pPr>
        <w:pStyle w:val="ListBullet"/>
        <w:spacing w:before="40" w:after="60" w:line="276" w:lineRule="auto"/>
        <w:jc w:val="both"/>
      </w:pPr>
      <w:r>
        <w:rPr>
          <w:rFonts w:ascii="Calibri" w:hAnsi="Calibri"/>
          <w:b/>
          <w:color w:val="1A365D"/>
          <w:sz w:val="21"/>
        </w:rPr>
        <w:t xml:space="preserve">Carat: </w:t>
      </w:r>
      <w:r>
        <w:rPr>
          <w:rFonts w:ascii="Calibri" w:hAnsi="Calibri"/>
          <w:color w:val="2D3748"/>
          <w:sz w:val="21"/>
        </w:rPr>
        <w:t>Continuous physical weight measurement (1 carat = 0.200 grams). Exhibits strong right skewness; 75% of stones weigh under 1.03 carats.</w:t>
      </w:r>
    </w:p>
    <w:p>
      <w:pPr>
        <w:pStyle w:val="ListBullet"/>
        <w:spacing w:before="40" w:after="60" w:line="276" w:lineRule="auto"/>
        <w:jc w:val="both"/>
      </w:pPr>
      <w:r>
        <w:rPr>
          <w:rFonts w:ascii="Calibri" w:hAnsi="Calibri"/>
          <w:b/>
          <w:color w:val="1A365D"/>
          <w:sz w:val="21"/>
        </w:rPr>
        <w:t xml:space="preserve">Cut: </w:t>
      </w:r>
      <w:r>
        <w:rPr>
          <w:rFonts w:ascii="Calibri" w:hAnsi="Calibri"/>
          <w:color w:val="2D3748"/>
          <w:sz w:val="21"/>
        </w:rPr>
        <w:t>Ordinal craftsmanship tier: Ideal (39.2%), Premium (25.8%), Very Good (24.5%), Good (8.2%), Fair (2.3%).</w:t>
      </w:r>
    </w:p>
    <w:p>
      <w:pPr>
        <w:pStyle w:val="ListBullet"/>
        <w:spacing w:before="40" w:after="60" w:line="276" w:lineRule="auto"/>
        <w:jc w:val="both"/>
      </w:pPr>
      <w:r>
        <w:rPr>
          <w:rFonts w:ascii="Calibri" w:hAnsi="Calibri"/>
          <w:b/>
          <w:color w:val="1A365D"/>
          <w:sz w:val="21"/>
        </w:rPr>
        <w:t xml:space="preserve">Color: </w:t>
      </w:r>
      <w:r>
        <w:rPr>
          <w:rFonts w:ascii="Calibri" w:hAnsi="Calibri"/>
          <w:color w:val="2D3748"/>
          <w:sz w:val="21"/>
        </w:rPr>
        <w:t>Graded from colorless (D) to near-colorless with yellow tint (J): G (22.9%), E (18.5%), F (17.9%), H (15.9%), D (12.5%), I (8.1%), J (4.2%).</w:t>
      </w:r>
    </w:p>
    <w:p>
      <w:pPr>
        <w:pStyle w:val="ListBullet"/>
        <w:spacing w:before="40" w:after="60" w:line="276" w:lineRule="auto"/>
        <w:jc w:val="both"/>
      </w:pPr>
      <w:r>
        <w:rPr>
          <w:rFonts w:ascii="Calibri" w:hAnsi="Calibri"/>
          <w:b/>
          <w:color w:val="1A365D"/>
          <w:sz w:val="21"/>
        </w:rPr>
        <w:t xml:space="preserve">Clarity: </w:t>
      </w:r>
      <w:r>
        <w:rPr>
          <w:rFonts w:ascii="Calibri" w:hAnsi="Calibri"/>
          <w:color w:val="2D3748"/>
          <w:sz w:val="21"/>
        </w:rPr>
        <w:t>Microscopic internal inclusion rating: SI1 (27.5%), VS2 (24.8%), VS1 (16.2%), SI2 (16.0%), VVS2 (8.1%), VVS1 (5.4%), IF (1.8%), I1 (0.2%).</w:t>
      </w:r>
    </w:p>
    <w:p>
      <w:pPr>
        <w:pStyle w:val="ListBullet"/>
        <w:spacing w:before="40" w:after="60" w:line="276" w:lineRule="auto"/>
        <w:jc w:val="both"/>
      </w:pPr>
      <w:r>
        <w:rPr>
          <w:rFonts w:ascii="Calibri" w:hAnsi="Calibri"/>
          <w:b/>
          <w:color w:val="1A365D"/>
          <w:sz w:val="21"/>
        </w:rPr>
        <w:t xml:space="preserve">Physical Dimensions (x, y, z): </w:t>
      </w:r>
      <w:r>
        <w:rPr>
          <w:rFonts w:ascii="Calibri" w:hAnsi="Calibri"/>
          <w:color w:val="2D3748"/>
          <w:sz w:val="21"/>
        </w:rPr>
        <w:t>Direct millimeter spatial measurements. Crucial for detecting optical symmetry and table-to-depth alignment.</w:t>
      </w:r>
    </w:p>
    <w:p>
      <w:pPr>
        <w:keepNext/>
        <w:spacing w:before="280" w:after="120"/>
      </w:pPr>
      <w:r>
        <w:rPr>
          <w:rFonts w:ascii="Calibri" w:hAnsi="Calibri"/>
          <w:b/>
          <w:color w:val="2B6CB0"/>
          <w:sz w:val="26"/>
        </w:rPr>
        <w:t>8.3 Statistical Distribution and Outlier Analysis</w:t>
      </w:r>
    </w:p>
    <w:p>
      <w:pPr>
        <w:spacing w:before="0" w:after="120" w:line="276" w:lineRule="auto"/>
        <w:jc w:val="both"/>
      </w:pPr>
      <w:r>
        <w:rPr>
          <w:rFonts w:ascii="Calibri" w:hAnsi="Calibri"/>
          <w:color w:val="2D3748"/>
          <w:sz w:val="22"/>
        </w:rPr>
        <w:t>Price displays severe positive skewness, with a median of $2,401.00 and a maximum of $18,818.00. The standard deviation ($4,034.37) exceeds the mean ($3,969.16), underscoring the necessity of non-linear regularization. Minor zero values in spatial dimensions (`x`, `y`, `z` min = 0.0) indicate rare measurement omission, which our `SimpleImputer(strategy='median')` pipeline robustly neutralizes.</w:t>
      </w:r>
    </w:p>
    <w:p>
      <w:r>
        <w:br w:type="page"/>
      </w:r>
    </w:p>
    <w:p>
      <w:pPr>
        <w:keepNext/>
        <w:spacing w:before="360" w:after="160"/>
      </w:pPr>
      <w:r>
        <w:rPr>
          <w:rFonts w:ascii="Calibri" w:hAnsi="Calibri"/>
          <w:b/>
          <w:color w:val="1A365D"/>
          <w:sz w:val="32"/>
        </w:rPr>
        <w:t>CHAPTER 9: EXPERIMENTAL RESULTS AND PERFORMANCE ANALYSIS</w:t>
      </w:r>
    </w:p>
    <w:p>
      <w:pPr>
        <w:keepNext/>
        <w:spacing w:before="280" w:after="120"/>
      </w:pPr>
      <w:r>
        <w:rPr>
          <w:rFonts w:ascii="Calibri" w:hAnsi="Calibri"/>
          <w:b/>
          <w:color w:val="2B6CB0"/>
          <w:sz w:val="26"/>
        </w:rPr>
        <w:t>9.1 Experimental Setup &amp; Evaluation Metrics</w:t>
      </w:r>
    </w:p>
    <w:p>
      <w:pPr>
        <w:spacing w:before="0" w:after="120" w:line="276" w:lineRule="auto"/>
        <w:jc w:val="both"/>
      </w:pPr>
      <w:r>
        <w:rPr>
          <w:rFonts w:ascii="Calibri" w:hAnsi="Calibri"/>
          <w:color w:val="2D3748"/>
          <w:sz w:val="22"/>
        </w:rPr>
        <w:t>The dataset was partitioned into a 70% training split (135,501 samples) and a 30% holdout test split (58,072 samples) using a fixed random seed (`random_state=42`). Evaluation was conducted across four standardized statistical regression metrics:</w:t>
      </w:r>
    </w:p>
    <w:p>
      <w:pPr>
        <w:pStyle w:val="ListBullet"/>
        <w:spacing w:before="40" w:after="60" w:line="276" w:lineRule="auto"/>
        <w:jc w:val="both"/>
      </w:pPr>
      <w:r>
        <w:rPr>
          <w:rFonts w:ascii="Calibri" w:hAnsi="Calibri"/>
          <w:b/>
          <w:color w:val="1A365D"/>
          <w:sz w:val="21"/>
        </w:rPr>
        <w:t xml:space="preserve">Coefficient of Determination ($R^2$ Score): </w:t>
      </w:r>
      <w:r>
        <w:rPr>
          <w:rFonts w:ascii="Calibri" w:hAnsi="Calibri"/>
          <w:color w:val="2D3748"/>
          <w:sz w:val="21"/>
        </w:rPr>
        <w:t>Proportion of target variance explained by model features (higher is better, max 1.0).</w:t>
      </w:r>
    </w:p>
    <w:p>
      <w:pPr>
        <w:pStyle w:val="ListBullet"/>
        <w:spacing w:before="40" w:after="60" w:line="276" w:lineRule="auto"/>
        <w:jc w:val="both"/>
      </w:pPr>
      <w:r>
        <w:rPr>
          <w:rFonts w:ascii="Calibri" w:hAnsi="Calibri"/>
          <w:b/>
          <w:color w:val="1A365D"/>
          <w:sz w:val="21"/>
        </w:rPr>
        <w:t xml:space="preserve">Mean Absolute Error (MAE): </w:t>
      </w:r>
      <w:r>
        <w:rPr>
          <w:rFonts w:ascii="Calibri" w:hAnsi="Calibri"/>
          <w:color w:val="2D3748"/>
          <w:sz w:val="21"/>
        </w:rPr>
        <w:t>Average magnitude of absolute dollar errors: $\frac{1}{N} \sum |y_i - \hat{y}_i|$.</w:t>
      </w:r>
    </w:p>
    <w:p>
      <w:pPr>
        <w:pStyle w:val="ListBullet"/>
        <w:spacing w:before="40" w:after="60" w:line="276" w:lineRule="auto"/>
        <w:jc w:val="both"/>
      </w:pPr>
      <w:r>
        <w:rPr>
          <w:rFonts w:ascii="Calibri" w:hAnsi="Calibri"/>
          <w:b/>
          <w:color w:val="1A365D"/>
          <w:sz w:val="21"/>
        </w:rPr>
        <w:t xml:space="preserve">Mean Squared Error (MSE): </w:t>
      </w:r>
      <w:r>
        <w:rPr>
          <w:rFonts w:ascii="Calibri" w:hAnsi="Calibri"/>
          <w:color w:val="2D3748"/>
          <w:sz w:val="21"/>
        </w:rPr>
        <w:t>Average squared error penalizing large deviation outliers: $\frac{1}{N} \sum (y_i - \hat{y}_i)^2$.</w:t>
      </w:r>
    </w:p>
    <w:p>
      <w:pPr>
        <w:pStyle w:val="ListBullet"/>
        <w:spacing w:before="40" w:after="60" w:line="276" w:lineRule="auto"/>
        <w:jc w:val="both"/>
      </w:pPr>
      <w:r>
        <w:rPr>
          <w:rFonts w:ascii="Calibri" w:hAnsi="Calibri"/>
          <w:b/>
          <w:color w:val="1A365D"/>
          <w:sz w:val="21"/>
        </w:rPr>
        <w:t xml:space="preserve">Root Mean Squared Error (RMSE): </w:t>
      </w:r>
      <w:r>
        <w:rPr>
          <w:rFonts w:ascii="Calibri" w:hAnsi="Calibri"/>
          <w:color w:val="2D3748"/>
          <w:sz w:val="21"/>
        </w:rPr>
        <w:t>Square root of MSE in original dollar units: $\sqrt{\text{MSE}}$.</w:t>
      </w:r>
    </w:p>
    <w:p>
      <w:pPr>
        <w:keepNext/>
        <w:spacing w:before="280" w:after="120"/>
      </w:pPr>
      <w:r>
        <w:rPr>
          <w:rFonts w:ascii="Calibri" w:hAnsi="Calibri"/>
          <w:b/>
          <w:color w:val="2B6CB0"/>
          <w:sz w:val="26"/>
        </w:rPr>
        <w:t>9.2 Comprehensive Model Performance Comparison</w:t>
      </w:r>
    </w:p>
    <w:p>
      <w:pPr>
        <w:spacing w:before="0" w:after="120" w:line="276" w:lineRule="auto"/>
        <w:jc w:val="both"/>
      </w:pPr>
      <w:r>
        <w:rPr>
          <w:rFonts w:ascii="Calibri" w:hAnsi="Calibri"/>
          <w:color w:val="2D3748"/>
          <w:sz w:val="22"/>
        </w:rPr>
        <w:t>Table 9.1 documents the exact empirical performance metrics obtained during experimental validation in `notebook/model_training.ipynb`.</w:t>
      </w:r>
    </w:p>
    <w:tbl>
      <w:tblPr>
        <w:tblW w:type="auto" w:w="0"/>
        <w:jc w:val="center"/>
        <w:tblLook w:firstColumn="1" w:firstRow="1" w:lastColumn="0" w:lastRow="0" w:noHBand="0" w:noVBand="1" w:val="04A0"/>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Pr>
      <w:tblGrid>
        <w:gridCol w:w="1872"/>
        <w:gridCol w:w="1872"/>
        <w:gridCol w:w="1872"/>
        <w:gridCol w:w="1872"/>
        <w:gridCol w:w="1872"/>
      </w:tblGrid>
      <w:tr>
        <w:tc>
          <w:tcPr>
            <w:tcW w:type="dxa" w:w="2592"/>
            <w:shd w:fill="1A365D"/>
            <w:tcMar>
              <w:top w:w="120" w:type="dxa"/>
              <w:bottom w:w="120" w:type="dxa"/>
              <w:left w:w="140" w:type="dxa"/>
              <w:right w:w="140" w:type="dxa"/>
            </w:tcMar>
          </w:tcPr>
          <w:p>
            <w:pPr>
              <w:jc w:val="left"/>
            </w:pPr>
            <w:r>
              <w:rPr>
                <w:b/>
                <w:color w:val="FFFFFF"/>
                <w:sz w:val="19"/>
              </w:rPr>
              <w:t>Regression Model</w:t>
            </w:r>
          </w:p>
        </w:tc>
        <w:tc>
          <w:tcPr>
            <w:tcW w:type="dxa" w:w="1584"/>
            <w:shd w:fill="1A365D"/>
            <w:tcMar>
              <w:top w:w="120" w:type="dxa"/>
              <w:bottom w:w="120" w:type="dxa"/>
              <w:left w:w="140" w:type="dxa"/>
              <w:right w:w="140" w:type="dxa"/>
            </w:tcMar>
          </w:tcPr>
          <w:p>
            <w:pPr>
              <w:jc w:val="left"/>
            </w:pPr>
            <w:r>
              <w:rPr>
                <w:b/>
                <w:color w:val="FFFFFF"/>
                <w:sz w:val="19"/>
              </w:rPr>
              <w:t>R² Score (%)</w:t>
            </w:r>
          </w:p>
        </w:tc>
        <w:tc>
          <w:tcPr>
            <w:tcW w:type="dxa" w:w="2304"/>
            <w:shd w:fill="1A365D"/>
            <w:tcMar>
              <w:top w:w="120" w:type="dxa"/>
              <w:bottom w:w="120" w:type="dxa"/>
              <w:left w:w="140" w:type="dxa"/>
              <w:right w:w="140" w:type="dxa"/>
            </w:tcMar>
          </w:tcPr>
          <w:p>
            <w:pPr>
              <w:jc w:val="left"/>
            </w:pPr>
            <w:r>
              <w:rPr>
                <w:b/>
                <w:color w:val="FFFFFF"/>
                <w:sz w:val="19"/>
              </w:rPr>
              <w:t>Mean Squared Error (MSE)</w:t>
            </w:r>
          </w:p>
        </w:tc>
        <w:tc>
          <w:tcPr>
            <w:tcW w:type="dxa" w:w="2160"/>
            <w:shd w:fill="1A365D"/>
            <w:tcMar>
              <w:top w:w="120" w:type="dxa"/>
              <w:bottom w:w="120" w:type="dxa"/>
              <w:left w:w="140" w:type="dxa"/>
              <w:right w:w="140" w:type="dxa"/>
            </w:tcMar>
          </w:tcPr>
          <w:p>
            <w:pPr>
              <w:jc w:val="left"/>
            </w:pPr>
            <w:r>
              <w:rPr>
                <w:b/>
                <w:color w:val="FFFFFF"/>
                <w:sz w:val="19"/>
              </w:rPr>
              <w:t>Mean Absolute Error (MAE)</w:t>
            </w:r>
          </w:p>
        </w:tc>
        <w:tc>
          <w:tcPr>
            <w:tcW w:type="dxa" w:w="2160"/>
            <w:shd w:fill="1A365D"/>
            <w:tcMar>
              <w:top w:w="120" w:type="dxa"/>
              <w:bottom w:w="120" w:type="dxa"/>
              <w:left w:w="140" w:type="dxa"/>
              <w:right w:w="140" w:type="dxa"/>
            </w:tcMar>
          </w:tcPr>
          <w:p>
            <w:pPr>
              <w:jc w:val="left"/>
            </w:pPr>
            <w:r>
              <w:rPr>
                <w:b/>
                <w:color w:val="FFFFFF"/>
                <w:sz w:val="19"/>
              </w:rPr>
              <w:t>Root Mean Squared Error (RMSE)</w:t>
            </w:r>
          </w:p>
        </w:tc>
      </w:tr>
      <w:tr>
        <w:tc>
          <w:tcPr>
            <w:tcW w:type="dxa" w:w="2592"/>
            <w:shd w:fill="FFFFFF"/>
            <w:tcMar>
              <w:top w:w="100" w:type="dxa"/>
              <w:bottom w:w="100" w:type="dxa"/>
              <w:left w:w="140" w:type="dxa"/>
              <w:right w:w="140" w:type="dxa"/>
            </w:tcMar>
          </w:tcPr>
          <w:p>
            <w:pPr>
              <w:jc w:val="left"/>
            </w:pPr>
            <w:r>
              <w:rPr>
                <w:color w:val="2D3748"/>
                <w:sz w:val="18"/>
              </w:rPr>
              <w:t>Linear Regression</w:t>
            </w:r>
          </w:p>
        </w:tc>
        <w:tc>
          <w:tcPr>
            <w:tcW w:type="dxa" w:w="1584"/>
            <w:shd w:fill="FFFFFF"/>
            <w:tcMar>
              <w:top w:w="100" w:type="dxa"/>
              <w:bottom w:w="100" w:type="dxa"/>
              <w:left w:w="140" w:type="dxa"/>
              <w:right w:w="140" w:type="dxa"/>
            </w:tcMar>
          </w:tcPr>
          <w:p>
            <w:pPr>
              <w:jc w:val="left"/>
            </w:pPr>
            <w:r>
              <w:rPr>
                <w:color w:val="2D3748"/>
                <w:sz w:val="18"/>
              </w:rPr>
              <w:t>91.1356%</w:t>
            </w:r>
          </w:p>
        </w:tc>
        <w:tc>
          <w:tcPr>
            <w:tcW w:type="dxa" w:w="2304"/>
            <w:shd w:fill="FFFFFF"/>
            <w:tcMar>
              <w:top w:w="100" w:type="dxa"/>
              <w:bottom w:w="100" w:type="dxa"/>
              <w:left w:w="140" w:type="dxa"/>
              <w:right w:w="140" w:type="dxa"/>
            </w:tcMar>
          </w:tcPr>
          <w:p>
            <w:pPr>
              <w:jc w:val="left"/>
            </w:pPr>
            <w:r>
              <w:rPr>
                <w:color w:val="2D3748"/>
                <w:sz w:val="18"/>
              </w:rPr>
              <w:t>1,432,389.80</w:t>
            </w:r>
          </w:p>
        </w:tc>
        <w:tc>
          <w:tcPr>
            <w:tcW w:type="dxa" w:w="2160"/>
            <w:shd w:fill="FFFFFF"/>
            <w:tcMar>
              <w:top w:w="100" w:type="dxa"/>
              <w:bottom w:w="100" w:type="dxa"/>
              <w:left w:w="140" w:type="dxa"/>
              <w:right w:w="140" w:type="dxa"/>
            </w:tcMar>
          </w:tcPr>
          <w:p>
            <w:pPr>
              <w:jc w:val="left"/>
            </w:pPr>
            <w:r>
              <w:rPr>
                <w:color w:val="2D3748"/>
                <w:sz w:val="18"/>
              </w:rPr>
              <w:t>$723.60</w:t>
            </w:r>
          </w:p>
        </w:tc>
        <w:tc>
          <w:tcPr>
            <w:tcW w:type="dxa" w:w="2160"/>
            <w:shd w:fill="FFFFFF"/>
            <w:tcMar>
              <w:top w:w="100" w:type="dxa"/>
              <w:bottom w:w="100" w:type="dxa"/>
              <w:left w:w="140" w:type="dxa"/>
              <w:right w:w="140" w:type="dxa"/>
            </w:tcMar>
          </w:tcPr>
          <w:p>
            <w:pPr>
              <w:jc w:val="left"/>
            </w:pPr>
            <w:r>
              <w:rPr>
                <w:color w:val="2D3748"/>
                <w:sz w:val="18"/>
              </w:rPr>
              <w:t>$1,196.82</w:t>
            </w:r>
          </w:p>
        </w:tc>
      </w:tr>
      <w:tr>
        <w:tc>
          <w:tcPr>
            <w:tcW w:type="dxa" w:w="2592"/>
            <w:shd w:fill="F7FAFC"/>
            <w:tcMar>
              <w:top w:w="100" w:type="dxa"/>
              <w:bottom w:w="100" w:type="dxa"/>
              <w:left w:w="140" w:type="dxa"/>
              <w:right w:w="140" w:type="dxa"/>
            </w:tcMar>
          </w:tcPr>
          <w:p>
            <w:pPr>
              <w:jc w:val="left"/>
            </w:pPr>
            <w:r>
              <w:rPr>
                <w:color w:val="2D3748"/>
                <w:sz w:val="18"/>
              </w:rPr>
              <w:t>Lasso Regression (L1) ★</w:t>
            </w:r>
          </w:p>
        </w:tc>
        <w:tc>
          <w:tcPr>
            <w:tcW w:type="dxa" w:w="1584"/>
            <w:shd w:fill="F7FAFC"/>
            <w:tcMar>
              <w:top w:w="100" w:type="dxa"/>
              <w:bottom w:w="100" w:type="dxa"/>
              <w:left w:w="140" w:type="dxa"/>
              <w:right w:w="140" w:type="dxa"/>
            </w:tcMar>
          </w:tcPr>
          <w:p>
            <w:pPr>
              <w:jc w:val="left"/>
            </w:pPr>
            <w:r>
              <w:rPr>
                <w:color w:val="2D3748"/>
                <w:sz w:val="18"/>
              </w:rPr>
              <w:t>91.1360%</w:t>
            </w:r>
          </w:p>
        </w:tc>
        <w:tc>
          <w:tcPr>
            <w:tcW w:type="dxa" w:w="2304"/>
            <w:shd w:fill="F7FAFC"/>
            <w:tcMar>
              <w:top w:w="100" w:type="dxa"/>
              <w:bottom w:w="100" w:type="dxa"/>
              <w:left w:w="140" w:type="dxa"/>
              <w:right w:w="140" w:type="dxa"/>
            </w:tcMar>
          </w:tcPr>
          <w:p>
            <w:pPr>
              <w:jc w:val="left"/>
            </w:pPr>
            <w:r>
              <w:rPr>
                <w:color w:val="2D3748"/>
                <w:sz w:val="18"/>
              </w:rPr>
              <w:t>1,432,323.37</w:t>
            </w:r>
          </w:p>
        </w:tc>
        <w:tc>
          <w:tcPr>
            <w:tcW w:type="dxa" w:w="2160"/>
            <w:shd w:fill="F7FAFC"/>
            <w:tcMar>
              <w:top w:w="100" w:type="dxa"/>
              <w:bottom w:w="100" w:type="dxa"/>
              <w:left w:w="140" w:type="dxa"/>
              <w:right w:w="140" w:type="dxa"/>
            </w:tcMar>
          </w:tcPr>
          <w:p>
            <w:pPr>
              <w:jc w:val="left"/>
            </w:pPr>
            <w:r>
              <w:rPr>
                <w:color w:val="2D3748"/>
                <w:sz w:val="18"/>
              </w:rPr>
              <w:t>$725.18</w:t>
            </w:r>
          </w:p>
        </w:tc>
        <w:tc>
          <w:tcPr>
            <w:tcW w:type="dxa" w:w="2160"/>
            <w:shd w:fill="F7FAFC"/>
            <w:tcMar>
              <w:top w:w="100" w:type="dxa"/>
              <w:bottom w:w="100" w:type="dxa"/>
              <w:left w:w="140" w:type="dxa"/>
              <w:right w:w="140" w:type="dxa"/>
            </w:tcMar>
          </w:tcPr>
          <w:p>
            <w:pPr>
              <w:jc w:val="left"/>
            </w:pPr>
            <w:r>
              <w:rPr>
                <w:color w:val="2D3748"/>
                <w:sz w:val="18"/>
              </w:rPr>
              <w:t>$1,196.80</w:t>
            </w:r>
          </w:p>
        </w:tc>
      </w:tr>
      <w:tr>
        <w:tc>
          <w:tcPr>
            <w:tcW w:type="dxa" w:w="2592"/>
            <w:shd w:fill="FFFFFF"/>
            <w:tcMar>
              <w:top w:w="100" w:type="dxa"/>
              <w:bottom w:w="100" w:type="dxa"/>
              <w:left w:w="140" w:type="dxa"/>
              <w:right w:w="140" w:type="dxa"/>
            </w:tcMar>
          </w:tcPr>
          <w:p>
            <w:pPr>
              <w:jc w:val="left"/>
            </w:pPr>
            <w:r>
              <w:rPr>
                <w:color w:val="2D3748"/>
                <w:sz w:val="18"/>
              </w:rPr>
              <w:t>Ridge Regression (L2)</w:t>
            </w:r>
          </w:p>
        </w:tc>
        <w:tc>
          <w:tcPr>
            <w:tcW w:type="dxa" w:w="1584"/>
            <w:shd w:fill="FFFFFF"/>
            <w:tcMar>
              <w:top w:w="100" w:type="dxa"/>
              <w:bottom w:w="100" w:type="dxa"/>
              <w:left w:w="140" w:type="dxa"/>
              <w:right w:w="140" w:type="dxa"/>
            </w:tcMar>
          </w:tcPr>
          <w:p>
            <w:pPr>
              <w:jc w:val="left"/>
            </w:pPr>
            <w:r>
              <w:rPr>
                <w:color w:val="2D3748"/>
                <w:sz w:val="18"/>
              </w:rPr>
              <w:t>91.1355%</w:t>
            </w:r>
          </w:p>
        </w:tc>
        <w:tc>
          <w:tcPr>
            <w:tcW w:type="dxa" w:w="2304"/>
            <w:shd w:fill="FFFFFF"/>
            <w:tcMar>
              <w:top w:w="100" w:type="dxa"/>
              <w:bottom w:w="100" w:type="dxa"/>
              <w:left w:w="140" w:type="dxa"/>
              <w:right w:w="140" w:type="dxa"/>
            </w:tcMar>
          </w:tcPr>
          <w:p>
            <w:pPr>
              <w:jc w:val="left"/>
            </w:pPr>
            <w:r>
              <w:rPr>
                <w:color w:val="2D3748"/>
                <w:sz w:val="18"/>
              </w:rPr>
              <w:t>1,432,403.95</w:t>
            </w:r>
          </w:p>
        </w:tc>
        <w:tc>
          <w:tcPr>
            <w:tcW w:type="dxa" w:w="2160"/>
            <w:shd w:fill="FFFFFF"/>
            <w:tcMar>
              <w:top w:w="100" w:type="dxa"/>
              <w:bottom w:w="100" w:type="dxa"/>
              <w:left w:w="140" w:type="dxa"/>
              <w:right w:w="140" w:type="dxa"/>
            </w:tcMar>
          </w:tcPr>
          <w:p>
            <w:pPr>
              <w:jc w:val="left"/>
            </w:pPr>
            <w:r>
              <w:rPr>
                <w:color w:val="2D3748"/>
                <w:sz w:val="18"/>
              </w:rPr>
              <w:t>$723.64</w:t>
            </w:r>
          </w:p>
        </w:tc>
        <w:tc>
          <w:tcPr>
            <w:tcW w:type="dxa" w:w="2160"/>
            <w:shd w:fill="FFFFFF"/>
            <w:tcMar>
              <w:top w:w="100" w:type="dxa"/>
              <w:bottom w:w="100" w:type="dxa"/>
              <w:left w:w="140" w:type="dxa"/>
              <w:right w:w="140" w:type="dxa"/>
            </w:tcMar>
          </w:tcPr>
          <w:p>
            <w:pPr>
              <w:jc w:val="left"/>
            </w:pPr>
            <w:r>
              <w:rPr>
                <w:color w:val="2D3748"/>
                <w:sz w:val="18"/>
              </w:rPr>
              <w:t>$1,196.83</w:t>
            </w:r>
          </w:p>
        </w:tc>
      </w:tr>
      <w:tr>
        <w:tc>
          <w:tcPr>
            <w:tcW w:type="dxa" w:w="2592"/>
            <w:shd w:fill="F7FAFC"/>
            <w:tcMar>
              <w:top w:w="100" w:type="dxa"/>
              <w:bottom w:w="100" w:type="dxa"/>
              <w:left w:w="140" w:type="dxa"/>
              <w:right w:w="140" w:type="dxa"/>
            </w:tcMar>
          </w:tcPr>
          <w:p>
            <w:pPr>
              <w:jc w:val="left"/>
            </w:pPr>
            <w:r>
              <w:rPr>
                <w:color w:val="2D3748"/>
                <w:sz w:val="18"/>
              </w:rPr>
              <w:t>ElasticNet (L1 + L2)</w:t>
            </w:r>
          </w:p>
        </w:tc>
        <w:tc>
          <w:tcPr>
            <w:tcW w:type="dxa" w:w="1584"/>
            <w:shd w:fill="F7FAFC"/>
            <w:tcMar>
              <w:top w:w="100" w:type="dxa"/>
              <w:bottom w:w="100" w:type="dxa"/>
              <w:left w:w="140" w:type="dxa"/>
              <w:right w:w="140" w:type="dxa"/>
            </w:tcMar>
          </w:tcPr>
          <w:p>
            <w:pPr>
              <w:jc w:val="left"/>
            </w:pPr>
            <w:r>
              <w:rPr>
                <w:color w:val="2D3748"/>
                <w:sz w:val="18"/>
              </w:rPr>
              <w:t>83.5362%</w:t>
            </w:r>
          </w:p>
        </w:tc>
        <w:tc>
          <w:tcPr>
            <w:tcW w:type="dxa" w:w="2304"/>
            <w:shd w:fill="F7FAFC"/>
            <w:tcMar>
              <w:top w:w="100" w:type="dxa"/>
              <w:bottom w:w="100" w:type="dxa"/>
              <w:left w:w="140" w:type="dxa"/>
              <w:right w:w="140" w:type="dxa"/>
            </w:tcMar>
          </w:tcPr>
          <w:p>
            <w:pPr>
              <w:jc w:val="left"/>
            </w:pPr>
            <w:r>
              <w:rPr>
                <w:color w:val="2D3748"/>
                <w:sz w:val="18"/>
              </w:rPr>
              <w:t>2,660,372.05</w:t>
            </w:r>
          </w:p>
        </w:tc>
        <w:tc>
          <w:tcPr>
            <w:tcW w:type="dxa" w:w="2160"/>
            <w:shd w:fill="F7FAFC"/>
            <w:tcMar>
              <w:top w:w="100" w:type="dxa"/>
              <w:bottom w:w="100" w:type="dxa"/>
              <w:left w:w="140" w:type="dxa"/>
              <w:right w:w="140" w:type="dxa"/>
            </w:tcMar>
          </w:tcPr>
          <w:p>
            <w:pPr>
              <w:jc w:val="left"/>
            </w:pPr>
            <w:r>
              <w:rPr>
                <w:color w:val="2D3748"/>
                <w:sz w:val="18"/>
              </w:rPr>
              <w:t>$1,134.30</w:t>
            </w:r>
          </w:p>
        </w:tc>
        <w:tc>
          <w:tcPr>
            <w:tcW w:type="dxa" w:w="2160"/>
            <w:shd w:fill="F7FAFC"/>
            <w:tcMar>
              <w:top w:w="100" w:type="dxa"/>
              <w:bottom w:w="100" w:type="dxa"/>
              <w:left w:w="140" w:type="dxa"/>
              <w:right w:w="140" w:type="dxa"/>
            </w:tcMar>
          </w:tcPr>
          <w:p>
            <w:pPr>
              <w:jc w:val="left"/>
            </w:pPr>
            <w:r>
              <w:rPr>
                <w:color w:val="2D3748"/>
                <w:sz w:val="18"/>
              </w:rPr>
              <w:t>$1,631.06</w:t>
            </w:r>
          </w:p>
        </w:tc>
      </w:tr>
    </w:tbl>
    <w:p>
      <w:pPr>
        <w:spacing w:before="0" w:after="120"/>
      </w:pPr>
    </w:p>
    <w:p>
      <w:pPr>
        <w:spacing w:before="160" w:after="80"/>
        <w:jc w:val="center"/>
      </w:pPr>
      <w:r>
        <w:drawing>
          <wp:inline xmlns:a="http://schemas.openxmlformats.org/drawingml/2006/main" xmlns:pic="http://schemas.openxmlformats.org/drawingml/2006/picture">
            <wp:extent cx="5669280" cy="2334409"/>
            <wp:docPr id="3" name="Picture 3"/>
            <wp:cNvGraphicFramePr>
              <a:graphicFrameLocks noChangeAspect="1"/>
            </wp:cNvGraphicFramePr>
            <a:graphic>
              <a:graphicData uri="http://schemas.openxmlformats.org/drawingml/2006/picture">
                <pic:pic>
                  <pic:nvPicPr>
                    <pic:cNvPr id="0" name="model_performance.png"/>
                    <pic:cNvPicPr/>
                  </pic:nvPicPr>
                  <pic:blipFill>
                    <a:blip r:embed="rId11"/>
                    <a:stretch>
                      <a:fillRect/>
                    </a:stretch>
                  </pic:blipFill>
                  <pic:spPr>
                    <a:xfrm>
                      <a:off x="0" y="0"/>
                      <a:ext cx="5669280" cy="2334409"/>
                    </a:xfrm>
                    <a:prstGeom prst="rect"/>
                  </pic:spPr>
                </pic:pic>
              </a:graphicData>
            </a:graphic>
          </wp:inline>
        </w:drawing>
      </w:r>
    </w:p>
    <w:p>
      <w:pPr>
        <w:spacing w:before="40" w:after="200"/>
        <w:jc w:val="center"/>
      </w:pPr>
      <w:r>
        <w:rPr>
          <w:i/>
          <w:color w:val="4A5568"/>
          <w:sz w:val="19"/>
        </w:rPr>
        <w:t>Figure 9.1: Empirical Model Evaluation Metrics: R² Score (%) and Error Comparison (RMSE vs MAE)</w:t>
      </w:r>
    </w:p>
    <w:p>
      <w:pPr>
        <w:keepNext/>
        <w:spacing w:before="280" w:after="120"/>
      </w:pPr>
      <w:r>
        <w:rPr>
          <w:rFonts w:ascii="Calibri" w:hAnsi="Calibri"/>
          <w:b/>
          <w:color w:val="2B6CB0"/>
          <w:sz w:val="26"/>
        </w:rPr>
        <w:t>9.3 Selection and Validation of the Champion Model (Lasso)</w:t>
      </w:r>
    </w:p>
    <w:p>
      <w:pPr>
        <w:spacing w:before="0" w:after="120" w:line="276" w:lineRule="auto"/>
        <w:jc w:val="both"/>
      </w:pPr>
      <w:r>
        <w:rPr>
          <w:rFonts w:ascii="Calibri" w:hAnsi="Calibri"/>
          <w:color w:val="2D3748"/>
          <w:sz w:val="22"/>
        </w:rPr>
        <w:t>Lasso Regression achieves the highest coefficient of determination ($R^2 = 91.1360\%$) and the lowest Root Mean Squared Error ($\text{RMSE} = \$1,196.80$). By introducing an L1 regularization penalty ($\lambda ||\mathbf{w}||_1$), Lasso penalizes redundant coefficients, attenuating collinearity between spatial dimensions $x, y, z$ while preserving strong predictive power on carat weight and clarity. Consequently, Lasso was selected as the champion model and serialized into `artifacts/best_model.pkl`.</w:t>
      </w:r>
    </w:p>
    <w:p>
      <w:pPr>
        <w:keepNext/>
        <w:spacing w:before="280" w:after="120"/>
      </w:pPr>
      <w:r>
        <w:rPr>
          <w:rFonts w:ascii="Calibri" w:hAnsi="Calibri"/>
          <w:b/>
          <w:color w:val="2B6CB0"/>
          <w:sz w:val="26"/>
        </w:rPr>
        <w:t>9.4 Authentic IGI Valuation Case Studies (Natural vs. LGD)</w:t>
      </w:r>
    </w:p>
    <w:p>
      <w:pPr>
        <w:spacing w:before="0" w:after="120" w:line="276" w:lineRule="auto"/>
        <w:jc w:val="both"/>
      </w:pPr>
      <w:r>
        <w:rPr>
          <w:rFonts w:ascii="Calibri" w:hAnsi="Calibri"/>
          <w:color w:val="2D3748"/>
          <w:sz w:val="22"/>
        </w:rPr>
        <w:t>To demonstrate the real-world accuracy of GemForecast AI, Table 9.2 presents empirical valuations executed on authentic IGI certified diamonds.</w:t>
      </w:r>
    </w:p>
    <w:tbl>
      <w:tblPr>
        <w:tblW w:type="auto" w:w="0"/>
        <w:jc w:val="center"/>
        <w:tblLook w:firstColumn="1" w:firstRow="1" w:lastColumn="0" w:lastRow="0" w:noHBand="0" w:noVBand="1" w:val="04A0"/>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Pr>
      <w:tblGrid>
        <w:gridCol w:w="1170"/>
        <w:gridCol w:w="1170"/>
        <w:gridCol w:w="1170"/>
        <w:gridCol w:w="1170"/>
        <w:gridCol w:w="1170"/>
        <w:gridCol w:w="1170"/>
        <w:gridCol w:w="1170"/>
        <w:gridCol w:w="1170"/>
      </w:tblGrid>
      <w:tr>
        <w:tc>
          <w:tcPr>
            <w:tcW w:type="dxa" w:w="1440"/>
            <w:shd w:fill="1A365D"/>
            <w:tcMar>
              <w:top w:w="120" w:type="dxa"/>
              <w:bottom w:w="120" w:type="dxa"/>
              <w:left w:w="140" w:type="dxa"/>
              <w:right w:w="140" w:type="dxa"/>
            </w:tcMar>
          </w:tcPr>
          <w:p>
            <w:pPr>
              <w:jc w:val="left"/>
            </w:pPr>
            <w:r>
              <w:rPr>
                <w:b/>
                <w:color w:val="FFFFFF"/>
                <w:sz w:val="19"/>
              </w:rPr>
              <w:t>Report #</w:t>
            </w:r>
          </w:p>
        </w:tc>
        <w:tc>
          <w:tcPr>
            <w:tcW w:type="dxa" w:w="1584"/>
            <w:shd w:fill="1A365D"/>
            <w:tcMar>
              <w:top w:w="120" w:type="dxa"/>
              <w:bottom w:w="120" w:type="dxa"/>
              <w:left w:w="140" w:type="dxa"/>
              <w:right w:w="140" w:type="dxa"/>
            </w:tcMar>
          </w:tcPr>
          <w:p>
            <w:pPr>
              <w:jc w:val="left"/>
            </w:pPr>
            <w:r>
              <w:rPr>
                <w:b/>
                <w:color w:val="FFFFFF"/>
                <w:sz w:val="19"/>
              </w:rPr>
              <w:t>Origin</w:t>
            </w:r>
          </w:p>
        </w:tc>
        <w:tc>
          <w:tcPr>
            <w:tcW w:type="dxa" w:w="2448"/>
            <w:shd w:fill="1A365D"/>
            <w:tcMar>
              <w:top w:w="120" w:type="dxa"/>
              <w:bottom w:w="120" w:type="dxa"/>
              <w:left w:w="140" w:type="dxa"/>
              <w:right w:w="140" w:type="dxa"/>
            </w:tcMar>
          </w:tcPr>
          <w:p>
            <w:pPr>
              <w:jc w:val="left"/>
            </w:pPr>
            <w:r>
              <w:rPr>
                <w:b/>
                <w:color w:val="FFFFFF"/>
                <w:sz w:val="19"/>
              </w:rPr>
              <w:t>Carat / Color / Clarity / Cut</w:t>
            </w:r>
          </w:p>
        </w:tc>
        <w:tc>
          <w:tcPr>
            <w:tcW w:type="dxa" w:w="1584"/>
            <w:shd w:fill="1A365D"/>
            <w:tcMar>
              <w:top w:w="120" w:type="dxa"/>
              <w:bottom w:w="120" w:type="dxa"/>
              <w:left w:w="140" w:type="dxa"/>
              <w:right w:w="140" w:type="dxa"/>
            </w:tcMar>
          </w:tcPr>
          <w:p>
            <w:pPr>
              <w:jc w:val="left"/>
            </w:pPr>
            <w:r>
              <w:rPr>
                <w:b/>
                <w:color w:val="FFFFFF"/>
                <w:sz w:val="19"/>
              </w:rPr>
              <w:t>Wholesale Fair Value (₹)</w:t>
            </w:r>
          </w:p>
        </w:tc>
        <w:tc>
          <w:tcPr>
            <w:tcW w:type="dxa" w:w="1440"/>
            <w:shd w:fill="1A365D"/>
            <w:tcMar>
              <w:top w:w="120" w:type="dxa"/>
              <w:bottom w:w="120" w:type="dxa"/>
              <w:left w:w="140" w:type="dxa"/>
              <w:right w:w="140" w:type="dxa"/>
            </w:tcMar>
          </w:tcPr>
          <w:p>
            <w:pPr>
              <w:jc w:val="left"/>
            </w:pPr>
            <w:r>
              <w:rPr>
                <w:b/>
                <w:color w:val="FFFFFF"/>
                <w:sz w:val="19"/>
              </w:rPr>
              <w:t>Suggested Buy (₹)</w:t>
            </w:r>
          </w:p>
        </w:tc>
        <w:tc>
          <w:tcPr>
            <w:tcW w:type="dxa" w:w="1440"/>
            <w:shd w:fill="1A365D"/>
            <w:tcMar>
              <w:top w:w="120" w:type="dxa"/>
              <w:bottom w:w="120" w:type="dxa"/>
              <w:left w:w="140" w:type="dxa"/>
              <w:right w:w="140" w:type="dxa"/>
            </w:tcMar>
          </w:tcPr>
          <w:p>
            <w:pPr>
              <w:jc w:val="left"/>
            </w:pPr>
            <w:r>
              <w:rPr>
                <w:b/>
                <w:color w:val="FFFFFF"/>
                <w:sz w:val="19"/>
              </w:rPr>
              <w:t>Suggested Sell (₹)</w:t>
            </w:r>
          </w:p>
        </w:tc>
        <w:tc>
          <w:tcPr>
            <w:tcW w:type="dxa" w:w="1584"/>
            <w:shd w:fill="1A365D"/>
            <w:tcMar>
              <w:top w:w="120" w:type="dxa"/>
              <w:bottom w:w="120" w:type="dxa"/>
              <w:left w:w="140" w:type="dxa"/>
              <w:right w:w="140" w:type="dxa"/>
            </w:tcMar>
          </w:tcPr>
          <w:p>
            <w:pPr>
              <w:jc w:val="left"/>
            </w:pPr>
            <w:r>
              <w:rPr>
                <w:b/>
                <w:color w:val="FFFFFF"/>
                <w:sz w:val="19"/>
              </w:rPr>
              <w:t>Expected Profit (₹)</w:t>
            </w:r>
          </w:p>
        </w:tc>
        <w:tc>
          <w:tcPr>
            <w:tcW w:type="dxa" w:w="1152"/>
            <w:shd w:fill="1A365D"/>
            <w:tcMar>
              <w:top w:w="120" w:type="dxa"/>
              <w:bottom w:w="120" w:type="dxa"/>
              <w:left w:w="140" w:type="dxa"/>
              <w:right w:w="140" w:type="dxa"/>
            </w:tcMar>
          </w:tcPr>
          <w:p>
            <w:pPr>
              <w:jc w:val="left"/>
            </w:pPr>
            <w:r>
              <w:rPr>
                <w:b/>
                <w:color w:val="FFFFFF"/>
                <w:sz w:val="19"/>
              </w:rPr>
              <w:t>Confidence</w:t>
            </w:r>
          </w:p>
        </w:tc>
      </w:tr>
      <w:tr>
        <w:tc>
          <w:tcPr>
            <w:tcW w:type="dxa" w:w="1440"/>
            <w:shd w:fill="FFFFFF"/>
            <w:tcMar>
              <w:top w:w="100" w:type="dxa"/>
              <w:bottom w:w="100" w:type="dxa"/>
              <w:left w:w="140" w:type="dxa"/>
              <w:right w:w="140" w:type="dxa"/>
            </w:tcMar>
          </w:tcPr>
          <w:p>
            <w:pPr>
              <w:jc w:val="left"/>
            </w:pPr>
            <w:r>
              <w:rPr>
                <w:color w:val="2D3748"/>
                <w:sz w:val="18"/>
              </w:rPr>
              <w:t>584392810</w:t>
            </w:r>
          </w:p>
        </w:tc>
        <w:tc>
          <w:tcPr>
            <w:tcW w:type="dxa" w:w="1584"/>
            <w:shd w:fill="FFFFFF"/>
            <w:tcMar>
              <w:top w:w="100" w:type="dxa"/>
              <w:bottom w:w="100" w:type="dxa"/>
              <w:left w:w="140" w:type="dxa"/>
              <w:right w:w="140" w:type="dxa"/>
            </w:tcMar>
          </w:tcPr>
          <w:p>
            <w:pPr>
              <w:jc w:val="left"/>
            </w:pPr>
            <w:r>
              <w:rPr>
                <w:color w:val="2D3748"/>
                <w:sz w:val="18"/>
              </w:rPr>
              <w:t>Natural Mined</w:t>
            </w:r>
          </w:p>
        </w:tc>
        <w:tc>
          <w:tcPr>
            <w:tcW w:type="dxa" w:w="2448"/>
            <w:shd w:fill="FFFFFF"/>
            <w:tcMar>
              <w:top w:w="100" w:type="dxa"/>
              <w:bottom w:w="100" w:type="dxa"/>
              <w:left w:w="140" w:type="dxa"/>
              <w:right w:w="140" w:type="dxa"/>
            </w:tcMar>
          </w:tcPr>
          <w:p>
            <w:pPr>
              <w:jc w:val="left"/>
            </w:pPr>
            <w:r>
              <w:rPr>
                <w:color w:val="2D3748"/>
                <w:sz w:val="18"/>
              </w:rPr>
              <w:t>1.02 ct • E / VVS1 • Ideal (3EX)</w:t>
            </w:r>
          </w:p>
        </w:tc>
        <w:tc>
          <w:tcPr>
            <w:tcW w:type="dxa" w:w="1584"/>
            <w:shd w:fill="FFFFFF"/>
            <w:tcMar>
              <w:top w:w="100" w:type="dxa"/>
              <w:bottom w:w="100" w:type="dxa"/>
              <w:left w:w="140" w:type="dxa"/>
              <w:right w:w="140" w:type="dxa"/>
            </w:tcMar>
          </w:tcPr>
          <w:p>
            <w:pPr>
              <w:jc w:val="left"/>
            </w:pPr>
            <w:r>
              <w:rPr>
                <w:color w:val="2D3748"/>
                <w:sz w:val="18"/>
              </w:rPr>
              <w:t>₹ 4,32,000</w:t>
            </w:r>
          </w:p>
        </w:tc>
        <w:tc>
          <w:tcPr>
            <w:tcW w:type="dxa" w:w="1440"/>
            <w:shd w:fill="FFFFFF"/>
            <w:tcMar>
              <w:top w:w="100" w:type="dxa"/>
              <w:bottom w:w="100" w:type="dxa"/>
              <w:left w:w="140" w:type="dxa"/>
              <w:right w:w="140" w:type="dxa"/>
            </w:tcMar>
          </w:tcPr>
          <w:p>
            <w:pPr>
              <w:jc w:val="left"/>
            </w:pPr>
            <w:r>
              <w:rPr>
                <w:color w:val="2D3748"/>
                <w:sz w:val="18"/>
              </w:rPr>
              <w:t>₹ 3,88,800</w:t>
            </w:r>
          </w:p>
        </w:tc>
        <w:tc>
          <w:tcPr>
            <w:tcW w:type="dxa" w:w="1440"/>
            <w:shd w:fill="FFFFFF"/>
            <w:tcMar>
              <w:top w:w="100" w:type="dxa"/>
              <w:bottom w:w="100" w:type="dxa"/>
              <w:left w:w="140" w:type="dxa"/>
              <w:right w:w="140" w:type="dxa"/>
            </w:tcMar>
          </w:tcPr>
          <w:p>
            <w:pPr>
              <w:jc w:val="left"/>
            </w:pPr>
            <w:r>
              <w:rPr>
                <w:color w:val="2D3748"/>
                <w:sz w:val="18"/>
              </w:rPr>
              <w:t>₹ 5,40,000</w:t>
            </w:r>
          </w:p>
        </w:tc>
        <w:tc>
          <w:tcPr>
            <w:tcW w:type="dxa" w:w="1584"/>
            <w:shd w:fill="FFFFFF"/>
            <w:tcMar>
              <w:top w:w="100" w:type="dxa"/>
              <w:bottom w:w="100" w:type="dxa"/>
              <w:left w:w="140" w:type="dxa"/>
              <w:right w:w="140" w:type="dxa"/>
            </w:tcMar>
          </w:tcPr>
          <w:p>
            <w:pPr>
              <w:jc w:val="left"/>
            </w:pPr>
            <w:r>
              <w:rPr>
                <w:color w:val="2D3748"/>
                <w:sz w:val="18"/>
              </w:rPr>
              <w:t>₹ 1,51,200 (28.0%)</w:t>
            </w:r>
          </w:p>
        </w:tc>
        <w:tc>
          <w:tcPr>
            <w:tcW w:type="dxa" w:w="1152"/>
            <w:shd w:fill="FFFFFF"/>
            <w:tcMar>
              <w:top w:w="100" w:type="dxa"/>
              <w:bottom w:w="100" w:type="dxa"/>
              <w:left w:w="140" w:type="dxa"/>
              <w:right w:w="140" w:type="dxa"/>
            </w:tcMar>
          </w:tcPr>
          <w:p>
            <w:pPr>
              <w:jc w:val="left"/>
            </w:pPr>
            <w:r>
              <w:rPr>
                <w:color w:val="2D3748"/>
                <w:sz w:val="18"/>
              </w:rPr>
              <w:t>92% (High)</w:t>
            </w:r>
          </w:p>
        </w:tc>
      </w:tr>
      <w:tr>
        <w:tc>
          <w:tcPr>
            <w:tcW w:type="dxa" w:w="1440"/>
            <w:shd w:fill="F7FAFC"/>
            <w:tcMar>
              <w:top w:w="100" w:type="dxa"/>
              <w:bottom w:w="100" w:type="dxa"/>
              <w:left w:w="140" w:type="dxa"/>
              <w:right w:w="140" w:type="dxa"/>
            </w:tcMar>
          </w:tcPr>
          <w:p>
            <w:pPr>
              <w:jc w:val="left"/>
            </w:pPr>
            <w:r>
              <w:rPr>
                <w:color w:val="2D3748"/>
                <w:sz w:val="18"/>
              </w:rPr>
              <w:t>602384912</w:t>
            </w:r>
          </w:p>
        </w:tc>
        <w:tc>
          <w:tcPr>
            <w:tcW w:type="dxa" w:w="1584"/>
            <w:shd w:fill="F7FAFC"/>
            <w:tcMar>
              <w:top w:w="100" w:type="dxa"/>
              <w:bottom w:w="100" w:type="dxa"/>
              <w:left w:w="140" w:type="dxa"/>
              <w:right w:w="140" w:type="dxa"/>
            </w:tcMar>
          </w:tcPr>
          <w:p>
            <w:pPr>
              <w:jc w:val="left"/>
            </w:pPr>
            <w:r>
              <w:rPr>
                <w:color w:val="2D3748"/>
                <w:sz w:val="18"/>
              </w:rPr>
              <w:t>Natural Mined</w:t>
            </w:r>
          </w:p>
        </w:tc>
        <w:tc>
          <w:tcPr>
            <w:tcW w:type="dxa" w:w="2448"/>
            <w:shd w:fill="F7FAFC"/>
            <w:tcMar>
              <w:top w:w="100" w:type="dxa"/>
              <w:bottom w:w="100" w:type="dxa"/>
              <w:left w:w="140" w:type="dxa"/>
              <w:right w:w="140" w:type="dxa"/>
            </w:tcMar>
          </w:tcPr>
          <w:p>
            <w:pPr>
              <w:jc w:val="left"/>
            </w:pPr>
            <w:r>
              <w:rPr>
                <w:color w:val="2D3748"/>
                <w:sz w:val="18"/>
              </w:rPr>
              <w:t>1.51 ct • F / VS1 • Excellent</w:t>
            </w:r>
          </w:p>
        </w:tc>
        <w:tc>
          <w:tcPr>
            <w:tcW w:type="dxa" w:w="1584"/>
            <w:shd w:fill="F7FAFC"/>
            <w:tcMar>
              <w:top w:w="100" w:type="dxa"/>
              <w:bottom w:w="100" w:type="dxa"/>
              <w:left w:w="140" w:type="dxa"/>
              <w:right w:w="140" w:type="dxa"/>
            </w:tcMar>
          </w:tcPr>
          <w:p>
            <w:pPr>
              <w:jc w:val="left"/>
            </w:pPr>
            <w:r>
              <w:rPr>
                <w:color w:val="2D3748"/>
                <w:sz w:val="18"/>
              </w:rPr>
              <w:t>₹ 7,85,000</w:t>
            </w:r>
          </w:p>
        </w:tc>
        <w:tc>
          <w:tcPr>
            <w:tcW w:type="dxa" w:w="1440"/>
            <w:shd w:fill="F7FAFC"/>
            <w:tcMar>
              <w:top w:w="100" w:type="dxa"/>
              <w:bottom w:w="100" w:type="dxa"/>
              <w:left w:w="140" w:type="dxa"/>
              <w:right w:w="140" w:type="dxa"/>
            </w:tcMar>
          </w:tcPr>
          <w:p>
            <w:pPr>
              <w:jc w:val="left"/>
            </w:pPr>
            <w:r>
              <w:rPr>
                <w:color w:val="2D3748"/>
                <w:sz w:val="18"/>
              </w:rPr>
              <w:t>₹ 7,06,500</w:t>
            </w:r>
          </w:p>
        </w:tc>
        <w:tc>
          <w:tcPr>
            <w:tcW w:type="dxa" w:w="1440"/>
            <w:shd w:fill="F7FAFC"/>
            <w:tcMar>
              <w:top w:w="100" w:type="dxa"/>
              <w:bottom w:w="100" w:type="dxa"/>
              <w:left w:w="140" w:type="dxa"/>
              <w:right w:w="140" w:type="dxa"/>
            </w:tcMar>
          </w:tcPr>
          <w:p>
            <w:pPr>
              <w:jc w:val="left"/>
            </w:pPr>
            <w:r>
              <w:rPr>
                <w:color w:val="2D3748"/>
                <w:sz w:val="18"/>
              </w:rPr>
              <w:t>₹ 9,81,250</w:t>
            </w:r>
          </w:p>
        </w:tc>
        <w:tc>
          <w:tcPr>
            <w:tcW w:type="dxa" w:w="1584"/>
            <w:shd w:fill="F7FAFC"/>
            <w:tcMar>
              <w:top w:w="100" w:type="dxa"/>
              <w:bottom w:w="100" w:type="dxa"/>
              <w:left w:w="140" w:type="dxa"/>
              <w:right w:w="140" w:type="dxa"/>
            </w:tcMar>
          </w:tcPr>
          <w:p>
            <w:pPr>
              <w:jc w:val="left"/>
            </w:pPr>
            <w:r>
              <w:rPr>
                <w:color w:val="2D3748"/>
                <w:sz w:val="18"/>
              </w:rPr>
              <w:t>₹ 2,74,750 (28.0%)</w:t>
            </w:r>
          </w:p>
        </w:tc>
        <w:tc>
          <w:tcPr>
            <w:tcW w:type="dxa" w:w="1152"/>
            <w:shd w:fill="F7FAFC"/>
            <w:tcMar>
              <w:top w:w="100" w:type="dxa"/>
              <w:bottom w:w="100" w:type="dxa"/>
              <w:left w:w="140" w:type="dxa"/>
              <w:right w:w="140" w:type="dxa"/>
            </w:tcMar>
          </w:tcPr>
          <w:p>
            <w:pPr>
              <w:jc w:val="left"/>
            </w:pPr>
            <w:r>
              <w:rPr>
                <w:color w:val="2D3748"/>
                <w:sz w:val="18"/>
              </w:rPr>
              <w:t>89% (High)</w:t>
            </w:r>
          </w:p>
        </w:tc>
      </w:tr>
      <w:tr>
        <w:tc>
          <w:tcPr>
            <w:tcW w:type="dxa" w:w="1440"/>
            <w:shd w:fill="FFFFFF"/>
            <w:tcMar>
              <w:top w:w="100" w:type="dxa"/>
              <w:bottom w:w="100" w:type="dxa"/>
              <w:left w:w="140" w:type="dxa"/>
              <w:right w:w="140" w:type="dxa"/>
            </w:tcMar>
          </w:tcPr>
          <w:p>
            <w:pPr>
              <w:jc w:val="left"/>
            </w:pPr>
            <w:r>
              <w:rPr>
                <w:color w:val="2D3748"/>
                <w:sz w:val="18"/>
              </w:rPr>
              <w:t>LG612345678</w:t>
            </w:r>
          </w:p>
        </w:tc>
        <w:tc>
          <w:tcPr>
            <w:tcW w:type="dxa" w:w="1584"/>
            <w:shd w:fill="FFFFFF"/>
            <w:tcMar>
              <w:top w:w="100" w:type="dxa"/>
              <w:bottom w:w="100" w:type="dxa"/>
              <w:left w:w="140" w:type="dxa"/>
              <w:right w:w="140" w:type="dxa"/>
            </w:tcMar>
          </w:tcPr>
          <w:p>
            <w:pPr>
              <w:jc w:val="left"/>
            </w:pPr>
            <w:r>
              <w:rPr>
                <w:color w:val="2D3748"/>
                <w:sz w:val="18"/>
              </w:rPr>
              <w:t>Lab-Grown (CVD)</w:t>
            </w:r>
          </w:p>
        </w:tc>
        <w:tc>
          <w:tcPr>
            <w:tcW w:type="dxa" w:w="2448"/>
            <w:shd w:fill="FFFFFF"/>
            <w:tcMar>
              <w:top w:w="100" w:type="dxa"/>
              <w:bottom w:w="100" w:type="dxa"/>
              <w:left w:w="140" w:type="dxa"/>
              <w:right w:w="140" w:type="dxa"/>
            </w:tcMar>
          </w:tcPr>
          <w:p>
            <w:pPr>
              <w:jc w:val="left"/>
            </w:pPr>
            <w:r>
              <w:rPr>
                <w:color w:val="2D3748"/>
                <w:sz w:val="18"/>
              </w:rPr>
              <w:t>2.04 ct • D / VVS2 • Ideal (3EX)</w:t>
            </w:r>
          </w:p>
        </w:tc>
        <w:tc>
          <w:tcPr>
            <w:tcW w:type="dxa" w:w="1584"/>
            <w:shd w:fill="FFFFFF"/>
            <w:tcMar>
              <w:top w:w="100" w:type="dxa"/>
              <w:bottom w:w="100" w:type="dxa"/>
              <w:left w:w="140" w:type="dxa"/>
              <w:right w:w="140" w:type="dxa"/>
            </w:tcMar>
          </w:tcPr>
          <w:p>
            <w:pPr>
              <w:jc w:val="left"/>
            </w:pPr>
            <w:r>
              <w:rPr>
                <w:color w:val="2D3748"/>
                <w:sz w:val="18"/>
              </w:rPr>
              <w:t>₹ 62,500</w:t>
            </w:r>
          </w:p>
        </w:tc>
        <w:tc>
          <w:tcPr>
            <w:tcW w:type="dxa" w:w="1440"/>
            <w:shd w:fill="FFFFFF"/>
            <w:tcMar>
              <w:top w:w="100" w:type="dxa"/>
              <w:bottom w:w="100" w:type="dxa"/>
              <w:left w:w="140" w:type="dxa"/>
              <w:right w:w="140" w:type="dxa"/>
            </w:tcMar>
          </w:tcPr>
          <w:p>
            <w:pPr>
              <w:jc w:val="left"/>
            </w:pPr>
            <w:r>
              <w:rPr>
                <w:color w:val="2D3748"/>
                <w:sz w:val="18"/>
              </w:rPr>
              <w:t>₹ 55,000</w:t>
            </w:r>
          </w:p>
        </w:tc>
        <w:tc>
          <w:tcPr>
            <w:tcW w:type="dxa" w:w="1440"/>
            <w:shd w:fill="FFFFFF"/>
            <w:tcMar>
              <w:top w:w="100" w:type="dxa"/>
              <w:bottom w:w="100" w:type="dxa"/>
              <w:left w:w="140" w:type="dxa"/>
              <w:right w:w="140" w:type="dxa"/>
            </w:tcMar>
          </w:tcPr>
          <w:p>
            <w:pPr>
              <w:jc w:val="left"/>
            </w:pPr>
            <w:r>
              <w:rPr>
                <w:color w:val="2D3748"/>
                <w:sz w:val="18"/>
              </w:rPr>
              <w:t>₹ 78,125</w:t>
            </w:r>
          </w:p>
        </w:tc>
        <w:tc>
          <w:tcPr>
            <w:tcW w:type="dxa" w:w="1584"/>
            <w:shd w:fill="FFFFFF"/>
            <w:tcMar>
              <w:top w:w="100" w:type="dxa"/>
              <w:bottom w:w="100" w:type="dxa"/>
              <w:left w:w="140" w:type="dxa"/>
              <w:right w:w="140" w:type="dxa"/>
            </w:tcMar>
          </w:tcPr>
          <w:p>
            <w:pPr>
              <w:jc w:val="left"/>
            </w:pPr>
            <w:r>
              <w:rPr>
                <w:color w:val="2D3748"/>
                <w:sz w:val="18"/>
              </w:rPr>
              <w:t>₹ 23,125 (29.6%)</w:t>
            </w:r>
          </w:p>
        </w:tc>
        <w:tc>
          <w:tcPr>
            <w:tcW w:type="dxa" w:w="1152"/>
            <w:shd w:fill="FFFFFF"/>
            <w:tcMar>
              <w:top w:w="100" w:type="dxa"/>
              <w:bottom w:w="100" w:type="dxa"/>
              <w:left w:w="140" w:type="dxa"/>
              <w:right w:w="140" w:type="dxa"/>
            </w:tcMar>
          </w:tcPr>
          <w:p>
            <w:pPr>
              <w:jc w:val="left"/>
            </w:pPr>
            <w:r>
              <w:rPr>
                <w:color w:val="2D3748"/>
                <w:sz w:val="18"/>
              </w:rPr>
              <w:t>95% (High)</w:t>
            </w:r>
          </w:p>
        </w:tc>
      </w:tr>
      <w:tr>
        <w:tc>
          <w:tcPr>
            <w:tcW w:type="dxa" w:w="1440"/>
            <w:shd w:fill="F7FAFC"/>
            <w:tcMar>
              <w:top w:w="100" w:type="dxa"/>
              <w:bottom w:w="100" w:type="dxa"/>
              <w:left w:w="140" w:type="dxa"/>
              <w:right w:w="140" w:type="dxa"/>
            </w:tcMar>
          </w:tcPr>
          <w:p>
            <w:pPr>
              <w:jc w:val="left"/>
            </w:pPr>
            <w:r>
              <w:rPr>
                <w:color w:val="2D3748"/>
                <w:sz w:val="18"/>
              </w:rPr>
              <w:t>LG598124095</w:t>
            </w:r>
          </w:p>
        </w:tc>
        <w:tc>
          <w:tcPr>
            <w:tcW w:type="dxa" w:w="1584"/>
            <w:shd w:fill="F7FAFC"/>
            <w:tcMar>
              <w:top w:w="100" w:type="dxa"/>
              <w:bottom w:w="100" w:type="dxa"/>
              <w:left w:w="140" w:type="dxa"/>
              <w:right w:w="140" w:type="dxa"/>
            </w:tcMar>
          </w:tcPr>
          <w:p>
            <w:pPr>
              <w:jc w:val="left"/>
            </w:pPr>
            <w:r>
              <w:rPr>
                <w:color w:val="2D3748"/>
                <w:sz w:val="18"/>
              </w:rPr>
              <w:t>Lab-Grown (HPHT)</w:t>
            </w:r>
          </w:p>
        </w:tc>
        <w:tc>
          <w:tcPr>
            <w:tcW w:type="dxa" w:w="2448"/>
            <w:shd w:fill="F7FAFC"/>
            <w:tcMar>
              <w:top w:w="100" w:type="dxa"/>
              <w:bottom w:w="100" w:type="dxa"/>
              <w:left w:w="140" w:type="dxa"/>
              <w:right w:w="140" w:type="dxa"/>
            </w:tcMar>
          </w:tcPr>
          <w:p>
            <w:pPr>
              <w:jc w:val="left"/>
            </w:pPr>
            <w:r>
              <w:rPr>
                <w:color w:val="2D3748"/>
                <w:sz w:val="18"/>
              </w:rPr>
              <w:t>1.75 ct • E / VS1 • Oval Excellent</w:t>
            </w:r>
          </w:p>
        </w:tc>
        <w:tc>
          <w:tcPr>
            <w:tcW w:type="dxa" w:w="1584"/>
            <w:shd w:fill="F7FAFC"/>
            <w:tcMar>
              <w:top w:w="100" w:type="dxa"/>
              <w:bottom w:w="100" w:type="dxa"/>
              <w:left w:w="140" w:type="dxa"/>
              <w:right w:w="140" w:type="dxa"/>
            </w:tcMar>
          </w:tcPr>
          <w:p>
            <w:pPr>
              <w:jc w:val="left"/>
            </w:pPr>
            <w:r>
              <w:rPr>
                <w:color w:val="2D3748"/>
                <w:sz w:val="18"/>
              </w:rPr>
              <w:t>₹ 44,000</w:t>
            </w:r>
          </w:p>
        </w:tc>
        <w:tc>
          <w:tcPr>
            <w:tcW w:type="dxa" w:w="1440"/>
            <w:shd w:fill="F7FAFC"/>
            <w:tcMar>
              <w:top w:w="100" w:type="dxa"/>
              <w:bottom w:w="100" w:type="dxa"/>
              <w:left w:w="140" w:type="dxa"/>
              <w:right w:w="140" w:type="dxa"/>
            </w:tcMar>
          </w:tcPr>
          <w:p>
            <w:pPr>
              <w:jc w:val="left"/>
            </w:pPr>
            <w:r>
              <w:rPr>
                <w:color w:val="2D3748"/>
                <w:sz w:val="18"/>
              </w:rPr>
              <w:t>₹ 38,700</w:t>
            </w:r>
          </w:p>
        </w:tc>
        <w:tc>
          <w:tcPr>
            <w:tcW w:type="dxa" w:w="1440"/>
            <w:shd w:fill="F7FAFC"/>
            <w:tcMar>
              <w:top w:w="100" w:type="dxa"/>
              <w:bottom w:w="100" w:type="dxa"/>
              <w:left w:w="140" w:type="dxa"/>
              <w:right w:w="140" w:type="dxa"/>
            </w:tcMar>
          </w:tcPr>
          <w:p>
            <w:pPr>
              <w:jc w:val="left"/>
            </w:pPr>
            <w:r>
              <w:rPr>
                <w:color w:val="2D3748"/>
                <w:sz w:val="18"/>
              </w:rPr>
              <w:t>₹ 55,000</w:t>
            </w:r>
          </w:p>
        </w:tc>
        <w:tc>
          <w:tcPr>
            <w:tcW w:type="dxa" w:w="1584"/>
            <w:shd w:fill="F7FAFC"/>
            <w:tcMar>
              <w:top w:w="100" w:type="dxa"/>
              <w:bottom w:w="100" w:type="dxa"/>
              <w:left w:w="140" w:type="dxa"/>
              <w:right w:w="140" w:type="dxa"/>
            </w:tcMar>
          </w:tcPr>
          <w:p>
            <w:pPr>
              <w:jc w:val="left"/>
            </w:pPr>
            <w:r>
              <w:rPr>
                <w:color w:val="2D3748"/>
                <w:sz w:val="18"/>
              </w:rPr>
              <w:t>₹ 16,300 (29.6%)</w:t>
            </w:r>
          </w:p>
        </w:tc>
        <w:tc>
          <w:tcPr>
            <w:tcW w:type="dxa" w:w="1152"/>
            <w:shd w:fill="F7FAFC"/>
            <w:tcMar>
              <w:top w:w="100" w:type="dxa"/>
              <w:bottom w:w="100" w:type="dxa"/>
              <w:left w:w="140" w:type="dxa"/>
              <w:right w:w="140" w:type="dxa"/>
            </w:tcMar>
          </w:tcPr>
          <w:p>
            <w:pPr>
              <w:jc w:val="left"/>
            </w:pPr>
            <w:r>
              <w:rPr>
                <w:color w:val="2D3748"/>
                <w:sz w:val="18"/>
              </w:rPr>
              <w:t>91% (High)</w:t>
            </w:r>
          </w:p>
        </w:tc>
      </w:tr>
    </w:tbl>
    <w:p>
      <w:pPr>
        <w:spacing w:before="0" w:after="120"/>
      </w:pPr>
    </w:p>
    <w:p>
      <w:pPr>
        <w:spacing w:before="0" w:after="120" w:line="276" w:lineRule="auto"/>
        <w:jc w:val="both"/>
      </w:pPr>
      <w:r>
        <w:rPr>
          <w:rFonts w:ascii="Calibri" w:hAnsi="Calibri"/>
          <w:color w:val="2D3748"/>
          <w:sz w:val="22"/>
        </w:rPr>
        <w:t>Key Gemological Observation: Notice the dramatic divergence between Report 584392810 (1.02 ct Natural E/VVS1 at ₹4,32,000) and Report LG612345678 (2.04 ct Lab-Grown D/VVS2 at ₹62,500). Despite possessing twice the carat weight and superior color, the lab-grown diamond is valued at nearly one-seventh the price of the natural stone, precisely mirroring Surat SDB wholesale production indices.</w:t>
      </w:r>
    </w:p>
    <w:p>
      <w:pPr>
        <w:keepNext/>
        <w:spacing w:before="280" w:after="120"/>
      </w:pPr>
      <w:r>
        <w:rPr>
          <w:rFonts w:ascii="Calibri" w:hAnsi="Calibri"/>
          <w:b/>
          <w:color w:val="2B6CB0"/>
          <w:sz w:val="26"/>
        </w:rPr>
        <w:t>9.5 Computational Efficiency &amp; System Latency</w:t>
      </w:r>
    </w:p>
    <w:p>
      <w:pPr>
        <w:spacing w:before="0" w:after="120" w:line="276" w:lineRule="auto"/>
        <w:jc w:val="both"/>
      </w:pPr>
      <w:r>
        <w:rPr>
          <w:rFonts w:ascii="Calibri" w:hAnsi="Calibri"/>
          <w:color w:val="2D3748"/>
          <w:sz w:val="22"/>
        </w:rPr>
        <w:t>Benchmarking across 1,000 continuous valuation requests yielded an average inference latency of 42 milliseconds for the complete 4-pillar valuation pipeline. PDF extraction and OCR parsing executed in an average of 380 milliseconds, comfortably exceeding the NFR-01 requirement of &lt;1.5 seconds.</w:t>
      </w:r>
    </w:p>
    <w:p>
      <w:r>
        <w:br w:type="page"/>
      </w:r>
    </w:p>
    <w:p>
      <w:pPr>
        <w:keepNext/>
        <w:spacing w:before="360" w:after="160"/>
      </w:pPr>
      <w:r>
        <w:rPr>
          <w:rFonts w:ascii="Calibri" w:hAnsi="Calibri"/>
          <w:b/>
          <w:color w:val="1A365D"/>
          <w:sz w:val="32"/>
        </w:rPr>
        <w:t>CHAPTER 10: SYSTEM VERIFICATION, TESTING AND QUALITY ASSURANCE</w:t>
      </w:r>
    </w:p>
    <w:p>
      <w:pPr>
        <w:keepNext/>
        <w:spacing w:before="280" w:after="120"/>
      </w:pPr>
      <w:r>
        <w:rPr>
          <w:rFonts w:ascii="Calibri" w:hAnsi="Calibri"/>
          <w:b/>
          <w:color w:val="2B6CB0"/>
          <w:sz w:val="26"/>
        </w:rPr>
        <w:t>10.1 Automated PyTest Testing Framework Overview</w:t>
      </w:r>
    </w:p>
    <w:p>
      <w:pPr>
        <w:spacing w:before="0" w:after="120" w:line="276" w:lineRule="auto"/>
        <w:jc w:val="both"/>
      </w:pPr>
      <w:r>
        <w:rPr>
          <w:rFonts w:ascii="Calibri" w:hAnsi="Calibri"/>
          <w:color w:val="2D3748"/>
          <w:sz w:val="22"/>
        </w:rPr>
        <w:t>System reliability and mathematical correctness were validated through an automated test suite executed via PyTest (`pytest tests/ -v`). The suite comprises 45 comprehensive test cases spanning ten test modules covering data ingestion, valuation pillars, decimal precision arithmetic, IGI PDF parsing, multi-report comparison, session authentication, and web route security.</w:t>
      </w:r>
    </w:p>
    <w:p>
      <w:pPr>
        <w:keepNext/>
        <w:spacing w:before="280" w:after="120"/>
      </w:pPr>
      <w:r>
        <w:rPr>
          <w:rFonts w:ascii="Calibri" w:hAnsi="Calibri"/>
          <w:b/>
          <w:color w:val="2B6CB0"/>
          <w:sz w:val="26"/>
        </w:rPr>
        <w:t>10.2 Unit Testing of Valuation Pillars and Arithmetic</w:t>
      </w:r>
    </w:p>
    <w:p>
      <w:pPr>
        <w:pStyle w:val="ListBullet"/>
        <w:spacing w:before="40" w:after="60" w:line="276" w:lineRule="auto"/>
        <w:jc w:val="both"/>
      </w:pPr>
      <w:r>
        <w:rPr>
          <w:rFonts w:ascii="Calibri" w:hAnsi="Calibri"/>
          <w:b/>
          <w:color w:val="1A365D"/>
          <w:sz w:val="21"/>
        </w:rPr>
        <w:t xml:space="preserve">`test_indian_valuation.py`: </w:t>
      </w:r>
      <w:r>
        <w:rPr>
          <w:rFonts w:ascii="Calibri" w:hAnsi="Calibri"/>
          <w:color w:val="2D3748"/>
          <w:sz w:val="21"/>
        </w:rPr>
        <w:t>Validates natural vs. lab-grown pricing divergence, INR rupee formatting (`format_inr`, `format_inr_lakhs`), deal advisor verdicts, and invalid specification fallbacks.</w:t>
      </w:r>
    </w:p>
    <w:p>
      <w:pPr>
        <w:pStyle w:val="ListBullet"/>
        <w:spacing w:before="40" w:after="60" w:line="276" w:lineRule="auto"/>
        <w:jc w:val="both"/>
      </w:pPr>
      <w:r>
        <w:rPr>
          <w:rFonts w:ascii="Calibri" w:hAnsi="Calibri"/>
          <w:b/>
          <w:color w:val="1A365D"/>
          <w:sz w:val="21"/>
        </w:rPr>
        <w:t xml:space="preserve">`test_style_value_layer.py`: </w:t>
      </w:r>
      <w:r>
        <w:rPr>
          <w:rFonts w:ascii="Calibri" w:hAnsi="Calibri"/>
          <w:color w:val="2D3748"/>
          <w:sz w:val="21"/>
        </w:rPr>
        <w:t>Tests AI Face score computation (0-100), Tolkowsky proportion grading, and dynamic pricing preference signal overrides (premium, moderate, value-oriented).</w:t>
      </w:r>
    </w:p>
    <w:p>
      <w:pPr>
        <w:pStyle w:val="ListBullet"/>
        <w:spacing w:before="40" w:after="60" w:line="276" w:lineRule="auto"/>
        <w:jc w:val="both"/>
      </w:pPr>
      <w:r>
        <w:rPr>
          <w:rFonts w:ascii="Calibri" w:hAnsi="Calibri"/>
          <w:b/>
          <w:color w:val="1A365D"/>
          <w:sz w:val="21"/>
        </w:rPr>
        <w:t xml:space="preserve">`test_invoices_and_billing.py`: </w:t>
      </w:r>
      <w:r>
        <w:rPr>
          <w:rFonts w:ascii="Calibri" w:hAnsi="Calibri"/>
          <w:color w:val="2D3748"/>
          <w:sz w:val="21"/>
        </w:rPr>
        <w:t>Tests high-precision Decimal arithmetic, metal wastage, diamond and gemstone costing, labour charges, 3% GST splits, and Indian number-to-words representation.</w:t>
      </w:r>
    </w:p>
    <w:p>
      <w:pPr>
        <w:keepNext/>
        <w:spacing w:before="280" w:after="120"/>
      </w:pPr>
      <w:r>
        <w:rPr>
          <w:rFonts w:ascii="Calibri" w:hAnsi="Calibri"/>
          <w:b/>
          <w:color w:val="2B6CB0"/>
          <w:sz w:val="26"/>
        </w:rPr>
        <w:t>10.3 Integration, Route, and Security Auditing</w:t>
      </w:r>
    </w:p>
    <w:p>
      <w:pPr>
        <w:pStyle w:val="ListBullet"/>
        <w:spacing w:before="40" w:after="60" w:line="276" w:lineRule="auto"/>
        <w:jc w:val="both"/>
      </w:pPr>
      <w:r>
        <w:rPr>
          <w:rFonts w:ascii="Calibri" w:hAnsi="Calibri"/>
          <w:b/>
          <w:color w:val="1A365D"/>
          <w:sz w:val="21"/>
        </w:rPr>
        <w:t xml:space="preserve">`test_app_routes.py`: </w:t>
      </w:r>
      <w:r>
        <w:rPr>
          <w:rFonts w:ascii="Calibri" w:hAnsi="Calibri"/>
          <w:color w:val="2D3748"/>
          <w:sz w:val="21"/>
        </w:rPr>
        <w:t>Executes HTTP integration testing across `/appraise`, `/compare`, `/workspace`, `/calculator`, and `/invoices`.</w:t>
      </w:r>
    </w:p>
    <w:p>
      <w:pPr>
        <w:pStyle w:val="ListBullet"/>
        <w:spacing w:before="40" w:after="60" w:line="276" w:lineRule="auto"/>
        <w:jc w:val="both"/>
      </w:pPr>
      <w:r>
        <w:rPr>
          <w:rFonts w:ascii="Calibri" w:hAnsi="Calibri"/>
          <w:b/>
          <w:color w:val="1A365D"/>
          <w:sz w:val="21"/>
        </w:rPr>
        <w:t xml:space="preserve">`test_workspace_auth.py`: </w:t>
      </w:r>
      <w:r>
        <w:rPr>
          <w:rFonts w:ascii="Calibri" w:hAnsi="Calibri"/>
          <w:color w:val="2D3748"/>
          <w:sz w:val="21"/>
        </w:rPr>
        <w:t>Validates password hashing, user registration, session management, and inventory CRUD isolation.</w:t>
      </w:r>
    </w:p>
    <w:p>
      <w:pPr>
        <w:keepNext/>
        <w:spacing w:before="280" w:after="120"/>
      </w:pPr>
      <w:r>
        <w:rPr>
          <w:rFonts w:ascii="Calibri" w:hAnsi="Calibri"/>
          <w:b/>
          <w:color w:val="2B6CB0"/>
          <w:sz w:val="26"/>
        </w:rPr>
        <w:t>10.4 Empirical Test Results &amp; Root-Cause Failure Analysis</w:t>
      </w:r>
    </w:p>
    <w:p>
      <w:pPr>
        <w:spacing w:before="0" w:after="120" w:line="276" w:lineRule="auto"/>
        <w:jc w:val="both"/>
      </w:pPr>
      <w:r>
        <w:rPr>
          <w:rFonts w:ascii="Calibri" w:hAnsi="Calibri"/>
          <w:color w:val="2D3748"/>
          <w:sz w:val="22"/>
        </w:rPr>
        <w:t>Execution of the automated PyTest suite produced 43 PASSED tests and 2 FAILED tests out of 45 total cases. In accordance with strict academic integrity, Table 10.1 summarizes the test suite results, followed by a rigorous root-cause analysis of the two test failures.</w:t>
      </w:r>
    </w:p>
    <w:tbl>
      <w:tblPr>
        <w:tblW w:type="auto" w:w="0"/>
        <w:jc w:val="center"/>
        <w:tblLook w:firstColumn="1" w:firstRow="1" w:lastColumn="0" w:lastRow="0" w:noHBand="0" w:noVBand="1" w:val="04A0"/>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Pr>
      <w:tblGrid>
        <w:gridCol w:w="1560"/>
        <w:gridCol w:w="1560"/>
        <w:gridCol w:w="1560"/>
        <w:gridCol w:w="1560"/>
        <w:gridCol w:w="1560"/>
        <w:gridCol w:w="1560"/>
      </w:tblGrid>
      <w:tr>
        <w:tc>
          <w:tcPr>
            <w:tcW w:type="dxa" w:w="2592"/>
            <w:shd w:fill="1A365D"/>
            <w:tcMar>
              <w:top w:w="120" w:type="dxa"/>
              <w:bottom w:w="120" w:type="dxa"/>
              <w:left w:w="140" w:type="dxa"/>
              <w:right w:w="140" w:type="dxa"/>
            </w:tcMar>
          </w:tcPr>
          <w:p>
            <w:pPr>
              <w:jc w:val="left"/>
            </w:pPr>
            <w:r>
              <w:rPr>
                <w:b/>
                <w:color w:val="FFFFFF"/>
                <w:sz w:val="19"/>
              </w:rPr>
              <w:t>Test Module</w:t>
            </w:r>
          </w:p>
        </w:tc>
        <w:tc>
          <w:tcPr>
            <w:tcW w:type="dxa" w:w="3168"/>
            <w:shd w:fill="1A365D"/>
            <w:tcMar>
              <w:top w:w="120" w:type="dxa"/>
              <w:bottom w:w="120" w:type="dxa"/>
              <w:left w:w="140" w:type="dxa"/>
              <w:right w:w="140" w:type="dxa"/>
            </w:tcMar>
          </w:tcPr>
          <w:p>
            <w:pPr>
              <w:jc w:val="left"/>
            </w:pPr>
            <w:r>
              <w:rPr>
                <w:b/>
                <w:color w:val="FFFFFF"/>
                <w:sz w:val="19"/>
              </w:rPr>
              <w:t>Test Focus Area</w:t>
            </w:r>
          </w:p>
        </w:tc>
        <w:tc>
          <w:tcPr>
            <w:tcW w:type="dxa" w:w="1152"/>
            <w:shd w:fill="1A365D"/>
            <w:tcMar>
              <w:top w:w="120" w:type="dxa"/>
              <w:bottom w:w="120" w:type="dxa"/>
              <w:left w:w="140" w:type="dxa"/>
              <w:right w:w="140" w:type="dxa"/>
            </w:tcMar>
          </w:tcPr>
          <w:p>
            <w:pPr>
              <w:jc w:val="left"/>
            </w:pPr>
            <w:r>
              <w:rPr>
                <w:b/>
                <w:color w:val="FFFFFF"/>
                <w:sz w:val="19"/>
              </w:rPr>
              <w:t>Total Tests</w:t>
            </w:r>
          </w:p>
        </w:tc>
        <w:tc>
          <w:tcPr>
            <w:tcW w:type="dxa" w:w="1008"/>
            <w:shd w:fill="1A365D"/>
            <w:tcMar>
              <w:top w:w="120" w:type="dxa"/>
              <w:bottom w:w="120" w:type="dxa"/>
              <w:left w:w="140" w:type="dxa"/>
              <w:right w:w="140" w:type="dxa"/>
            </w:tcMar>
          </w:tcPr>
          <w:p>
            <w:pPr>
              <w:jc w:val="left"/>
            </w:pPr>
            <w:r>
              <w:rPr>
                <w:b/>
                <w:color w:val="FFFFFF"/>
                <w:sz w:val="19"/>
              </w:rPr>
              <w:t>Passed</w:t>
            </w:r>
          </w:p>
        </w:tc>
        <w:tc>
          <w:tcPr>
            <w:tcW w:type="dxa" w:w="1008"/>
            <w:shd w:fill="1A365D"/>
            <w:tcMar>
              <w:top w:w="120" w:type="dxa"/>
              <w:bottom w:w="120" w:type="dxa"/>
              <w:left w:w="140" w:type="dxa"/>
              <w:right w:w="140" w:type="dxa"/>
            </w:tcMar>
          </w:tcPr>
          <w:p>
            <w:pPr>
              <w:jc w:val="left"/>
            </w:pPr>
            <w:r>
              <w:rPr>
                <w:b/>
                <w:color w:val="FFFFFF"/>
                <w:sz w:val="19"/>
              </w:rPr>
              <w:t>Failed</w:t>
            </w:r>
          </w:p>
        </w:tc>
        <w:tc>
          <w:tcPr>
            <w:tcW w:type="dxa" w:w="1584"/>
            <w:shd w:fill="1A365D"/>
            <w:tcMar>
              <w:top w:w="120" w:type="dxa"/>
              <w:bottom w:w="120" w:type="dxa"/>
              <w:left w:w="140" w:type="dxa"/>
              <w:right w:w="140" w:type="dxa"/>
            </w:tcMar>
          </w:tcPr>
          <w:p>
            <w:pPr>
              <w:jc w:val="left"/>
            </w:pPr>
            <w:r>
              <w:rPr>
                <w:b/>
                <w:color w:val="FFFFFF"/>
                <w:sz w:val="19"/>
              </w:rPr>
              <w:t>Status</w:t>
            </w:r>
          </w:p>
        </w:tc>
      </w:tr>
      <w:tr>
        <w:tc>
          <w:tcPr>
            <w:tcW w:type="dxa" w:w="2592"/>
            <w:shd w:fill="FFFFFF"/>
            <w:tcMar>
              <w:top w:w="100" w:type="dxa"/>
              <w:bottom w:w="100" w:type="dxa"/>
              <w:left w:w="140" w:type="dxa"/>
              <w:right w:w="140" w:type="dxa"/>
            </w:tcMar>
          </w:tcPr>
          <w:p>
            <w:pPr>
              <w:jc w:val="left"/>
            </w:pPr>
            <w:r>
              <w:rPr>
                <w:color w:val="2D3748"/>
                <w:sz w:val="18"/>
              </w:rPr>
              <w:t>test_data_ingestion.py</w:t>
            </w:r>
          </w:p>
        </w:tc>
        <w:tc>
          <w:tcPr>
            <w:tcW w:type="dxa" w:w="3168"/>
            <w:shd w:fill="FFFFFF"/>
            <w:tcMar>
              <w:top w:w="100" w:type="dxa"/>
              <w:bottom w:w="100" w:type="dxa"/>
              <w:left w:w="140" w:type="dxa"/>
              <w:right w:w="140" w:type="dxa"/>
            </w:tcMar>
          </w:tcPr>
          <w:p>
            <w:pPr>
              <w:jc w:val="left"/>
            </w:pPr>
            <w:r>
              <w:rPr>
                <w:color w:val="2D3748"/>
                <w:sz w:val="18"/>
              </w:rPr>
              <w:t>Data Ingestion &amp; Train/Test Artifact Pipeline</w:t>
            </w:r>
          </w:p>
        </w:tc>
        <w:tc>
          <w:tcPr>
            <w:tcW w:type="dxa" w:w="1152"/>
            <w:shd w:fill="FFFFFF"/>
            <w:tcMar>
              <w:top w:w="100" w:type="dxa"/>
              <w:bottom w:w="100" w:type="dxa"/>
              <w:left w:w="140" w:type="dxa"/>
              <w:right w:w="140" w:type="dxa"/>
            </w:tcMar>
          </w:tcPr>
          <w:p>
            <w:pPr>
              <w:jc w:val="left"/>
            </w:pPr>
            <w:r>
              <w:rPr>
                <w:color w:val="2D3748"/>
                <w:sz w:val="18"/>
              </w:rPr>
              <w:t>1</w:t>
            </w:r>
          </w:p>
        </w:tc>
        <w:tc>
          <w:tcPr>
            <w:tcW w:type="dxa" w:w="1008"/>
            <w:shd w:fill="FFFFFF"/>
            <w:tcMar>
              <w:top w:w="100" w:type="dxa"/>
              <w:bottom w:w="100" w:type="dxa"/>
              <w:left w:w="140" w:type="dxa"/>
              <w:right w:w="140" w:type="dxa"/>
            </w:tcMar>
          </w:tcPr>
          <w:p>
            <w:pPr>
              <w:jc w:val="left"/>
            </w:pPr>
            <w:r>
              <w:rPr>
                <w:color w:val="2D3748"/>
                <w:sz w:val="18"/>
              </w:rPr>
              <w:t>1</w:t>
            </w:r>
          </w:p>
        </w:tc>
        <w:tc>
          <w:tcPr>
            <w:tcW w:type="dxa" w:w="1008"/>
            <w:shd w:fill="FFFFFF"/>
            <w:tcMar>
              <w:top w:w="100" w:type="dxa"/>
              <w:bottom w:w="100" w:type="dxa"/>
              <w:left w:w="140" w:type="dxa"/>
              <w:right w:w="140" w:type="dxa"/>
            </w:tcMar>
          </w:tcPr>
          <w:p>
            <w:pPr>
              <w:jc w:val="left"/>
            </w:pPr>
            <w:r>
              <w:rPr>
                <w:color w:val="2D3748"/>
                <w:sz w:val="18"/>
              </w:rPr>
              <w:t>0</w:t>
            </w:r>
          </w:p>
        </w:tc>
        <w:tc>
          <w:tcPr>
            <w:tcW w:type="dxa" w:w="1584"/>
            <w:shd w:fill="FFFFFF"/>
            <w:tcMar>
              <w:top w:w="100" w:type="dxa"/>
              <w:bottom w:w="100" w:type="dxa"/>
              <w:left w:w="140" w:type="dxa"/>
              <w:right w:w="140" w:type="dxa"/>
            </w:tcMar>
          </w:tcPr>
          <w:p>
            <w:pPr>
              <w:jc w:val="left"/>
            </w:pPr>
            <w:r>
              <w:rPr>
                <w:color w:val="2D3748"/>
                <w:sz w:val="18"/>
              </w:rPr>
              <w:t>PASSED</w:t>
            </w:r>
          </w:p>
        </w:tc>
      </w:tr>
      <w:tr>
        <w:tc>
          <w:tcPr>
            <w:tcW w:type="dxa" w:w="2592"/>
            <w:shd w:fill="F7FAFC"/>
            <w:tcMar>
              <w:top w:w="100" w:type="dxa"/>
              <w:bottom w:w="100" w:type="dxa"/>
              <w:left w:w="140" w:type="dxa"/>
              <w:right w:w="140" w:type="dxa"/>
            </w:tcMar>
          </w:tcPr>
          <w:p>
            <w:pPr>
              <w:jc w:val="left"/>
            </w:pPr>
            <w:r>
              <w:rPr>
                <w:color w:val="2D3748"/>
                <w:sz w:val="18"/>
              </w:rPr>
              <w:t>test_igi_service.py</w:t>
            </w:r>
          </w:p>
        </w:tc>
        <w:tc>
          <w:tcPr>
            <w:tcW w:type="dxa" w:w="3168"/>
            <w:shd w:fill="F7FAFC"/>
            <w:tcMar>
              <w:top w:w="100" w:type="dxa"/>
              <w:bottom w:w="100" w:type="dxa"/>
              <w:left w:w="140" w:type="dxa"/>
              <w:right w:w="140" w:type="dxa"/>
            </w:tcMar>
          </w:tcPr>
          <w:p>
            <w:pPr>
              <w:jc w:val="left"/>
            </w:pPr>
            <w:r>
              <w:rPr>
                <w:color w:val="2D3748"/>
                <w:sz w:val="18"/>
              </w:rPr>
              <w:t>IGI Verification Gateway &amp; PDF Extraction</w:t>
            </w:r>
          </w:p>
        </w:tc>
        <w:tc>
          <w:tcPr>
            <w:tcW w:type="dxa" w:w="1152"/>
            <w:shd w:fill="F7FAFC"/>
            <w:tcMar>
              <w:top w:w="100" w:type="dxa"/>
              <w:bottom w:w="100" w:type="dxa"/>
              <w:left w:w="140" w:type="dxa"/>
              <w:right w:w="140" w:type="dxa"/>
            </w:tcMar>
          </w:tcPr>
          <w:p>
            <w:pPr>
              <w:jc w:val="left"/>
            </w:pPr>
            <w:r>
              <w:rPr>
                <w:color w:val="2D3748"/>
                <w:sz w:val="18"/>
              </w:rPr>
              <w:t>2</w:t>
            </w:r>
          </w:p>
        </w:tc>
        <w:tc>
          <w:tcPr>
            <w:tcW w:type="dxa" w:w="1008"/>
            <w:shd w:fill="F7FAFC"/>
            <w:tcMar>
              <w:top w:w="100" w:type="dxa"/>
              <w:bottom w:w="100" w:type="dxa"/>
              <w:left w:w="140" w:type="dxa"/>
              <w:right w:w="140" w:type="dxa"/>
            </w:tcMar>
          </w:tcPr>
          <w:p>
            <w:pPr>
              <w:jc w:val="left"/>
            </w:pPr>
            <w:r>
              <w:rPr>
                <w:color w:val="2D3748"/>
                <w:sz w:val="18"/>
              </w:rPr>
              <w:t>2</w:t>
            </w:r>
          </w:p>
        </w:tc>
        <w:tc>
          <w:tcPr>
            <w:tcW w:type="dxa" w:w="1008"/>
            <w:shd w:fill="F7FAFC"/>
            <w:tcMar>
              <w:top w:w="100" w:type="dxa"/>
              <w:bottom w:w="100" w:type="dxa"/>
              <w:left w:w="140" w:type="dxa"/>
              <w:right w:w="140" w:type="dxa"/>
            </w:tcMar>
          </w:tcPr>
          <w:p>
            <w:pPr>
              <w:jc w:val="left"/>
            </w:pPr>
            <w:r>
              <w:rPr>
                <w:color w:val="2D3748"/>
                <w:sz w:val="18"/>
              </w:rPr>
              <w:t>0</w:t>
            </w:r>
          </w:p>
        </w:tc>
        <w:tc>
          <w:tcPr>
            <w:tcW w:type="dxa" w:w="1584"/>
            <w:shd w:fill="F7FAFC"/>
            <w:tcMar>
              <w:top w:w="100" w:type="dxa"/>
              <w:bottom w:w="100" w:type="dxa"/>
              <w:left w:w="140" w:type="dxa"/>
              <w:right w:w="140" w:type="dxa"/>
            </w:tcMar>
          </w:tcPr>
          <w:p>
            <w:pPr>
              <w:jc w:val="left"/>
            </w:pPr>
            <w:r>
              <w:rPr>
                <w:color w:val="2D3748"/>
                <w:sz w:val="18"/>
              </w:rPr>
              <w:t>PASSED</w:t>
            </w:r>
          </w:p>
        </w:tc>
      </w:tr>
      <w:tr>
        <w:tc>
          <w:tcPr>
            <w:tcW w:type="dxa" w:w="2592"/>
            <w:shd w:fill="FFFFFF"/>
            <w:tcMar>
              <w:top w:w="100" w:type="dxa"/>
              <w:bottom w:w="100" w:type="dxa"/>
              <w:left w:w="140" w:type="dxa"/>
              <w:right w:w="140" w:type="dxa"/>
            </w:tcMar>
          </w:tcPr>
          <w:p>
            <w:pPr>
              <w:jc w:val="left"/>
            </w:pPr>
            <w:r>
              <w:rPr>
                <w:color w:val="2D3748"/>
                <w:sz w:val="18"/>
              </w:rPr>
              <w:t>test_indian_valuation.py</w:t>
            </w:r>
          </w:p>
        </w:tc>
        <w:tc>
          <w:tcPr>
            <w:tcW w:type="dxa" w:w="3168"/>
            <w:shd w:fill="FFFFFF"/>
            <w:tcMar>
              <w:top w:w="100" w:type="dxa"/>
              <w:bottom w:w="100" w:type="dxa"/>
              <w:left w:w="140" w:type="dxa"/>
              <w:right w:w="140" w:type="dxa"/>
            </w:tcMar>
          </w:tcPr>
          <w:p>
            <w:pPr>
              <w:jc w:val="left"/>
            </w:pPr>
            <w:r>
              <w:rPr>
                <w:color w:val="2D3748"/>
                <w:sz w:val="18"/>
              </w:rPr>
              <w:t>BDB/SDB Quotes &amp; 4-Pillar Synthesis</w:t>
            </w:r>
          </w:p>
        </w:tc>
        <w:tc>
          <w:tcPr>
            <w:tcW w:type="dxa" w:w="1152"/>
            <w:shd w:fill="FFFFFF"/>
            <w:tcMar>
              <w:top w:w="100" w:type="dxa"/>
              <w:bottom w:w="100" w:type="dxa"/>
              <w:left w:w="140" w:type="dxa"/>
              <w:right w:w="140" w:type="dxa"/>
            </w:tcMar>
          </w:tcPr>
          <w:p>
            <w:pPr>
              <w:jc w:val="left"/>
            </w:pPr>
            <w:r>
              <w:rPr>
                <w:color w:val="2D3748"/>
                <w:sz w:val="18"/>
              </w:rPr>
              <w:t>5</w:t>
            </w:r>
          </w:p>
        </w:tc>
        <w:tc>
          <w:tcPr>
            <w:tcW w:type="dxa" w:w="1008"/>
            <w:shd w:fill="FFFFFF"/>
            <w:tcMar>
              <w:top w:w="100" w:type="dxa"/>
              <w:bottom w:w="100" w:type="dxa"/>
              <w:left w:w="140" w:type="dxa"/>
              <w:right w:w="140" w:type="dxa"/>
            </w:tcMar>
          </w:tcPr>
          <w:p>
            <w:pPr>
              <w:jc w:val="left"/>
            </w:pPr>
            <w:r>
              <w:rPr>
                <w:color w:val="2D3748"/>
                <w:sz w:val="18"/>
              </w:rPr>
              <w:t>5</w:t>
            </w:r>
          </w:p>
        </w:tc>
        <w:tc>
          <w:tcPr>
            <w:tcW w:type="dxa" w:w="1008"/>
            <w:shd w:fill="FFFFFF"/>
            <w:tcMar>
              <w:top w:w="100" w:type="dxa"/>
              <w:bottom w:w="100" w:type="dxa"/>
              <w:left w:w="140" w:type="dxa"/>
              <w:right w:w="140" w:type="dxa"/>
            </w:tcMar>
          </w:tcPr>
          <w:p>
            <w:pPr>
              <w:jc w:val="left"/>
            </w:pPr>
            <w:r>
              <w:rPr>
                <w:color w:val="2D3748"/>
                <w:sz w:val="18"/>
              </w:rPr>
              <w:t>0</w:t>
            </w:r>
          </w:p>
        </w:tc>
        <w:tc>
          <w:tcPr>
            <w:tcW w:type="dxa" w:w="1584"/>
            <w:shd w:fill="FFFFFF"/>
            <w:tcMar>
              <w:top w:w="100" w:type="dxa"/>
              <w:bottom w:w="100" w:type="dxa"/>
              <w:left w:w="140" w:type="dxa"/>
              <w:right w:w="140" w:type="dxa"/>
            </w:tcMar>
          </w:tcPr>
          <w:p>
            <w:pPr>
              <w:jc w:val="left"/>
            </w:pPr>
            <w:r>
              <w:rPr>
                <w:color w:val="2D3748"/>
                <w:sz w:val="18"/>
              </w:rPr>
              <w:t>PASSED</w:t>
            </w:r>
          </w:p>
        </w:tc>
      </w:tr>
      <w:tr>
        <w:tc>
          <w:tcPr>
            <w:tcW w:type="dxa" w:w="2592"/>
            <w:shd w:fill="F7FAFC"/>
            <w:tcMar>
              <w:top w:w="100" w:type="dxa"/>
              <w:bottom w:w="100" w:type="dxa"/>
              <w:left w:w="140" w:type="dxa"/>
              <w:right w:w="140" w:type="dxa"/>
            </w:tcMar>
          </w:tcPr>
          <w:p>
            <w:pPr>
              <w:jc w:val="left"/>
            </w:pPr>
            <w:r>
              <w:rPr>
                <w:color w:val="2D3748"/>
                <w:sz w:val="18"/>
              </w:rPr>
              <w:t>test_style_value_layer.py</w:t>
            </w:r>
          </w:p>
        </w:tc>
        <w:tc>
          <w:tcPr>
            <w:tcW w:type="dxa" w:w="3168"/>
            <w:shd w:fill="F7FAFC"/>
            <w:tcMar>
              <w:top w:w="100" w:type="dxa"/>
              <w:bottom w:w="100" w:type="dxa"/>
              <w:left w:w="140" w:type="dxa"/>
              <w:right w:w="140" w:type="dxa"/>
            </w:tcMar>
          </w:tcPr>
          <w:p>
            <w:pPr>
              <w:jc w:val="left"/>
            </w:pPr>
            <w:r>
              <w:rPr>
                <w:color w:val="2D3748"/>
                <w:sz w:val="18"/>
              </w:rPr>
              <w:t>AI Face Score &amp; Pricing Preference Signals</w:t>
            </w:r>
          </w:p>
        </w:tc>
        <w:tc>
          <w:tcPr>
            <w:tcW w:type="dxa" w:w="1152"/>
            <w:shd w:fill="F7FAFC"/>
            <w:tcMar>
              <w:top w:w="100" w:type="dxa"/>
              <w:bottom w:w="100" w:type="dxa"/>
              <w:left w:w="140" w:type="dxa"/>
              <w:right w:w="140" w:type="dxa"/>
            </w:tcMar>
          </w:tcPr>
          <w:p>
            <w:pPr>
              <w:jc w:val="left"/>
            </w:pPr>
            <w:r>
              <w:rPr>
                <w:color w:val="2D3748"/>
                <w:sz w:val="18"/>
              </w:rPr>
              <w:t>3</w:t>
            </w:r>
          </w:p>
        </w:tc>
        <w:tc>
          <w:tcPr>
            <w:tcW w:type="dxa" w:w="1008"/>
            <w:shd w:fill="F7FAFC"/>
            <w:tcMar>
              <w:top w:w="100" w:type="dxa"/>
              <w:bottom w:w="100" w:type="dxa"/>
              <w:left w:w="140" w:type="dxa"/>
              <w:right w:w="140" w:type="dxa"/>
            </w:tcMar>
          </w:tcPr>
          <w:p>
            <w:pPr>
              <w:jc w:val="left"/>
            </w:pPr>
            <w:r>
              <w:rPr>
                <w:color w:val="2D3748"/>
                <w:sz w:val="18"/>
              </w:rPr>
              <w:t>3</w:t>
            </w:r>
          </w:p>
        </w:tc>
        <w:tc>
          <w:tcPr>
            <w:tcW w:type="dxa" w:w="1008"/>
            <w:shd w:fill="F7FAFC"/>
            <w:tcMar>
              <w:top w:w="100" w:type="dxa"/>
              <w:bottom w:w="100" w:type="dxa"/>
              <w:left w:w="140" w:type="dxa"/>
              <w:right w:w="140" w:type="dxa"/>
            </w:tcMar>
          </w:tcPr>
          <w:p>
            <w:pPr>
              <w:jc w:val="left"/>
            </w:pPr>
            <w:r>
              <w:rPr>
                <w:color w:val="2D3748"/>
                <w:sz w:val="18"/>
              </w:rPr>
              <w:t>0</w:t>
            </w:r>
          </w:p>
        </w:tc>
        <w:tc>
          <w:tcPr>
            <w:tcW w:type="dxa" w:w="1584"/>
            <w:shd w:fill="F7FAFC"/>
            <w:tcMar>
              <w:top w:w="100" w:type="dxa"/>
              <w:bottom w:w="100" w:type="dxa"/>
              <w:left w:w="140" w:type="dxa"/>
              <w:right w:w="140" w:type="dxa"/>
            </w:tcMar>
          </w:tcPr>
          <w:p>
            <w:pPr>
              <w:jc w:val="left"/>
            </w:pPr>
            <w:r>
              <w:rPr>
                <w:color w:val="2D3748"/>
                <w:sz w:val="18"/>
              </w:rPr>
              <w:t>PASSED</w:t>
            </w:r>
          </w:p>
        </w:tc>
      </w:tr>
      <w:tr>
        <w:tc>
          <w:tcPr>
            <w:tcW w:type="dxa" w:w="2592"/>
            <w:shd w:fill="FFFFFF"/>
            <w:tcMar>
              <w:top w:w="100" w:type="dxa"/>
              <w:bottom w:w="100" w:type="dxa"/>
              <w:left w:w="140" w:type="dxa"/>
              <w:right w:w="140" w:type="dxa"/>
            </w:tcMar>
          </w:tcPr>
          <w:p>
            <w:pPr>
              <w:jc w:val="left"/>
            </w:pPr>
            <w:r>
              <w:rPr>
                <w:color w:val="2D3748"/>
                <w:sz w:val="18"/>
              </w:rPr>
              <w:t>test_multi_compare.py</w:t>
            </w:r>
          </w:p>
        </w:tc>
        <w:tc>
          <w:tcPr>
            <w:tcW w:type="dxa" w:w="3168"/>
            <w:shd w:fill="FFFFFF"/>
            <w:tcMar>
              <w:top w:w="100" w:type="dxa"/>
              <w:bottom w:w="100" w:type="dxa"/>
              <w:left w:w="140" w:type="dxa"/>
              <w:right w:w="140" w:type="dxa"/>
            </w:tcMar>
          </w:tcPr>
          <w:p>
            <w:pPr>
              <w:jc w:val="left"/>
            </w:pPr>
            <w:r>
              <w:rPr>
                <w:color w:val="2D3748"/>
                <w:sz w:val="18"/>
              </w:rPr>
              <w:t>5-Report Side-by-Side Comparison Matrix</w:t>
            </w:r>
          </w:p>
        </w:tc>
        <w:tc>
          <w:tcPr>
            <w:tcW w:type="dxa" w:w="1152"/>
            <w:shd w:fill="FFFFFF"/>
            <w:tcMar>
              <w:top w:w="100" w:type="dxa"/>
              <w:bottom w:w="100" w:type="dxa"/>
              <w:left w:w="140" w:type="dxa"/>
              <w:right w:w="140" w:type="dxa"/>
            </w:tcMar>
          </w:tcPr>
          <w:p>
            <w:pPr>
              <w:jc w:val="left"/>
            </w:pPr>
            <w:r>
              <w:rPr>
                <w:color w:val="2D3748"/>
                <w:sz w:val="18"/>
              </w:rPr>
              <w:t>1</w:t>
            </w:r>
          </w:p>
        </w:tc>
        <w:tc>
          <w:tcPr>
            <w:tcW w:type="dxa" w:w="1008"/>
            <w:shd w:fill="FFFFFF"/>
            <w:tcMar>
              <w:top w:w="100" w:type="dxa"/>
              <w:bottom w:w="100" w:type="dxa"/>
              <w:left w:w="140" w:type="dxa"/>
              <w:right w:w="140" w:type="dxa"/>
            </w:tcMar>
          </w:tcPr>
          <w:p>
            <w:pPr>
              <w:jc w:val="left"/>
            </w:pPr>
            <w:r>
              <w:rPr>
                <w:color w:val="2D3748"/>
                <w:sz w:val="18"/>
              </w:rPr>
              <w:t>1</w:t>
            </w:r>
          </w:p>
        </w:tc>
        <w:tc>
          <w:tcPr>
            <w:tcW w:type="dxa" w:w="1008"/>
            <w:shd w:fill="FFFFFF"/>
            <w:tcMar>
              <w:top w:w="100" w:type="dxa"/>
              <w:bottom w:w="100" w:type="dxa"/>
              <w:left w:w="140" w:type="dxa"/>
              <w:right w:w="140" w:type="dxa"/>
            </w:tcMar>
          </w:tcPr>
          <w:p>
            <w:pPr>
              <w:jc w:val="left"/>
            </w:pPr>
            <w:r>
              <w:rPr>
                <w:color w:val="2D3748"/>
                <w:sz w:val="18"/>
              </w:rPr>
              <w:t>0</w:t>
            </w:r>
          </w:p>
        </w:tc>
        <w:tc>
          <w:tcPr>
            <w:tcW w:type="dxa" w:w="1584"/>
            <w:shd w:fill="FFFFFF"/>
            <w:tcMar>
              <w:top w:w="100" w:type="dxa"/>
              <w:bottom w:w="100" w:type="dxa"/>
              <w:left w:w="140" w:type="dxa"/>
              <w:right w:w="140" w:type="dxa"/>
            </w:tcMar>
          </w:tcPr>
          <w:p>
            <w:pPr>
              <w:jc w:val="left"/>
            </w:pPr>
            <w:r>
              <w:rPr>
                <w:color w:val="2D3748"/>
                <w:sz w:val="18"/>
              </w:rPr>
              <w:t>PASSED</w:t>
            </w:r>
          </w:p>
        </w:tc>
      </w:tr>
      <w:tr>
        <w:tc>
          <w:tcPr>
            <w:tcW w:type="dxa" w:w="2592"/>
            <w:shd w:fill="F7FAFC"/>
            <w:tcMar>
              <w:top w:w="100" w:type="dxa"/>
              <w:bottom w:w="100" w:type="dxa"/>
              <w:left w:w="140" w:type="dxa"/>
              <w:right w:w="140" w:type="dxa"/>
            </w:tcMar>
          </w:tcPr>
          <w:p>
            <w:pPr>
              <w:jc w:val="left"/>
            </w:pPr>
            <w:r>
              <w:rPr>
                <w:color w:val="2D3748"/>
                <w:sz w:val="18"/>
              </w:rPr>
              <w:t>test_workspace_auth.py</w:t>
            </w:r>
          </w:p>
        </w:tc>
        <w:tc>
          <w:tcPr>
            <w:tcW w:type="dxa" w:w="3168"/>
            <w:shd w:fill="F7FAFC"/>
            <w:tcMar>
              <w:top w:w="100" w:type="dxa"/>
              <w:bottom w:w="100" w:type="dxa"/>
              <w:left w:w="140" w:type="dxa"/>
              <w:right w:w="140" w:type="dxa"/>
            </w:tcMar>
          </w:tcPr>
          <w:p>
            <w:pPr>
              <w:jc w:val="left"/>
            </w:pPr>
            <w:r>
              <w:rPr>
                <w:color w:val="2D3748"/>
                <w:sz w:val="18"/>
              </w:rPr>
              <w:t>Jeweller Authentication &amp; Inventory CRUD</w:t>
            </w:r>
          </w:p>
        </w:tc>
        <w:tc>
          <w:tcPr>
            <w:tcW w:type="dxa" w:w="1152"/>
            <w:shd w:fill="F7FAFC"/>
            <w:tcMar>
              <w:top w:w="100" w:type="dxa"/>
              <w:bottom w:w="100" w:type="dxa"/>
              <w:left w:w="140" w:type="dxa"/>
              <w:right w:w="140" w:type="dxa"/>
            </w:tcMar>
          </w:tcPr>
          <w:p>
            <w:pPr>
              <w:jc w:val="left"/>
            </w:pPr>
            <w:r>
              <w:rPr>
                <w:color w:val="2D3748"/>
                <w:sz w:val="18"/>
              </w:rPr>
              <w:t>2</w:t>
            </w:r>
          </w:p>
        </w:tc>
        <w:tc>
          <w:tcPr>
            <w:tcW w:type="dxa" w:w="1008"/>
            <w:shd w:fill="F7FAFC"/>
            <w:tcMar>
              <w:top w:w="100" w:type="dxa"/>
              <w:bottom w:w="100" w:type="dxa"/>
              <w:left w:w="140" w:type="dxa"/>
              <w:right w:w="140" w:type="dxa"/>
            </w:tcMar>
          </w:tcPr>
          <w:p>
            <w:pPr>
              <w:jc w:val="left"/>
            </w:pPr>
            <w:r>
              <w:rPr>
                <w:color w:val="2D3748"/>
                <w:sz w:val="18"/>
              </w:rPr>
              <w:t>2</w:t>
            </w:r>
          </w:p>
        </w:tc>
        <w:tc>
          <w:tcPr>
            <w:tcW w:type="dxa" w:w="1008"/>
            <w:shd w:fill="F7FAFC"/>
            <w:tcMar>
              <w:top w:w="100" w:type="dxa"/>
              <w:bottom w:w="100" w:type="dxa"/>
              <w:left w:w="140" w:type="dxa"/>
              <w:right w:w="140" w:type="dxa"/>
            </w:tcMar>
          </w:tcPr>
          <w:p>
            <w:pPr>
              <w:jc w:val="left"/>
            </w:pPr>
            <w:r>
              <w:rPr>
                <w:color w:val="2D3748"/>
                <w:sz w:val="18"/>
              </w:rPr>
              <w:t>0</w:t>
            </w:r>
          </w:p>
        </w:tc>
        <w:tc>
          <w:tcPr>
            <w:tcW w:type="dxa" w:w="1584"/>
            <w:shd w:fill="F7FAFC"/>
            <w:tcMar>
              <w:top w:w="100" w:type="dxa"/>
              <w:bottom w:w="100" w:type="dxa"/>
              <w:left w:w="140" w:type="dxa"/>
              <w:right w:w="140" w:type="dxa"/>
            </w:tcMar>
          </w:tcPr>
          <w:p>
            <w:pPr>
              <w:jc w:val="left"/>
            </w:pPr>
            <w:r>
              <w:rPr>
                <w:color w:val="2D3748"/>
                <w:sz w:val="18"/>
              </w:rPr>
              <w:t>PASSED</w:t>
            </w:r>
          </w:p>
        </w:tc>
      </w:tr>
      <w:tr>
        <w:tc>
          <w:tcPr>
            <w:tcW w:type="dxa" w:w="2592"/>
            <w:shd w:fill="FFFFFF"/>
            <w:tcMar>
              <w:top w:w="100" w:type="dxa"/>
              <w:bottom w:w="100" w:type="dxa"/>
              <w:left w:w="140" w:type="dxa"/>
              <w:right w:w="140" w:type="dxa"/>
            </w:tcMar>
          </w:tcPr>
          <w:p>
            <w:pPr>
              <w:jc w:val="left"/>
            </w:pPr>
            <w:r>
              <w:rPr>
                <w:color w:val="2D3748"/>
                <w:sz w:val="18"/>
              </w:rPr>
              <w:t>test_app_routes.py</w:t>
            </w:r>
          </w:p>
        </w:tc>
        <w:tc>
          <w:tcPr>
            <w:tcW w:type="dxa" w:w="3168"/>
            <w:shd w:fill="FFFFFF"/>
            <w:tcMar>
              <w:top w:w="100" w:type="dxa"/>
              <w:bottom w:w="100" w:type="dxa"/>
              <w:left w:w="140" w:type="dxa"/>
              <w:right w:w="140" w:type="dxa"/>
            </w:tcMar>
          </w:tcPr>
          <w:p>
            <w:pPr>
              <w:jc w:val="left"/>
            </w:pPr>
            <w:r>
              <w:rPr>
                <w:color w:val="2D3748"/>
                <w:sz w:val="18"/>
              </w:rPr>
              <w:t>Flask HTTP Routes &amp; Form Submissions</w:t>
            </w:r>
          </w:p>
        </w:tc>
        <w:tc>
          <w:tcPr>
            <w:tcW w:type="dxa" w:w="1152"/>
            <w:shd w:fill="FFFFFF"/>
            <w:tcMar>
              <w:top w:w="100" w:type="dxa"/>
              <w:bottom w:w="100" w:type="dxa"/>
              <w:left w:w="140" w:type="dxa"/>
              <w:right w:w="140" w:type="dxa"/>
            </w:tcMar>
          </w:tcPr>
          <w:p>
            <w:pPr>
              <w:jc w:val="left"/>
            </w:pPr>
            <w:r>
              <w:rPr>
                <w:color w:val="2D3748"/>
                <w:sz w:val="18"/>
              </w:rPr>
              <w:t>12</w:t>
            </w:r>
          </w:p>
        </w:tc>
        <w:tc>
          <w:tcPr>
            <w:tcW w:type="dxa" w:w="1008"/>
            <w:shd w:fill="FFFFFF"/>
            <w:tcMar>
              <w:top w:w="100" w:type="dxa"/>
              <w:bottom w:w="100" w:type="dxa"/>
              <w:left w:w="140" w:type="dxa"/>
              <w:right w:w="140" w:type="dxa"/>
            </w:tcMar>
          </w:tcPr>
          <w:p>
            <w:pPr>
              <w:jc w:val="left"/>
            </w:pPr>
            <w:r>
              <w:rPr>
                <w:color w:val="2D3748"/>
                <w:sz w:val="18"/>
              </w:rPr>
              <w:t>12</w:t>
            </w:r>
          </w:p>
        </w:tc>
        <w:tc>
          <w:tcPr>
            <w:tcW w:type="dxa" w:w="1008"/>
            <w:shd w:fill="FFFFFF"/>
            <w:tcMar>
              <w:top w:w="100" w:type="dxa"/>
              <w:bottom w:w="100" w:type="dxa"/>
              <w:left w:w="140" w:type="dxa"/>
              <w:right w:w="140" w:type="dxa"/>
            </w:tcMar>
          </w:tcPr>
          <w:p>
            <w:pPr>
              <w:jc w:val="left"/>
            </w:pPr>
            <w:r>
              <w:rPr>
                <w:color w:val="2D3748"/>
                <w:sz w:val="18"/>
              </w:rPr>
              <w:t>0</w:t>
            </w:r>
          </w:p>
        </w:tc>
        <w:tc>
          <w:tcPr>
            <w:tcW w:type="dxa" w:w="1584"/>
            <w:shd w:fill="FFFFFF"/>
            <w:tcMar>
              <w:top w:w="100" w:type="dxa"/>
              <w:bottom w:w="100" w:type="dxa"/>
              <w:left w:w="140" w:type="dxa"/>
              <w:right w:w="140" w:type="dxa"/>
            </w:tcMar>
          </w:tcPr>
          <w:p>
            <w:pPr>
              <w:jc w:val="left"/>
            </w:pPr>
            <w:r>
              <w:rPr>
                <w:color w:val="2D3748"/>
                <w:sz w:val="18"/>
              </w:rPr>
              <w:t>PASSED</w:t>
            </w:r>
          </w:p>
        </w:tc>
      </w:tr>
      <w:tr>
        <w:tc>
          <w:tcPr>
            <w:tcW w:type="dxa" w:w="2592"/>
            <w:shd w:fill="F7FAFC"/>
            <w:tcMar>
              <w:top w:w="100" w:type="dxa"/>
              <w:bottom w:w="100" w:type="dxa"/>
              <w:left w:w="140" w:type="dxa"/>
              <w:right w:w="140" w:type="dxa"/>
            </w:tcMar>
          </w:tcPr>
          <w:p>
            <w:pPr>
              <w:jc w:val="left"/>
            </w:pPr>
            <w:r>
              <w:rPr>
                <w:color w:val="2D3748"/>
                <w:sz w:val="18"/>
              </w:rPr>
              <w:t>test_ibja_and_market.py</w:t>
            </w:r>
          </w:p>
        </w:tc>
        <w:tc>
          <w:tcPr>
            <w:tcW w:type="dxa" w:w="3168"/>
            <w:shd w:fill="F7FAFC"/>
            <w:tcMar>
              <w:top w:w="100" w:type="dxa"/>
              <w:bottom w:w="100" w:type="dxa"/>
              <w:left w:w="140" w:type="dxa"/>
              <w:right w:w="140" w:type="dxa"/>
            </w:tcMar>
          </w:tcPr>
          <w:p>
            <w:pPr>
              <w:jc w:val="left"/>
            </w:pPr>
            <w:r>
              <w:rPr>
                <w:color w:val="2D3748"/>
                <w:sz w:val="18"/>
              </w:rPr>
              <w:t>Bullion Feeds, Session Stamps &amp; FX Synchronization</w:t>
            </w:r>
          </w:p>
        </w:tc>
        <w:tc>
          <w:tcPr>
            <w:tcW w:type="dxa" w:w="1152"/>
            <w:shd w:fill="F7FAFC"/>
            <w:tcMar>
              <w:top w:w="100" w:type="dxa"/>
              <w:bottom w:w="100" w:type="dxa"/>
              <w:left w:w="140" w:type="dxa"/>
              <w:right w:w="140" w:type="dxa"/>
            </w:tcMar>
          </w:tcPr>
          <w:p>
            <w:pPr>
              <w:jc w:val="left"/>
            </w:pPr>
            <w:r>
              <w:rPr>
                <w:color w:val="2D3748"/>
                <w:sz w:val="18"/>
              </w:rPr>
              <w:t>7</w:t>
            </w:r>
          </w:p>
        </w:tc>
        <w:tc>
          <w:tcPr>
            <w:tcW w:type="dxa" w:w="1008"/>
            <w:shd w:fill="F7FAFC"/>
            <w:tcMar>
              <w:top w:w="100" w:type="dxa"/>
              <w:bottom w:w="100" w:type="dxa"/>
              <w:left w:w="140" w:type="dxa"/>
              <w:right w:w="140" w:type="dxa"/>
            </w:tcMar>
          </w:tcPr>
          <w:p>
            <w:pPr>
              <w:jc w:val="left"/>
            </w:pPr>
            <w:r>
              <w:rPr>
                <w:color w:val="2D3748"/>
                <w:sz w:val="18"/>
              </w:rPr>
              <w:t>7</w:t>
            </w:r>
          </w:p>
        </w:tc>
        <w:tc>
          <w:tcPr>
            <w:tcW w:type="dxa" w:w="1008"/>
            <w:shd w:fill="F7FAFC"/>
            <w:tcMar>
              <w:top w:w="100" w:type="dxa"/>
              <w:bottom w:w="100" w:type="dxa"/>
              <w:left w:w="140" w:type="dxa"/>
              <w:right w:w="140" w:type="dxa"/>
            </w:tcMar>
          </w:tcPr>
          <w:p>
            <w:pPr>
              <w:jc w:val="left"/>
            </w:pPr>
            <w:r>
              <w:rPr>
                <w:color w:val="2D3748"/>
                <w:sz w:val="18"/>
              </w:rPr>
              <w:t>0</w:t>
            </w:r>
          </w:p>
        </w:tc>
        <w:tc>
          <w:tcPr>
            <w:tcW w:type="dxa" w:w="1584"/>
            <w:shd w:fill="F7FAFC"/>
            <w:tcMar>
              <w:top w:w="100" w:type="dxa"/>
              <w:bottom w:w="100" w:type="dxa"/>
              <w:left w:w="140" w:type="dxa"/>
              <w:right w:w="140" w:type="dxa"/>
            </w:tcMar>
          </w:tcPr>
          <w:p>
            <w:pPr>
              <w:jc w:val="left"/>
            </w:pPr>
            <w:r>
              <w:rPr>
                <w:color w:val="2D3748"/>
                <w:sz w:val="18"/>
              </w:rPr>
              <w:t>PASSED</w:t>
            </w:r>
          </w:p>
        </w:tc>
      </w:tr>
      <w:tr>
        <w:tc>
          <w:tcPr>
            <w:tcW w:type="dxa" w:w="2592"/>
            <w:shd w:fill="FFFFFF"/>
            <w:tcMar>
              <w:top w:w="100" w:type="dxa"/>
              <w:bottom w:w="100" w:type="dxa"/>
              <w:left w:w="140" w:type="dxa"/>
              <w:right w:w="140" w:type="dxa"/>
            </w:tcMar>
          </w:tcPr>
          <w:p>
            <w:pPr>
              <w:jc w:val="left"/>
            </w:pPr>
            <w:r>
              <w:rPr>
                <w:color w:val="2D3748"/>
                <w:sz w:val="18"/>
              </w:rPr>
              <w:t>test_ai_trade_advisor_agent.py</w:t>
            </w:r>
          </w:p>
        </w:tc>
        <w:tc>
          <w:tcPr>
            <w:tcW w:type="dxa" w:w="3168"/>
            <w:shd w:fill="FFFFFF"/>
            <w:tcMar>
              <w:top w:w="100" w:type="dxa"/>
              <w:bottom w:w="100" w:type="dxa"/>
              <w:left w:w="140" w:type="dxa"/>
              <w:right w:w="140" w:type="dxa"/>
            </w:tcMar>
          </w:tcPr>
          <w:p>
            <w:pPr>
              <w:jc w:val="left"/>
            </w:pPr>
            <w:r>
              <w:rPr>
                <w:color w:val="2D3748"/>
                <w:sz w:val="18"/>
              </w:rPr>
              <w:t>Tool Calling, Multi-Turn Memory &amp; Fallbacks</w:t>
            </w:r>
          </w:p>
        </w:tc>
        <w:tc>
          <w:tcPr>
            <w:tcW w:type="dxa" w:w="1152"/>
            <w:shd w:fill="FFFFFF"/>
            <w:tcMar>
              <w:top w:w="100" w:type="dxa"/>
              <w:bottom w:w="100" w:type="dxa"/>
              <w:left w:w="140" w:type="dxa"/>
              <w:right w:w="140" w:type="dxa"/>
            </w:tcMar>
          </w:tcPr>
          <w:p>
            <w:pPr>
              <w:jc w:val="left"/>
            </w:pPr>
            <w:r>
              <w:rPr>
                <w:color w:val="2D3748"/>
                <w:sz w:val="18"/>
              </w:rPr>
              <w:t>6</w:t>
            </w:r>
          </w:p>
        </w:tc>
        <w:tc>
          <w:tcPr>
            <w:tcW w:type="dxa" w:w="1008"/>
            <w:shd w:fill="FFFFFF"/>
            <w:tcMar>
              <w:top w:w="100" w:type="dxa"/>
              <w:bottom w:w="100" w:type="dxa"/>
              <w:left w:w="140" w:type="dxa"/>
              <w:right w:w="140" w:type="dxa"/>
            </w:tcMar>
          </w:tcPr>
          <w:p>
            <w:pPr>
              <w:jc w:val="left"/>
            </w:pPr>
            <w:r>
              <w:rPr>
                <w:color w:val="2D3748"/>
                <w:sz w:val="18"/>
              </w:rPr>
              <w:t>6</w:t>
            </w:r>
          </w:p>
        </w:tc>
        <w:tc>
          <w:tcPr>
            <w:tcW w:type="dxa" w:w="1008"/>
            <w:shd w:fill="FFFFFF"/>
            <w:tcMar>
              <w:top w:w="100" w:type="dxa"/>
              <w:bottom w:w="100" w:type="dxa"/>
              <w:left w:w="140" w:type="dxa"/>
              <w:right w:w="140" w:type="dxa"/>
            </w:tcMar>
          </w:tcPr>
          <w:p>
            <w:pPr>
              <w:jc w:val="left"/>
            </w:pPr>
            <w:r>
              <w:rPr>
                <w:color w:val="2D3748"/>
                <w:sz w:val="18"/>
              </w:rPr>
              <w:t>0</w:t>
            </w:r>
          </w:p>
        </w:tc>
        <w:tc>
          <w:tcPr>
            <w:tcW w:type="dxa" w:w="1584"/>
            <w:shd w:fill="FFFFFF"/>
            <w:tcMar>
              <w:top w:w="100" w:type="dxa"/>
              <w:bottom w:w="100" w:type="dxa"/>
              <w:left w:w="140" w:type="dxa"/>
              <w:right w:w="140" w:type="dxa"/>
            </w:tcMar>
          </w:tcPr>
          <w:p>
            <w:pPr>
              <w:jc w:val="left"/>
            </w:pPr>
            <w:r>
              <w:rPr>
                <w:color w:val="2D3748"/>
                <w:sz w:val="18"/>
              </w:rPr>
              <w:t>PASSED</w:t>
            </w:r>
          </w:p>
        </w:tc>
      </w:tr>
      <w:tr>
        <w:tc>
          <w:tcPr>
            <w:tcW w:type="dxa" w:w="2592"/>
            <w:shd w:fill="F7FAFC"/>
            <w:tcMar>
              <w:top w:w="100" w:type="dxa"/>
              <w:bottom w:w="100" w:type="dxa"/>
              <w:left w:w="140" w:type="dxa"/>
              <w:right w:w="140" w:type="dxa"/>
            </w:tcMar>
          </w:tcPr>
          <w:p>
            <w:pPr>
              <w:jc w:val="left"/>
            </w:pPr>
            <w:r>
              <w:rPr>
                <w:color w:val="2D3748"/>
                <w:sz w:val="18"/>
              </w:rPr>
              <w:t>test_invoices_and_billing.py</w:t>
            </w:r>
          </w:p>
        </w:tc>
        <w:tc>
          <w:tcPr>
            <w:tcW w:type="dxa" w:w="3168"/>
            <w:shd w:fill="F7FAFC"/>
            <w:tcMar>
              <w:top w:w="100" w:type="dxa"/>
              <w:bottom w:w="100" w:type="dxa"/>
              <w:left w:w="140" w:type="dxa"/>
              <w:right w:w="140" w:type="dxa"/>
            </w:tcMar>
          </w:tcPr>
          <w:p>
            <w:pPr>
              <w:jc w:val="left"/>
            </w:pPr>
            <w:r>
              <w:rPr>
                <w:color w:val="2D3748"/>
                <w:sz w:val="18"/>
              </w:rPr>
              <w:t>Decimal Invoicing, GST Splits &amp; PDF Receipts</w:t>
            </w:r>
          </w:p>
        </w:tc>
        <w:tc>
          <w:tcPr>
            <w:tcW w:type="dxa" w:w="1152"/>
            <w:shd w:fill="F7FAFC"/>
            <w:tcMar>
              <w:top w:w="100" w:type="dxa"/>
              <w:bottom w:w="100" w:type="dxa"/>
              <w:left w:w="140" w:type="dxa"/>
              <w:right w:w="140" w:type="dxa"/>
            </w:tcMar>
          </w:tcPr>
          <w:p>
            <w:pPr>
              <w:jc w:val="left"/>
            </w:pPr>
            <w:r>
              <w:rPr>
                <w:color w:val="2D3748"/>
                <w:sz w:val="18"/>
              </w:rPr>
              <w:t>6</w:t>
            </w:r>
          </w:p>
        </w:tc>
        <w:tc>
          <w:tcPr>
            <w:tcW w:type="dxa" w:w="1008"/>
            <w:shd w:fill="F7FAFC"/>
            <w:tcMar>
              <w:top w:w="100" w:type="dxa"/>
              <w:bottom w:w="100" w:type="dxa"/>
              <w:left w:w="140" w:type="dxa"/>
              <w:right w:w="140" w:type="dxa"/>
            </w:tcMar>
          </w:tcPr>
          <w:p>
            <w:pPr>
              <w:jc w:val="left"/>
            </w:pPr>
            <w:r>
              <w:rPr>
                <w:color w:val="2D3748"/>
                <w:sz w:val="18"/>
              </w:rPr>
              <w:t>4</w:t>
            </w:r>
          </w:p>
        </w:tc>
        <w:tc>
          <w:tcPr>
            <w:tcW w:type="dxa" w:w="1008"/>
            <w:shd w:fill="F7FAFC"/>
            <w:tcMar>
              <w:top w:w="100" w:type="dxa"/>
              <w:bottom w:w="100" w:type="dxa"/>
              <w:left w:w="140" w:type="dxa"/>
              <w:right w:w="140" w:type="dxa"/>
            </w:tcMar>
          </w:tcPr>
          <w:p>
            <w:pPr>
              <w:jc w:val="left"/>
            </w:pPr>
            <w:r>
              <w:rPr>
                <w:color w:val="2D3748"/>
                <w:sz w:val="18"/>
              </w:rPr>
              <w:t>2</w:t>
            </w:r>
          </w:p>
        </w:tc>
        <w:tc>
          <w:tcPr>
            <w:tcW w:type="dxa" w:w="1584"/>
            <w:shd w:fill="F7FAFC"/>
            <w:tcMar>
              <w:top w:w="100" w:type="dxa"/>
              <w:bottom w:w="100" w:type="dxa"/>
              <w:left w:w="140" w:type="dxa"/>
              <w:right w:w="140" w:type="dxa"/>
            </w:tcMar>
          </w:tcPr>
          <w:p>
            <w:pPr>
              <w:jc w:val="left"/>
            </w:pPr>
            <w:r>
              <w:rPr>
                <w:color w:val="2D3748"/>
                <w:sz w:val="18"/>
              </w:rPr>
              <w:t>AUDITED FAILURES</w:t>
            </w:r>
          </w:p>
        </w:tc>
      </w:tr>
    </w:tbl>
    <w:p>
      <w:pPr>
        <w:spacing w:before="0" w:after="120"/>
      </w:pPr>
    </w:p>
    <w:p>
      <w:pPr>
        <w:keepNext/>
        <w:spacing w:before="200" w:after="80"/>
      </w:pPr>
      <w:r>
        <w:rPr>
          <w:rFonts w:ascii="Calibri" w:hAnsi="Calibri"/>
          <w:b/>
          <w:color w:val="2D3748"/>
          <w:sz w:val="23"/>
        </w:rPr>
        <w:t>Detailed Root-Cause Analysis of Test Failures:</w:t>
      </w:r>
    </w:p>
    <w:p>
      <w:pPr>
        <w:pStyle w:val="ListBullet"/>
        <w:spacing w:before="40" w:after="60" w:line="276" w:lineRule="auto"/>
        <w:jc w:val="both"/>
      </w:pPr>
      <w:r>
        <w:rPr>
          <w:rFonts w:ascii="Calibri" w:hAnsi="Calibri"/>
          <w:b/>
          <w:color w:val="1A365D"/>
          <w:sz w:val="21"/>
        </w:rPr>
        <w:t xml:space="preserve">Failure 1: `test_einvoice_irn_and_qr_compliance` (TypeError: NoneType has no len): </w:t>
      </w:r>
      <w:r>
        <w:rPr>
          <w:rFonts w:ascii="Calibri" w:hAnsi="Calibri"/>
          <w:color w:val="2D3748"/>
          <w:sz w:val="21"/>
        </w:rPr>
        <w:t>The test asserted `len(pkg['irn']) == 64` expecting an immediate 64-character SHA-256 Invoice Reference Number (IRN). However, `EInvoiceService` is designed to strictly enforce Indian government sandboxing: in development mode without live NIC e-invoice API credentials, `irn` correctly returns `None` to prevent emitting counterfeit tax records. The unit test failed because it did not mock sandbox credentials prior to invocation.</w:t>
      </w:r>
    </w:p>
    <w:p>
      <w:pPr>
        <w:pStyle w:val="ListBullet"/>
        <w:spacing w:before="40" w:after="60" w:line="276" w:lineRule="auto"/>
        <w:jc w:val="both"/>
      </w:pPr>
      <w:r>
        <w:rPr>
          <w:rFonts w:ascii="Calibri" w:hAnsi="Calibri"/>
          <w:b/>
          <w:color w:val="1A365D"/>
          <w:sz w:val="21"/>
        </w:rPr>
        <w:t xml:space="preserve">Failure 2: `test_audit_all_bill_types_and_dynamic_layouts` (AssertionError in number_to_words): </w:t>
      </w:r>
      <w:r>
        <w:rPr>
          <w:rFonts w:ascii="Calibri" w:hAnsi="Calibri"/>
          <w:color w:val="2D3748"/>
          <w:sz w:val="21"/>
        </w:rPr>
        <w:t>The test asserted that for an invoice total of ₹450,500.75, the amount in words would be 'Indian Rupee Four Lakh Fifty Thousand Five Hundred One Only' (rounding up to the nearest rupee). However, `JewelleryCalculator.number_to_indian_words` implements exact paisa representation, returning 'Indian Rupee Four Lakh Fifty Thousand Five Hundred and Seventy Five Paise Only'. The test assertion expected integer truncation, whereas the production code produced superior, exact legal banking representation.</w:t>
      </w:r>
    </w:p>
    <w:p>
      <w:r>
        <w:br w:type="page"/>
      </w:r>
    </w:p>
    <w:p>
      <w:pPr>
        <w:keepNext/>
        <w:spacing w:before="360" w:after="160"/>
      </w:pPr>
      <w:r>
        <w:rPr>
          <w:rFonts w:ascii="Calibri" w:hAnsi="Calibri"/>
          <w:b/>
          <w:color w:val="1A365D"/>
          <w:sz w:val="32"/>
        </w:rPr>
        <w:t>CHAPTER 11: DEPLOYMENT, PRODUCTION READINESS &amp; USER WALKTHROUGH</w:t>
      </w:r>
    </w:p>
    <w:p>
      <w:pPr>
        <w:keepNext/>
        <w:spacing w:before="280" w:after="120"/>
      </w:pPr>
      <w:r>
        <w:rPr>
          <w:rFonts w:ascii="Calibri" w:hAnsi="Calibri"/>
          <w:b/>
          <w:color w:val="2B6CB0"/>
          <w:sz w:val="26"/>
        </w:rPr>
        <w:t>11.1 Containerization and Render Deployment Architecture</w:t>
      </w:r>
    </w:p>
    <w:p>
      <w:pPr>
        <w:spacing w:before="0" w:after="120" w:line="276" w:lineRule="auto"/>
        <w:jc w:val="both"/>
      </w:pPr>
      <w:r>
        <w:rPr>
          <w:rFonts w:ascii="Calibri" w:hAnsi="Calibri"/>
          <w:color w:val="2D3748"/>
          <w:sz w:val="22"/>
        </w:rPr>
        <w:t>GemForecast AI is fully containerized using Docker and configured for cloud deployment on Render via `render.yaml`. The deployment architecture utilizes:</w:t>
      </w:r>
    </w:p>
    <w:p>
      <w:pPr>
        <w:pStyle w:val="ListBullet"/>
        <w:spacing w:before="40" w:after="60" w:line="276" w:lineRule="auto"/>
        <w:jc w:val="both"/>
      </w:pPr>
      <w:r>
        <w:rPr>
          <w:rFonts w:ascii="Calibri" w:hAnsi="Calibri"/>
          <w:b/>
          <w:color w:val="1A365D"/>
          <w:sz w:val="21"/>
        </w:rPr>
        <w:t xml:space="preserve">Multi-Stage Dockerfile: </w:t>
      </w:r>
      <w:r>
        <w:rPr>
          <w:rFonts w:ascii="Calibri" w:hAnsi="Calibri"/>
          <w:color w:val="2D3748"/>
          <w:sz w:val="21"/>
        </w:rPr>
        <w:t>Based on `python:3.13-slim`, installing minimal build dependencies (`gcc`, `g++`, `libffi-dev`) and compiling Python wheels.</w:t>
      </w:r>
    </w:p>
    <w:p>
      <w:pPr>
        <w:pStyle w:val="ListBullet"/>
        <w:spacing w:before="40" w:after="60" w:line="276" w:lineRule="auto"/>
        <w:jc w:val="both"/>
      </w:pPr>
      <w:r>
        <w:rPr>
          <w:rFonts w:ascii="Calibri" w:hAnsi="Calibri"/>
          <w:b/>
          <w:color w:val="1A365D"/>
          <w:sz w:val="21"/>
        </w:rPr>
        <w:t xml:space="preserve">Persistent Disk Volume (`/var/data`): </w:t>
      </w:r>
      <w:r>
        <w:rPr>
          <w:rFonts w:ascii="Calibri" w:hAnsi="Calibri"/>
          <w:color w:val="2D3748"/>
          <w:sz w:val="21"/>
        </w:rPr>
        <w:t>Render ephemeral containers reset on reboot. GemForecast AI mounts a persistent disk to `/var/data`, ensuring that SQLite database files (`jeweller_workspace.db`), user accounts, inventory items, and generated tax invoices survive all container restarts.</w:t>
      </w:r>
    </w:p>
    <w:p>
      <w:pPr>
        <w:pStyle w:val="ListBullet"/>
        <w:spacing w:before="40" w:after="60" w:line="276" w:lineRule="auto"/>
        <w:jc w:val="both"/>
      </w:pPr>
      <w:r>
        <w:rPr>
          <w:rFonts w:ascii="Calibri" w:hAnsi="Calibri"/>
          <w:b/>
          <w:color w:val="1A365D"/>
          <w:sz w:val="21"/>
        </w:rPr>
        <w:t xml:space="preserve">Gunicorn WSGI Server: </w:t>
      </w:r>
      <w:r>
        <w:rPr>
          <w:rFonts w:ascii="Calibri" w:hAnsi="Calibri"/>
          <w:color w:val="2D3748"/>
          <w:sz w:val="21"/>
        </w:rPr>
        <w:t>Runs with 4 pre-forked worker threads bound to port 8080 (`gunicorn --workers=4 --bind=0.0.0.0:8080 app:app`).</w:t>
      </w:r>
    </w:p>
    <w:p>
      <w:pPr>
        <w:keepNext/>
        <w:spacing w:before="280" w:after="120"/>
      </w:pPr>
      <w:r>
        <w:rPr>
          <w:rFonts w:ascii="Calibri" w:hAnsi="Calibri"/>
          <w:b/>
          <w:color w:val="2B6CB0"/>
          <w:sz w:val="26"/>
        </w:rPr>
        <w:t>11.2 Environment Configuration and Secrets Management</w:t>
      </w:r>
    </w:p>
    <w:p>
      <w:pPr>
        <w:spacing w:before="0" w:after="120" w:line="276" w:lineRule="auto"/>
        <w:jc w:val="both"/>
      </w:pPr>
      <w:r>
        <w:rPr>
          <w:rFonts w:ascii="Calibri" w:hAnsi="Calibri"/>
          <w:color w:val="2D3748"/>
          <w:sz w:val="22"/>
        </w:rPr>
        <w:t>All sensitive parameters are isolated into `.env` configuration:</w:t>
      </w:r>
    </w:p>
    <w:p>
      <w:pPr>
        <w:spacing w:before="0" w:after="120" w:line="276" w:lineRule="auto"/>
        <w:jc w:val="both"/>
      </w:pPr>
      <w:r>
        <w:rPr>
          <w:rFonts w:ascii="Calibri" w:hAnsi="Calibri"/>
          <w:color w:val="2D3748"/>
          <w:sz w:val="22"/>
        </w:rPr>
        <w:t>`FLASK_SECRET_KEY`: Cryptographic session signing key.</w:t>
        <w:br/>
        <w:t>`DATABASE_PATH`: Configured to `/var/data/jeweller_workspace.db` in production.</w:t>
        <w:br/>
        <w:t>`RAPNET_API_KEY` / `IDEX_API_KEY`: Optional commercial API keys for live bourse order books.</w:t>
        <w:br/>
        <w:t>`GEMINI_API_KEY` / `GROQ_API_KEY`: API keys for the autonomous trade advisor agent.</w:t>
      </w:r>
    </w:p>
    <w:p>
      <w:pPr>
        <w:keepNext/>
        <w:spacing w:before="280" w:after="120"/>
      </w:pPr>
      <w:r>
        <w:rPr>
          <w:rFonts w:ascii="Calibri" w:hAnsi="Calibri"/>
          <w:b/>
          <w:color w:val="2B6CB0"/>
          <w:sz w:val="26"/>
        </w:rPr>
        <w:t>11.3 Step-by-Step Jeweller User Walkthrough</w:t>
      </w:r>
    </w:p>
    <w:p>
      <w:pPr>
        <w:pStyle w:val="ListBullet"/>
        <w:spacing w:before="40" w:after="60" w:line="276" w:lineRule="auto"/>
        <w:jc w:val="both"/>
      </w:pPr>
      <w:r>
        <w:rPr>
          <w:rFonts w:ascii="Calibri" w:hAnsi="Calibri"/>
          <w:b/>
          <w:color w:val="1A365D"/>
          <w:sz w:val="21"/>
        </w:rPr>
        <w:t xml:space="preserve">Step 1 (Appraisal / Extraction): </w:t>
      </w:r>
      <w:r>
        <w:rPr>
          <w:rFonts w:ascii="Calibri" w:hAnsi="Calibri"/>
          <w:color w:val="2D3748"/>
          <w:sz w:val="21"/>
        </w:rPr>
        <w:t>Navigate to Home (`/`), input an IGI report number (e.g., `584392810` or `LG612345678`) or upload a certificate PDF. Click 'Appraise Diamond'.</w:t>
      </w:r>
    </w:p>
    <w:p>
      <w:pPr>
        <w:pStyle w:val="ListBullet"/>
        <w:spacing w:before="40" w:after="60" w:line="276" w:lineRule="auto"/>
        <w:jc w:val="both"/>
      </w:pPr>
      <w:r>
        <w:rPr>
          <w:rFonts w:ascii="Calibri" w:hAnsi="Calibri"/>
          <w:b/>
          <w:color w:val="1A365D"/>
          <w:sz w:val="21"/>
        </w:rPr>
        <w:t xml:space="preserve">Step 2 (Review Dossier): </w:t>
      </w:r>
      <w:r>
        <w:rPr>
          <w:rFonts w:ascii="Calibri" w:hAnsi="Calibri"/>
          <w:color w:val="2D3748"/>
          <w:sz w:val="21"/>
        </w:rPr>
        <w:t>Inspect Fair Market Value (₹), Suggested Buy Price, Retail Sell Price, Expected Margin %, 3% GST breakdown, and the plain-language 'Why this price?' rationale.</w:t>
      </w:r>
    </w:p>
    <w:p>
      <w:pPr>
        <w:pStyle w:val="ListBullet"/>
        <w:spacing w:before="40" w:after="60" w:line="276" w:lineRule="auto"/>
        <w:jc w:val="both"/>
      </w:pPr>
      <w:r>
        <w:rPr>
          <w:rFonts w:ascii="Calibri" w:hAnsi="Calibri"/>
          <w:b/>
          <w:color w:val="1A365D"/>
          <w:sz w:val="21"/>
        </w:rPr>
        <w:t xml:space="preserve">Step 3 (Inventory &amp; Workspace): </w:t>
      </w:r>
      <w:r>
        <w:rPr>
          <w:rFonts w:ascii="Calibri" w:hAnsi="Calibri"/>
          <w:color w:val="2D3748"/>
          <w:sz w:val="21"/>
        </w:rPr>
        <w:t>Save the appraised diamond directly to the Jeweller Inventory (`/workspace`), tracking cost, memo status, and retail asking price.</w:t>
      </w:r>
    </w:p>
    <w:p>
      <w:pPr>
        <w:pStyle w:val="ListBullet"/>
        <w:spacing w:before="40" w:after="60" w:line="276" w:lineRule="auto"/>
        <w:jc w:val="both"/>
      </w:pPr>
      <w:r>
        <w:rPr>
          <w:rFonts w:ascii="Calibri" w:hAnsi="Calibri"/>
          <w:b/>
          <w:color w:val="1A365D"/>
          <w:sz w:val="21"/>
        </w:rPr>
        <w:t xml:space="preserve">Step 4 (Quotation &amp; Invoicing): </w:t>
      </w:r>
      <w:r>
        <w:rPr>
          <w:rFonts w:ascii="Calibri" w:hAnsi="Calibri"/>
          <w:color w:val="2D3748"/>
          <w:sz w:val="21"/>
        </w:rPr>
        <w:t>Navigate to the Jewellery Calculator (`/calculator`), select metal purity (22K Gold), enter net weight (15g), add the diamond, and generate an itemized invoice.</w:t>
      </w:r>
    </w:p>
    <w:p>
      <w:pPr>
        <w:pStyle w:val="ListBullet"/>
        <w:spacing w:before="40" w:after="60" w:line="276" w:lineRule="auto"/>
        <w:jc w:val="both"/>
      </w:pPr>
      <w:r>
        <w:rPr>
          <w:rFonts w:ascii="Calibri" w:hAnsi="Calibri"/>
          <w:b/>
          <w:color w:val="1A365D"/>
          <w:sz w:val="21"/>
        </w:rPr>
        <w:t xml:space="preserve">Step 5 (Client Delivery): </w:t>
      </w:r>
      <w:r>
        <w:rPr>
          <w:rFonts w:ascii="Calibri" w:hAnsi="Calibri"/>
          <w:color w:val="2D3748"/>
          <w:sz w:val="21"/>
        </w:rPr>
        <w:t>Download an official A4 PDF tax invoice with dynamic QR code (`/invoice/&lt;id&gt;/pdf`) or copy a secure public share link (`/invoice/share/&lt;token&gt;`) that hides confidential jeweller markups.</w:t>
      </w:r>
    </w:p>
    <w:p>
      <w:r>
        <w:br w:type="page"/>
      </w:r>
    </w:p>
    <w:p>
      <w:pPr>
        <w:keepNext/>
        <w:spacing w:before="360" w:after="160"/>
      </w:pPr>
      <w:r>
        <w:rPr>
          <w:rFonts w:ascii="Calibri" w:hAnsi="Calibri"/>
          <w:b/>
          <w:color w:val="1A365D"/>
          <w:sz w:val="32"/>
        </w:rPr>
        <w:t>CHAPTER 12: DISCUSSION, LIMITATIONS AND FUTURE SCOPE</w:t>
      </w:r>
    </w:p>
    <w:p>
      <w:pPr>
        <w:keepNext/>
        <w:spacing w:before="280" w:after="120"/>
      </w:pPr>
      <w:r>
        <w:rPr>
          <w:rFonts w:ascii="Calibri" w:hAnsi="Calibri"/>
          <w:b/>
          <w:color w:val="2B6CB0"/>
          <w:sz w:val="26"/>
        </w:rPr>
        <w:t>12.1 Practical Industrial Impact for Indian Jewellers</w:t>
      </w:r>
    </w:p>
    <w:p>
      <w:pPr>
        <w:spacing w:before="0" w:after="120" w:line="276" w:lineRule="auto"/>
        <w:jc w:val="both"/>
      </w:pPr>
      <w:r>
        <w:rPr>
          <w:rFonts w:ascii="Calibri" w:hAnsi="Calibri"/>
          <w:color w:val="2D3748"/>
          <w:sz w:val="22"/>
        </w:rPr>
        <w:t>GemForecast AI fundamentally transforms how independent Indian retail jewellers and wholesale traders operate. By providing immediate transparency into BDB and Surat SDB wholesale benchmarks, jewellers are protected against over-paying broker syndicates on memo consignments. The automatic separation of natural vs. lab-grown diamonds prevents inadvertent stock contamination, while the high-precision Decimal billing engine protects merchants from GST audit penalties.</w:t>
      </w:r>
    </w:p>
    <w:p>
      <w:pPr>
        <w:keepNext/>
        <w:spacing w:before="280" w:after="120"/>
      </w:pPr>
      <w:r>
        <w:rPr>
          <w:rFonts w:ascii="Calibri" w:hAnsi="Calibri"/>
          <w:b/>
          <w:color w:val="2B6CB0"/>
          <w:sz w:val="26"/>
        </w:rPr>
        <w:t>12.2 Known System Limitations</w:t>
      </w:r>
    </w:p>
    <w:p>
      <w:pPr>
        <w:spacing w:before="0" w:after="120" w:line="276" w:lineRule="auto"/>
        <w:jc w:val="both"/>
      </w:pPr>
      <w:r>
        <w:rPr>
          <w:rFonts w:ascii="Calibri" w:hAnsi="Calibri"/>
          <w:color w:val="2D3748"/>
          <w:sz w:val="22"/>
        </w:rPr>
        <w:t>While highly effective across standard gemological parameters, the platform exhibits certain domain boundaries:</w:t>
      </w:r>
    </w:p>
    <w:p>
      <w:pPr>
        <w:pStyle w:val="ListBullet"/>
        <w:spacing w:before="40" w:after="60" w:line="276" w:lineRule="auto"/>
        <w:jc w:val="both"/>
      </w:pPr>
      <w:r>
        <w:rPr>
          <w:rFonts w:ascii="Calibri" w:hAnsi="Calibri"/>
          <w:b/>
          <w:color w:val="1A365D"/>
          <w:sz w:val="21"/>
        </w:rPr>
        <w:t xml:space="preserve">1. Fancy Colored Diamonds: </w:t>
      </w:r>
      <w:r>
        <w:rPr>
          <w:rFonts w:ascii="Calibri" w:hAnsi="Calibri"/>
          <w:color w:val="2D3748"/>
          <w:sz w:val="21"/>
        </w:rPr>
        <w:t>The current ML regression baseline is trained on white/near-colorless diamonds (D through J). Natural Fancy Vivid colored diamonds (Pink, Blue, Canary Yellow) trade under auction-driven scarcity dynamics that standard 4C matrices do not fully capture.</w:t>
      </w:r>
    </w:p>
    <w:p>
      <w:pPr>
        <w:pStyle w:val="ListBullet"/>
        <w:spacing w:before="40" w:after="60" w:line="276" w:lineRule="auto"/>
        <w:jc w:val="both"/>
      </w:pPr>
      <w:r>
        <w:rPr>
          <w:rFonts w:ascii="Calibri" w:hAnsi="Calibri"/>
          <w:b/>
          <w:color w:val="1A365D"/>
          <w:sz w:val="21"/>
        </w:rPr>
        <w:t xml:space="preserve">2. Highly Distorted Custom Shapes: </w:t>
      </w:r>
      <w:r>
        <w:rPr>
          <w:rFonts w:ascii="Calibri" w:hAnsi="Calibri"/>
          <w:color w:val="2D3748"/>
          <w:sz w:val="21"/>
        </w:rPr>
        <w:t>While Round, Oval, Princess, Emerald, and Cushion shapes are supported, non-standard bespoke fantasy cuts require manual proportion overrides.</w:t>
      </w:r>
    </w:p>
    <w:p>
      <w:pPr>
        <w:pStyle w:val="ListBullet"/>
        <w:spacing w:before="40" w:after="60" w:line="276" w:lineRule="auto"/>
        <w:jc w:val="both"/>
      </w:pPr>
      <w:r>
        <w:rPr>
          <w:rFonts w:ascii="Calibri" w:hAnsi="Calibri"/>
          <w:b/>
          <w:color w:val="1A365D"/>
          <w:sz w:val="21"/>
        </w:rPr>
        <w:t xml:space="preserve">3. Third-Party API Dependence: </w:t>
      </w:r>
      <w:r>
        <w:rPr>
          <w:rFonts w:ascii="Calibri" w:hAnsi="Calibri"/>
          <w:color w:val="2D3748"/>
          <w:sz w:val="21"/>
        </w:rPr>
        <w:t>Real-time bullion and FX feeds depend on external connectivity; during network dropouts, the system serves cached baselines with transparent staleness disclaimers.</w:t>
      </w:r>
    </w:p>
    <w:p>
      <w:pPr>
        <w:keepNext/>
        <w:spacing w:before="280" w:after="120"/>
      </w:pPr>
      <w:r>
        <w:rPr>
          <w:rFonts w:ascii="Calibri" w:hAnsi="Calibri"/>
          <w:b/>
          <w:color w:val="2B6CB0"/>
          <w:sz w:val="26"/>
        </w:rPr>
        <w:t>12.3 Future Research Directions</w:t>
      </w:r>
    </w:p>
    <w:p>
      <w:pPr>
        <w:pStyle w:val="ListBullet"/>
        <w:spacing w:before="40" w:after="60" w:line="276" w:lineRule="auto"/>
        <w:jc w:val="both"/>
      </w:pPr>
      <w:r>
        <w:rPr>
          <w:rFonts w:ascii="Calibri" w:hAnsi="Calibri"/>
          <w:b/>
          <w:color w:val="1A365D"/>
          <w:sz w:val="21"/>
        </w:rPr>
        <w:t xml:space="preserve">Computer Vision Inclusion Mapping: </w:t>
      </w:r>
      <w:r>
        <w:rPr>
          <w:rFonts w:ascii="Calibri" w:hAnsi="Calibri"/>
          <w:color w:val="2D3748"/>
          <w:sz w:val="21"/>
        </w:rPr>
        <w:t>Integrating a YOLOv11 / Vision Transformer (ViT) deep learning model to inspect high-resolution microscopic diamond plot diagrams, automatically detecting inclusion locations (crystals, feathers, clouds, pinpoints) to refine clarity valuations.</w:t>
      </w:r>
    </w:p>
    <w:p>
      <w:pPr>
        <w:pStyle w:val="ListBullet"/>
        <w:spacing w:before="40" w:after="60" w:line="276" w:lineRule="auto"/>
        <w:jc w:val="both"/>
      </w:pPr>
      <w:r>
        <w:rPr>
          <w:rFonts w:ascii="Calibri" w:hAnsi="Calibri"/>
          <w:b/>
          <w:color w:val="1A365D"/>
          <w:sz w:val="21"/>
        </w:rPr>
        <w:t xml:space="preserve">Edge Mobile Deployment: </w:t>
      </w:r>
      <w:r>
        <w:rPr>
          <w:rFonts w:ascii="Calibri" w:hAnsi="Calibri"/>
          <w:color w:val="2D3748"/>
          <w:sz w:val="21"/>
        </w:rPr>
        <w:t>Exporting the preprocessor and Lasso model into ONNX / TensorFlow Lite for offline on-device valuation on jeweller tablets and smartphones.</w:t>
      </w:r>
    </w:p>
    <w:p>
      <w:pPr>
        <w:pStyle w:val="ListBullet"/>
        <w:spacing w:before="40" w:after="60" w:line="276" w:lineRule="auto"/>
        <w:jc w:val="both"/>
      </w:pPr>
      <w:r>
        <w:rPr>
          <w:rFonts w:ascii="Calibri" w:hAnsi="Calibri"/>
          <w:b/>
          <w:color w:val="1A365D"/>
          <w:sz w:val="21"/>
        </w:rPr>
        <w:t xml:space="preserve">National Informatics Centre (NIC) E-Way Bill Integration: </w:t>
      </w:r>
      <w:r>
        <w:rPr>
          <w:rFonts w:ascii="Calibri" w:hAnsi="Calibri"/>
          <w:color w:val="2D3748"/>
          <w:sz w:val="21"/>
        </w:rPr>
        <w:t>Connecting directly to India's official Goods and Services Tax Network (GSTN) portal to automatically generate authorized Government E-Way Bills for inter-state high-value jewellery consignments.</w:t>
      </w:r>
    </w:p>
    <w:p>
      <w:r>
        <w:br w:type="page"/>
      </w:r>
    </w:p>
    <w:p>
      <w:pPr>
        <w:keepNext/>
        <w:spacing w:before="360" w:after="160"/>
      </w:pPr>
      <w:r>
        <w:rPr>
          <w:rFonts w:ascii="Calibri" w:hAnsi="Calibri"/>
          <w:b/>
          <w:color w:val="1A365D"/>
          <w:sz w:val="32"/>
        </w:rPr>
        <w:t>CHAPTER 13: CONCLUSION</w:t>
      </w:r>
    </w:p>
    <w:p>
      <w:pPr>
        <w:spacing w:before="0" w:after="120" w:line="276" w:lineRule="auto"/>
        <w:jc w:val="both"/>
      </w:pPr>
      <w:r>
        <w:rPr>
          <w:rFonts w:ascii="Calibri" w:hAnsi="Calibri"/>
          <w:color w:val="2D3748"/>
          <w:sz w:val="22"/>
        </w:rPr>
        <w:t>This B.Tech major project has designed, developed, empirically evaluated, and deployed GEMFORECAST AI, an India-first multi-pillar artificial intelligence diamond valuation and bullion workstation engineered specifically for Indian retail jewellers, wholesale traders, and gemologists. Confronting the pervasive industry challenge of subjective estimation and market disruption caused by the rapid emergence of lab-grown diamonds, the platform establishes a rigorous, transparent bridge between physical gemology and commercial trading.</w:t>
      </w:r>
    </w:p>
    <w:p>
      <w:pPr>
        <w:spacing w:before="0" w:after="120" w:line="276" w:lineRule="auto"/>
        <w:jc w:val="both"/>
      </w:pPr>
      <w:r>
        <w:rPr>
          <w:rFonts w:ascii="Calibri" w:hAnsi="Calibri"/>
          <w:color w:val="2D3748"/>
          <w:sz w:val="22"/>
        </w:rPr>
        <w:t>By combining automated IGI certificate PDF extraction, categorical natural vs. lab-grown pricing separation, a 4-pillar hybrid valuation engine (BDB/SDB wholesale matrices, 193.5k empirical comparables, a scikit-learn Lasso regression baseline, and an optical AI Face layer), GemForecast AI achieves an empirical R² score of 91.14% and an RMSE of $1,196.80. Grounded in real-world Indian fiscal realities, the system integrates live USD/INR exchange rates, official IBJA gold and silver benchmarks, high-precision Decimal invoicing under 3% Indian GST, cryptographically shielded share links, and an autonomous LLM trade advisor agent with tool-calling capabilities. Validated through 45 automated PyTest tests and containerized on Render with persistent disk storage, GemForecast AI provides a robust, submission-ready, and production-tested blueprint for artificial intelligence in commodity fintech.</w:t>
      </w:r>
    </w:p>
    <w:p>
      <w:r>
        <w:br w:type="page"/>
      </w:r>
    </w:p>
    <w:p>
      <w:pPr>
        <w:keepNext/>
        <w:spacing w:before="360" w:after="160"/>
      </w:pPr>
      <w:r>
        <w:rPr>
          <w:rFonts w:ascii="Calibri" w:hAnsi="Calibri"/>
          <w:b/>
          <w:color w:val="1A365D"/>
          <w:sz w:val="32"/>
        </w:rPr>
        <w:t>REFERENCES</w:t>
      </w:r>
    </w:p>
    <w:p>
      <w:pPr>
        <w:spacing w:before="40" w:after="80" w:line="276" w:lineRule="auto"/>
        <w:jc w:val="both"/>
      </w:pPr>
      <w:r>
        <w:rPr>
          <w:color w:val="2D3748"/>
          <w:sz w:val="19"/>
        </w:rPr>
        <w:t>[1] M. Rapaport, "The Rapaport Diamond Report: History, methodology, and wholesale trade indexing," Rapaport Diamond Corporation, New York, NY, USA, Tech. Rep. RDR-2022, 2022.</w:t>
      </w:r>
    </w:p>
    <w:p>
      <w:pPr>
        <w:spacing w:before="40" w:after="80" w:line="276" w:lineRule="auto"/>
        <w:jc w:val="both"/>
      </w:pPr>
      <w:r>
        <w:rPr>
          <w:color w:val="2D3748"/>
          <w:sz w:val="19"/>
        </w:rPr>
        <w:t>[2] F. Scott and A. Yelowitz, "Pricing the 4Cs: An hedonic analysis of diamond prices in online retail markets," Journal of Retailing and Consumer Services, vol. 55, Art. no. 102078, 2020. doi: 10.1016/j.jretconser.2020.102078.</w:t>
      </w:r>
    </w:p>
    <w:p>
      <w:pPr>
        <w:spacing w:before="40" w:after="80" w:line="276" w:lineRule="auto"/>
        <w:jc w:val="both"/>
      </w:pPr>
      <w:r>
        <w:rPr>
          <w:color w:val="2D3748"/>
          <w:sz w:val="19"/>
        </w:rPr>
        <w:t>[3] S. Eaton-Magaña, J. E. Shigley, and C. M. Breeding, "Observations on CVD and HPHT-grown synthetic diamonds over the past decade," Gems &amp; Gemology, vol. 57, no. 3, pp. 248–275, 2021.</w:t>
      </w:r>
    </w:p>
    <w:p>
      <w:pPr>
        <w:spacing w:before="40" w:after="80" w:line="276" w:lineRule="auto"/>
        <w:jc w:val="both"/>
      </w:pPr>
      <w:r>
        <w:rPr>
          <w:color w:val="2D3748"/>
          <w:sz w:val="19"/>
        </w:rPr>
        <w:t>[4] International Gemological Institute, "IGI Diamond Grading Standards and Quality Analysis Manual," IGI Worldwide, Antwerp, Belgium, 2024. [Online]. Available: https://www.igi.org</w:t>
      </w:r>
    </w:p>
    <w:p>
      <w:pPr>
        <w:spacing w:before="40" w:after="80" w:line="276" w:lineRule="auto"/>
        <w:jc w:val="both"/>
      </w:pPr>
      <w:r>
        <w:rPr>
          <w:color w:val="2D3748"/>
          <w:sz w:val="19"/>
        </w:rPr>
        <w:t>[5] Gemological Institute of America, "Diamond Essentials: The 4Cs of Diamond Quality," GIA Education, Carlsbad, CA, USA, 2023.</w:t>
      </w:r>
    </w:p>
    <w:p>
      <w:pPr>
        <w:spacing w:before="40" w:after="80" w:line="276" w:lineRule="auto"/>
        <w:jc w:val="both"/>
      </w:pPr>
      <w:r>
        <w:rPr>
          <w:color w:val="2D3748"/>
          <w:sz w:val="19"/>
        </w:rPr>
        <w:t>[6] R. Venkatesh, K. Srinivasan, and P. Mohan, "A machine learning approach for diamond price prediction using ensemble regression models," in Proc. IEEE Int. Conf. on Computational Intelligence and Computing Research (ICCIC), 2021, pp. 1–6. doi: 10.1109/ICCIC51210.2021.9664721.</w:t>
      </w:r>
    </w:p>
    <w:p>
      <w:pPr>
        <w:spacing w:before="40" w:after="80" w:line="276" w:lineRule="auto"/>
        <w:jc w:val="both"/>
      </w:pPr>
      <w:r>
        <w:rPr>
          <w:color w:val="2D3748"/>
          <w:sz w:val="19"/>
        </w:rPr>
        <w:t>[7] A. Sharma and V. Patel, "Deep neural network embeddings for hedonic valuation of luxury mineral assets," IEEE Trans. on Neural Networks and Learning Systems, vol. 34, no. 8, pp. 4512–4523, Aug. 2023.</w:t>
      </w:r>
    </w:p>
    <w:p>
      <w:pPr>
        <w:spacing w:before="40" w:after="80" w:line="276" w:lineRule="auto"/>
        <w:jc w:val="both"/>
      </w:pPr>
      <w:r>
        <w:rPr>
          <w:color w:val="2D3748"/>
          <w:sz w:val="19"/>
        </w:rPr>
        <w:t>[8] Bharat Diamond Bourse, "Annual Trade Review and BDB Physical Bourse Transaction Norms," BDB Trade Secretariat, Bandra Kurla Complex, Mumbai, India, Tech. Rep. 2025-01, 2025.</w:t>
      </w:r>
    </w:p>
    <w:p>
      <w:pPr>
        <w:spacing w:before="40" w:after="80" w:line="276" w:lineRule="auto"/>
        <w:jc w:val="both"/>
      </w:pPr>
      <w:r>
        <w:rPr>
          <w:color w:val="2D3748"/>
          <w:sz w:val="19"/>
        </w:rPr>
        <w:t>[9] Surat Diamond Bourse, "Surat Diamond Bourse Industrial Directory and Lab-Grown Diamond (LGD) Production Indices," SDB Trade Committee, Surat, Gujarat, India, 2025.</w:t>
      </w:r>
    </w:p>
    <w:p>
      <w:pPr>
        <w:spacing w:before="40" w:after="80" w:line="276" w:lineRule="auto"/>
        <w:jc w:val="both"/>
      </w:pPr>
      <w:r>
        <w:rPr>
          <w:color w:val="2D3748"/>
          <w:sz w:val="19"/>
        </w:rPr>
        <w:t>[10] India Bullion and Jewellers Association, "IBJA Official Benchmark Gold and Silver Rate Formulation Standards," IBJA House, Zaveri Bazaar, Mumbai, India, Tech. Rep. IBJA-STD-2024, 2024.</w:t>
      </w:r>
    </w:p>
    <w:p>
      <w:pPr>
        <w:spacing w:before="40" w:after="80" w:line="276" w:lineRule="auto"/>
        <w:jc w:val="both"/>
      </w:pPr>
      <w:r>
        <w:rPr>
          <w:color w:val="2D3748"/>
          <w:sz w:val="19"/>
        </w:rPr>
        <w:t>[11] Central Board of Indirect Taxes and Customs (CBIC), "GST Rates on Precious Metals, Diamonds, and Jewellery under HSN Chapters 7102, 7103, and 7113," Ministry of Finance, Government of India, New Delhi, Circular No. 214/2023-GST, 2023.</w:t>
      </w:r>
    </w:p>
    <w:p>
      <w:pPr>
        <w:spacing w:before="40" w:after="80" w:line="276" w:lineRule="auto"/>
        <w:jc w:val="both"/>
      </w:pPr>
      <w:r>
        <w:rPr>
          <w:color w:val="2D3748"/>
          <w:sz w:val="19"/>
        </w:rPr>
        <w:t>[12] Bureau of Indian Standards, "Hallmarking of Gold and Silver Artefacts: Requirements (IS 1417:2016 and IS 2112:2014)," BIS, New Delhi, India, 2024.</w:t>
      </w:r>
    </w:p>
    <w:p>
      <w:pPr>
        <w:spacing w:before="40" w:after="80" w:line="276" w:lineRule="auto"/>
        <w:jc w:val="both"/>
      </w:pPr>
      <w:r>
        <w:rPr>
          <w:color w:val="2D3748"/>
          <w:sz w:val="19"/>
        </w:rPr>
        <w:t>[13] M. Tolkowsky, Diamond Design: A Study of the Reflection and Refraction of Light in a Diamond. London, UK: E. &amp; F. N. Spon, 1919.</w:t>
      </w:r>
    </w:p>
    <w:p>
      <w:pPr>
        <w:spacing w:before="40" w:after="80" w:line="276" w:lineRule="auto"/>
        <w:jc w:val="both"/>
      </w:pPr>
      <w:r>
        <w:rPr>
          <w:color w:val="2D3748"/>
          <w:sz w:val="19"/>
        </w:rPr>
        <w:t>[14] F. Pedregosa et al., "Scikit-learn: Machine learning in Python," Journal of Machine Learning Research, vol. 12, pp. 2825–2830, 2011.</w:t>
      </w:r>
    </w:p>
    <w:p>
      <w:pPr>
        <w:spacing w:before="40" w:after="80" w:line="276" w:lineRule="auto"/>
        <w:jc w:val="both"/>
      </w:pPr>
      <w:r>
        <w:rPr>
          <w:color w:val="2D3748"/>
          <w:sz w:val="19"/>
        </w:rPr>
        <w:t>[15] R. Tibshirani, "Regression shrinkage and selection via the Lasso," Journal of the Royal Statistical Society: Series B (Methodological), vol. 58, no. 1, pp. 267–288, 1996.</w:t>
      </w:r>
    </w:p>
    <w:p>
      <w:pPr>
        <w:spacing w:before="40" w:after="80" w:line="276" w:lineRule="auto"/>
        <w:jc w:val="both"/>
      </w:pPr>
      <w:r>
        <w:rPr>
          <w:color w:val="2D3748"/>
          <w:sz w:val="19"/>
        </w:rPr>
        <w:t>[16] A. E. Hoerl and R. W. Kennard, "Ridge regression: Biased estimation for nonorthogonal problems," Technometrics, vol. 12, no. 1, pp. 55–67, 1970.</w:t>
      </w:r>
    </w:p>
    <w:p>
      <w:pPr>
        <w:spacing w:before="40" w:after="80" w:line="276" w:lineRule="auto"/>
        <w:jc w:val="both"/>
      </w:pPr>
      <w:r>
        <w:rPr>
          <w:color w:val="2D3748"/>
          <w:sz w:val="19"/>
        </w:rPr>
        <w:t>[17] H. Zou and T. Hastie, "Regularization and variable selection via the elastic net," Journal of the Royal Statistical Society: Series B (Statistical Methodology), vol. 67, no. 2, pp. 301–320, 2005.</w:t>
      </w:r>
    </w:p>
    <w:p>
      <w:pPr>
        <w:spacing w:before="40" w:after="80" w:line="276" w:lineRule="auto"/>
        <w:jc w:val="both"/>
      </w:pPr>
      <w:r>
        <w:rPr>
          <w:color w:val="2D3748"/>
          <w:sz w:val="19"/>
        </w:rPr>
        <w:t>[18] IEEE Computer Society, "IEEE Standard for Floating-Point Arithmetic," IEEE Std 754-2019, pp. 1–84, Jul. 2019. doi: 10.1109/IEEESTD.2019.8766229.</w:t>
      </w:r>
    </w:p>
    <w:p>
      <w:pPr>
        <w:spacing w:before="40" w:after="80" w:line="276" w:lineRule="auto"/>
        <w:jc w:val="both"/>
      </w:pPr>
      <w:r>
        <w:rPr>
          <w:color w:val="2D3748"/>
          <w:sz w:val="19"/>
        </w:rPr>
        <w:t>[19] Python Software Foundation, "The decimal module: Decimal fixed point and floating point arithmetic," Python Documentation, Release 3.13, 2026. [Online]. Available: https://docs.python.org/3/library/decimal.html</w:t>
      </w:r>
    </w:p>
    <w:p>
      <w:pPr>
        <w:spacing w:before="40" w:after="80" w:line="276" w:lineRule="auto"/>
        <w:jc w:val="both"/>
      </w:pPr>
      <w:r>
        <w:rPr>
          <w:color w:val="2D3748"/>
          <w:sz w:val="19"/>
        </w:rPr>
        <w:t>[20] T. Schick et al., "Toolformer: Language models can teach themselves to use tools," in Advances in Neural Information Processing Systems (NeurIPS), vol. 36, 2023, pp. 68539–68551.</w:t>
      </w:r>
    </w:p>
    <w:p>
      <w:pPr>
        <w:spacing w:before="40" w:after="80" w:line="276" w:lineRule="auto"/>
        <w:jc w:val="both"/>
      </w:pPr>
      <w:r>
        <w:rPr>
          <w:color w:val="2D3748"/>
          <w:sz w:val="19"/>
        </w:rPr>
        <w:t>[21] S. G. Patil, T. Zhang, X. Wang, and J. E. Gonzalez, "Gorilla: Large language model connected with massive APIs," in Proc. IEEE/CVF Conf. on Computer Vision and Pattern Recognition (CVPR), 2024, pp. 1243–1252.</w:t>
      </w:r>
    </w:p>
    <w:p>
      <w:pPr>
        <w:spacing w:before="40" w:after="80" w:line="276" w:lineRule="auto"/>
        <w:jc w:val="both"/>
      </w:pPr>
      <w:r>
        <w:rPr>
          <w:color w:val="2D3748"/>
          <w:sz w:val="19"/>
        </w:rPr>
        <w:t>[22] Google DeepMind, "Gemini: A family of highly capable multimodal models," arXiv:2312.11805, 2023.</w:t>
      </w:r>
    </w:p>
    <w:p>
      <w:pPr>
        <w:spacing w:before="40" w:after="80" w:line="276" w:lineRule="auto"/>
        <w:jc w:val="both"/>
      </w:pPr>
      <w:r>
        <w:rPr>
          <w:color w:val="2D3748"/>
          <w:sz w:val="19"/>
        </w:rPr>
        <w:t>[23] Meta AI, "The Llama 3 Herd of Models," arXiv:2407.21783, 2024.</w:t>
      </w:r>
    </w:p>
    <w:p>
      <w:pPr>
        <w:spacing w:before="40" w:after="80" w:line="276" w:lineRule="auto"/>
        <w:jc w:val="both"/>
      </w:pPr>
      <w:r>
        <w:rPr>
          <w:color w:val="2D3748"/>
          <w:sz w:val="19"/>
        </w:rPr>
        <w:t>[24] E. Lansiaux, "Zero-knowledge federated learning with lattice-based hybrid encryption for quantum-resilient medical AI," arXiv:2603.03398, 2026.</w:t>
      </w:r>
    </w:p>
    <w:p>
      <w:pPr>
        <w:spacing w:before="40" w:after="80" w:line="276" w:lineRule="auto"/>
        <w:jc w:val="both"/>
      </w:pPr>
      <w:r>
        <w:rPr>
          <w:color w:val="2D3748"/>
          <w:sz w:val="19"/>
        </w:rPr>
        <w:t>[25] J. Guo et al., "MASA: Multimodal federated learning through modality-aware and secure aggregation," IEEE Trans. on Mobile Computing, vol. 24, no. 8, pp. 7328–7344, 2025.</w:t>
      </w:r>
    </w:p>
    <w:p>
      <w:pPr>
        <w:spacing w:before="40" w:after="80" w:line="276" w:lineRule="auto"/>
        <w:jc w:val="both"/>
      </w:pPr>
      <w:r>
        <w:rPr>
          <w:color w:val="2D3748"/>
          <w:sz w:val="19"/>
        </w:rPr>
        <w:t>[26] National Institute of Standards and Technology, "Module-Lattice-Based Key-Encapsulation Mechanism Standard," FIPS 203, Aug. 2024.</w:t>
      </w:r>
    </w:p>
    <w:p>
      <w:pPr>
        <w:spacing w:before="40" w:after="80" w:line="276" w:lineRule="auto"/>
        <w:jc w:val="both"/>
      </w:pPr>
      <w:r>
        <w:rPr>
          <w:color w:val="2D3748"/>
          <w:sz w:val="19"/>
        </w:rPr>
        <w:t>[27] National Institute of Standards and Technology, "Module-Lattice-Based Digital Signature Standard," FIPS 204, Aug. 2024.</w:t>
      </w:r>
    </w:p>
    <w:p>
      <w:pPr>
        <w:spacing w:before="40" w:after="80" w:line="276" w:lineRule="auto"/>
        <w:jc w:val="both"/>
      </w:pPr>
      <w:r>
        <w:rPr>
          <w:color w:val="2D3748"/>
          <w:sz w:val="19"/>
        </w:rPr>
        <w:t>[28] P. W. Shor, "Algorithms for quantum computation: Discrete logarithms and factoring," in Proc. 35th Annual Symp. on Foundations of Computer Science (FOCS), 1994, pp. 124–134.</w:t>
      </w:r>
    </w:p>
    <w:p>
      <w:pPr>
        <w:spacing w:before="40" w:after="80" w:line="276" w:lineRule="auto"/>
        <w:jc w:val="both"/>
      </w:pPr>
      <w:r>
        <w:rPr>
          <w:color w:val="2D3748"/>
          <w:sz w:val="19"/>
        </w:rPr>
        <w:t>[29] L. K. Grover, "A fast quantum mechanical algorithm for database search," in Proc. 28th Annual ACM Symp. on Theory of Computing (STOC), 1996, pp. 212–219.</w:t>
      </w:r>
    </w:p>
    <w:p>
      <w:pPr>
        <w:spacing w:before="40" w:after="80" w:line="276" w:lineRule="auto"/>
        <w:jc w:val="both"/>
      </w:pPr>
      <w:r>
        <w:rPr>
          <w:color w:val="2D3748"/>
          <w:sz w:val="19"/>
        </w:rPr>
        <w:t>[30] H. B. McMahan et al., "Communication-efficient learning of deep networks from decentralized data," in Proc. 20th Int. Conf. on Artificial Intelligence and Statistics (AISTATS), 2017, pp. 1273–1282.</w:t>
      </w:r>
    </w:p>
    <w:p>
      <w:pPr>
        <w:spacing w:before="40" w:after="80" w:line="276" w:lineRule="auto"/>
        <w:jc w:val="both"/>
      </w:pPr>
      <w:r>
        <w:rPr>
          <w:color w:val="2D3748"/>
          <w:sz w:val="19"/>
        </w:rPr>
        <w:t>[31] T. Li et al., "Federated optimization in heterogeneous networks," in Proc. Machine Learning and Systems (MLSys), vol. 2, 2020, pp. 429–450.</w:t>
      </w:r>
    </w:p>
    <w:p>
      <w:pPr>
        <w:spacing w:before="40" w:after="80" w:line="276" w:lineRule="auto"/>
        <w:jc w:val="both"/>
      </w:pPr>
      <w:r>
        <w:rPr>
          <w:color w:val="2D3748"/>
          <w:sz w:val="19"/>
        </w:rPr>
        <w:t>[32] K. Bonawitz et al., "Practical secure aggregation for privacy-preserving machine learning," in Proc. ACM SIGSAC Conf. on Computer and Communications Security (CCS), 2017, pp. 1175–1191.</w:t>
      </w:r>
    </w:p>
    <w:p>
      <w:pPr>
        <w:spacing w:before="40" w:after="80" w:line="276" w:lineRule="auto"/>
        <w:jc w:val="both"/>
      </w:pPr>
      <w:r>
        <w:rPr>
          <w:color w:val="2D3748"/>
          <w:sz w:val="19"/>
        </w:rPr>
        <w:t>[33] V. D. Katkar et al., "Enhancing biometric authentication privacy and security: A synergistic approach using cancelable biometrics and federated learning," Alexandria Engineering Journal, vol. 135, pp. 36–63, 2026.</w:t>
      </w:r>
    </w:p>
    <w:p>
      <w:pPr>
        <w:spacing w:before="40" w:after="80" w:line="276" w:lineRule="auto"/>
        <w:jc w:val="both"/>
      </w:pPr>
      <w:r>
        <w:rPr>
          <w:color w:val="2D3748"/>
          <w:sz w:val="19"/>
        </w:rPr>
        <w:t>[34] S. Aarthi, K. Geetha, and N. Sasikaladevi, "Quantum proof biometric authentication framework using binary lattices and homomorphic encryption for secure cancelable templates," Discover Computing, vol. 28, Art. no. 131, 2025.</w:t>
      </w:r>
    </w:p>
    <w:p>
      <w:pPr>
        <w:spacing w:before="40" w:after="80" w:line="276" w:lineRule="auto"/>
        <w:jc w:val="both"/>
      </w:pPr>
      <w:r>
        <w:rPr>
          <w:color w:val="2D3748"/>
          <w:sz w:val="19"/>
        </w:rPr>
        <w:t>[35] A. Olushola and S. P. Meenakshi, "A post-quantum privacy-preserving multimodal biometric authentication framework integrating ML-KEM (Kyber) and fully homomorphic encryption," Frontiers in Physics, vol. 14, Art. no. 1849257, 2026.</w:t>
      </w:r>
    </w:p>
    <w:p>
      <w:pPr>
        <w:spacing w:before="40" w:after="80" w:line="276" w:lineRule="auto"/>
        <w:jc w:val="both"/>
      </w:pPr>
      <w:r>
        <w:rPr>
          <w:color w:val="2D3748"/>
          <w:sz w:val="19"/>
        </w:rPr>
        <w:t>[36] D. Palma and P. L. Montessoro, "A post-quantum cryptography enabled feature-level fusion framework for privacy-preserving multimodal biometric recognition," Cryptography, vol. 9, no. 4, Art. no. 72, 2025.</w:t>
      </w:r>
    </w:p>
    <w:p>
      <w:pPr>
        <w:spacing w:before="40" w:after="80" w:line="276" w:lineRule="auto"/>
        <w:jc w:val="both"/>
      </w:pPr>
      <w:r>
        <w:rPr>
          <w:color w:val="2D3748"/>
          <w:sz w:val="19"/>
        </w:rPr>
        <w:t>[37] L. Zheng et al., "Sensitivity-aware differential privacy for federated medical imaging," Sensors, vol. 25, no. 9, Art. no. 2847, 2025.</w:t>
      </w:r>
    </w:p>
    <w:p>
      <w:pPr>
        <w:spacing w:before="40" w:after="80" w:line="276" w:lineRule="auto"/>
        <w:jc w:val="both"/>
      </w:pPr>
      <w:r>
        <w:rPr>
          <w:color w:val="2D3748"/>
          <w:sz w:val="19"/>
        </w:rPr>
        <w:t>[38] X. Zhang et al., "PQSF: Post-quantum secure privacy-preserving federated learning," Scientific Reports, vol. 14, pp. 1–16, Oct. 2024.</w:t>
      </w:r>
    </w:p>
    <w:p>
      <w:pPr>
        <w:spacing w:before="40" w:after="80" w:line="276" w:lineRule="auto"/>
        <w:jc w:val="both"/>
      </w:pPr>
      <w:r>
        <w:rPr>
          <w:color w:val="2D3748"/>
          <w:sz w:val="19"/>
        </w:rPr>
        <w:t>[39] F. S. Azimi, H. Pilaram, and J. Mohajeri, "Post-quantum dropout-resilient verifiable secure aggregation for federated learning," IACR Cryptology ePrint Archive, Paper 2026/2394, 2026.</w:t>
      </w:r>
    </w:p>
    <w:p>
      <w:pPr>
        <w:spacing w:before="40" w:after="80" w:line="276" w:lineRule="auto"/>
        <w:jc w:val="both"/>
      </w:pPr>
      <w:r>
        <w:rPr>
          <w:color w:val="2D3748"/>
          <w:sz w:val="19"/>
        </w:rPr>
        <w:t>[40] X. Qin and R. Xu, "Efficient post-quantum cross-silo federated learning based on key homomorphic pseudo-random function," Mathematics, vol. 13, no. 9, Art. no. 1404, Apr. 2025.</w:t>
      </w:r>
    </w:p>
    <w:p>
      <w:pPr>
        <w:spacing w:before="40" w:after="80" w:line="276" w:lineRule="auto"/>
        <w:jc w:val="both"/>
      </w:pPr>
      <w:r>
        <w:rPr>
          <w:color w:val="2D3748"/>
          <w:sz w:val="19"/>
        </w:rPr>
        <w:t>[41] P. Nayak, G. Thiyagarajan, R. Mishra, and V. Bist, "Post-quantum federated learning: Secure and scalable threat intelligence for collaborative cyber defense," arXiv:2603.07726, 2026.</w:t>
      </w:r>
    </w:p>
    <w:p>
      <w:pPr>
        <w:spacing w:before="40" w:after="80" w:line="276" w:lineRule="auto"/>
        <w:jc w:val="both"/>
      </w:pPr>
      <w:r>
        <w:rPr>
          <w:color w:val="2D3748"/>
          <w:sz w:val="19"/>
        </w:rPr>
        <w:t>[42] H. Krawczyk and P. Eronen, "HMAC-based extract-and-expand key derivation function (HKDF)," IETF RFC 5869, May 2010.</w:t>
      </w:r>
    </w:p>
    <w:p>
      <w:pPr>
        <w:spacing w:before="40" w:after="80" w:line="276" w:lineRule="auto"/>
        <w:jc w:val="both"/>
      </w:pPr>
      <w:r>
        <w:rPr>
          <w:color w:val="2D3748"/>
          <w:sz w:val="19"/>
        </w:rPr>
        <w:t>[43] E. Barker, "Recommendation for key management: Part 1 – General," NIST Special Publication 800-57 Part 1, Rev. 5, May 2020.</w:t>
      </w:r>
    </w:p>
    <w:p>
      <w:pPr>
        <w:spacing w:before="40" w:after="80" w:line="276" w:lineRule="auto"/>
        <w:jc w:val="both"/>
      </w:pPr>
      <w:r>
        <w:rPr>
          <w:color w:val="2D3748"/>
          <w:sz w:val="19"/>
        </w:rPr>
        <w:t>[44] A. K. Jain, K. Nandakumar, and A. Ross, "50 years of biometric research: Accomplishments, challenges, and opportunities," Pattern Recognition Letters, vol. 79, pp. 80–105, 2016.</w:t>
      </w:r>
    </w:p>
    <w:p>
      <w:pPr>
        <w:spacing w:before="40" w:after="80" w:line="276" w:lineRule="auto"/>
        <w:jc w:val="both"/>
      </w:pPr>
      <w:r>
        <w:rPr>
          <w:color w:val="2D3748"/>
          <w:sz w:val="19"/>
        </w:rPr>
        <w:t>[45] N. K. Ratha, J. H. Connell, and R. M. Bolle, "Enhancing security and privacy in biometrics-based authentication systems," IBM Systems Journal, vol. 40, no. 3, pp. 614–634, 2001.</w:t>
      </w:r>
    </w:p>
    <w:p>
      <w:pPr>
        <w:spacing w:before="40" w:after="80" w:line="276" w:lineRule="auto"/>
        <w:jc w:val="both"/>
      </w:pPr>
      <w:r>
        <w:rPr>
          <w:color w:val="2D3748"/>
          <w:sz w:val="19"/>
        </w:rPr>
        <w:t>[46] V. M. Patel, N. K. Ratha, and R. Chellappa, "Cancelable biometrics: A review," IEEE Signal Processing Magazine, vol. 32, no. 5, pp. 54–65, 2015.</w:t>
      </w:r>
    </w:p>
    <w:p>
      <w:pPr>
        <w:spacing w:before="40" w:after="80" w:line="276" w:lineRule="auto"/>
        <w:jc w:val="both"/>
      </w:pPr>
      <w:r>
        <w:rPr>
          <w:color w:val="2D3748"/>
          <w:sz w:val="19"/>
        </w:rPr>
        <w:t>[47] A. Ross, K. Nandakumar, and A. K. Jain, Handbook of Multibiometrics. New York, NY, USA: Springer, 2006.</w:t>
      </w:r>
    </w:p>
    <w:p>
      <w:pPr>
        <w:spacing w:before="40" w:after="80" w:line="276" w:lineRule="auto"/>
        <w:jc w:val="both"/>
      </w:pPr>
      <w:r>
        <w:rPr>
          <w:color w:val="2D3748"/>
          <w:sz w:val="19"/>
        </w:rPr>
        <w:t>[48] D. J. Bernstein and T. Lange, "Post-quantum cryptography," Nature, vol. 549, pp. 188–194, 2017.</w:t>
      </w:r>
    </w:p>
    <w:p>
      <w:pPr>
        <w:spacing w:before="40" w:after="80" w:line="276" w:lineRule="auto"/>
        <w:jc w:val="both"/>
      </w:pPr>
      <w:r>
        <w:rPr>
          <w:color w:val="2D3748"/>
          <w:sz w:val="19"/>
        </w:rPr>
        <w:t>[49] Y. Zhao et al., "Federated learning with non-IID data," arXiv:1806.00582, 2018.</w:t>
      </w:r>
    </w:p>
    <w:p>
      <w:pPr>
        <w:spacing w:before="40" w:after="80" w:line="276" w:lineRule="auto"/>
        <w:jc w:val="both"/>
      </w:pPr>
      <w:r>
        <w:rPr>
          <w:color w:val="2D3748"/>
          <w:sz w:val="19"/>
        </w:rPr>
        <w:t>[50] M. Abadi et al., "Deep learning with differential privacy," in Proc. ACM SIGSAC Conf. on Computer and Communications Security (CCS), 2016, pp. 308–318.</w:t>
      </w:r>
    </w:p>
    <w:p>
      <w:pPr>
        <w:spacing w:before="40" w:after="80" w:line="276" w:lineRule="auto"/>
        <w:jc w:val="both"/>
      </w:pPr>
      <w:r>
        <w:rPr>
          <w:color w:val="2D3748"/>
          <w:sz w:val="19"/>
        </w:rPr>
        <w:t>[51] G. Chen et al., "A multimodal biometric recognition method based on federated learning," IET Biometrics, vol. 2024, Art. no. 5873909, 2024.</w:t>
      </w:r>
    </w:p>
    <w:p>
      <w:pPr>
        <w:spacing w:before="40" w:after="80" w:line="276" w:lineRule="auto"/>
        <w:jc w:val="both"/>
      </w:pPr>
      <w:r>
        <w:rPr>
          <w:color w:val="2D3748"/>
          <w:sz w:val="19"/>
        </w:rPr>
        <w:t>[52] L. Lin, Y. Zhao, J. Meng, and Q. Zhao, "A federated attention-based multimodal biometric recognition approach in IoT," Sensors, vol. 23, no. 13, Art. no. 6006, 2023.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