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p>
    <w:p>
      <w:pPr>
        <w:spacing w:after="200"/>
        <w:jc w:val="center"/>
      </w:pPr>
      <w:r>
        <w:rPr>
          <w:rFonts w:ascii="Arial" w:cs="Arial" w:eastAsia="Arial" w:hAnsi="Arial"/>
          <w:b/>
          <w:bCs/>
          <w:color w:val="1B3A5C"/>
          <w:sz w:val="28"/>
          <w:szCs w:val="28"/>
        </w:rPr>
        <w:t xml:space="preserve">NATIONAL INSTITUTE OF TECHNOLOGY, HAMIRPUR</w:t>
      </w:r>
    </w:p>
    <w:p>
      <w:pPr>
        <w:spacing w:after="100"/>
        <w:jc w:val="center"/>
      </w:pPr>
      <w:r>
        <w:rPr>
          <w:rFonts w:ascii="Arial" w:cs="Arial" w:eastAsia="Arial" w:hAnsi="Arial"/>
          <w:color w:val="333333"/>
          <w:sz w:val="24"/>
          <w:szCs w:val="24"/>
        </w:rPr>
        <w:t xml:space="preserve">Department of Physics</w:t>
      </w:r>
    </w:p>
    <w:p>
      <w:pPr>
        <w:spacing w:after="600"/>
      </w:pPr>
    </w:p>
    <w:p>
      <w:pPr>
        <w:spacing w:after="200"/>
        <w:jc w:val="center"/>
      </w:pPr>
      <w:r>
        <w:rPr>
          <w:rFonts w:ascii="Arial" w:cs="Arial" w:eastAsia="Arial" w:hAnsi="Arial"/>
          <w:b/>
          <w:bCs/>
          <w:sz w:val="26"/>
          <w:szCs w:val="26"/>
        </w:rPr>
        <w:t xml:space="preserve">B.Tech Major Project Report</w:t>
      </w:r>
    </w:p>
    <w:p>
      <w:pPr>
        <w:spacing w:after="200"/>
      </w:pPr>
    </w:p>
    <w:p>
      <w:pPr>
        <w:spacing w:after="120"/>
        <w:jc w:val="center"/>
      </w:pPr>
      <w:r>
        <w:rPr>
          <w:rFonts w:ascii="Arial" w:cs="Arial" w:eastAsia="Arial" w:hAnsi="Arial"/>
          <w:b/>
          <w:bCs/>
          <w:color w:val="1B3A5C"/>
          <w:sz w:val="32"/>
          <w:szCs w:val="32"/>
        </w:rPr>
        <w:t xml:space="preserve">LASER-BASED LOW-COST AEROSOL / PM SENSOR</w:t>
      </w:r>
    </w:p>
    <w:p>
      <w:pPr>
        <w:spacing w:after="100"/>
        <w:jc w:val="center"/>
      </w:pPr>
      <w:r>
        <w:rPr>
          <w:rFonts w:ascii="Arial" w:cs="Arial" w:eastAsia="Arial" w:hAnsi="Arial"/>
          <w:i/>
          <w:iCs/>
          <w:sz w:val="24"/>
          <w:szCs w:val="24"/>
        </w:rPr>
        <w:t xml:space="preserve">(Mini-LIDAR Air Quality Sensing System)</w:t>
      </w:r>
    </w:p>
    <w:p>
      <w:pPr>
        <w:spacing w:after="80"/>
        <w:jc w:val="center"/>
      </w:pPr>
      <w:r>
        <w:rPr>
          <w:rFonts w:ascii="Arial" w:cs="Arial" w:eastAsia="Arial" w:hAnsi="Arial"/>
          <w:sz w:val="22"/>
          <w:szCs w:val="22"/>
        </w:rPr>
        <w:t xml:space="preserve">Development of a Multi-Wavelength Optical Scattering System</w:t>
      </w:r>
    </w:p>
    <w:p>
      <w:pPr>
        <w:spacing w:after="400"/>
        <w:jc w:val="center"/>
      </w:pPr>
      <w:r>
        <w:rPr>
          <w:rFonts w:ascii="Arial" w:cs="Arial" w:eastAsia="Arial" w:hAnsi="Arial"/>
          <w:sz w:val="22"/>
          <w:szCs w:val="22"/>
        </w:rPr>
        <w:t xml:space="preserve">with AI-Based Calibration for PM2.5/PM10 Measurement</w:t>
      </w:r>
    </w:p>
    <w:p>
      <w:pPr>
        <w:spacing w:after="400"/>
      </w:pPr>
    </w:p>
    <w:p>
      <w:pPr>
        <w:spacing w:after="100"/>
        <w:jc w:val="center"/>
      </w:pPr>
      <w:r>
        <w:rPr>
          <w:rFonts w:ascii="Arial" w:cs="Arial" w:eastAsia="Arial" w:hAnsi="Arial"/>
          <w:b/>
          <w:bCs/>
          <w:sz w:val="22"/>
          <w:szCs w:val="22"/>
        </w:rPr>
        <w:t xml:space="preserve">Submitted by:</w:t>
      </w:r>
    </w:p>
    <w:p>
      <w:pPr>
        <w:spacing w:after="60"/>
        <w:jc w:val="center"/>
      </w:pPr>
      <w:r>
        <w:rPr>
          <w:rFonts w:ascii="Arial" w:cs="Arial" w:eastAsia="Arial" w:hAnsi="Arial"/>
          <w:sz w:val="22"/>
          <w:szCs w:val="22"/>
        </w:rPr>
        <w:t xml:space="preserve">Dishant Gupta</w:t>
      </w:r>
    </w:p>
    <w:p>
      <w:pPr>
        <w:spacing w:after="60"/>
        <w:jc w:val="center"/>
      </w:pPr>
      <w:r>
        <w:rPr>
          <w:rFonts w:ascii="Arial" w:cs="Arial" w:eastAsia="Arial" w:hAnsi="Arial"/>
          <w:sz w:val="22"/>
          <w:szCs w:val="22"/>
        </w:rPr>
        <w:t xml:space="preserve">Akanksha Verma</w:t>
      </w:r>
    </w:p>
    <w:p>
      <w:pPr>
        <w:spacing w:after="60"/>
        <w:jc w:val="center"/>
      </w:pPr>
      <w:r>
        <w:rPr>
          <w:rFonts w:ascii="Arial" w:cs="Arial" w:eastAsia="Arial" w:hAnsi="Arial"/>
          <w:sz w:val="22"/>
          <w:szCs w:val="22"/>
        </w:rPr>
        <w:t xml:space="preserve">Devashish</w:t>
      </w:r>
    </w:p>
    <w:p>
      <w:pPr>
        <w:spacing w:after="300"/>
        <w:jc w:val="center"/>
      </w:pPr>
      <w:r>
        <w:rPr>
          <w:rFonts w:ascii="Arial" w:cs="Arial" w:eastAsia="Arial" w:hAnsi="Arial"/>
          <w:sz w:val="22"/>
          <w:szCs w:val="22"/>
        </w:rPr>
        <w:t xml:space="preserve">Ajay Mokta</w:t>
      </w:r>
    </w:p>
    <w:p>
      <w:pPr>
        <w:spacing w:after="100"/>
        <w:jc w:val="center"/>
      </w:pPr>
      <w:r>
        <w:rPr>
          <w:rFonts w:ascii="Arial" w:cs="Arial" w:eastAsia="Arial" w:hAnsi="Arial"/>
          <w:b/>
          <w:bCs/>
          <w:sz w:val="22"/>
          <w:szCs w:val="22"/>
        </w:rPr>
        <w:t xml:space="preserve">Under the Supervision of:</w:t>
      </w:r>
    </w:p>
    <w:p>
      <w:pPr>
        <w:spacing w:after="60"/>
        <w:jc w:val="center"/>
      </w:pPr>
      <w:r>
        <w:rPr>
          <w:rFonts w:ascii="Arial" w:cs="Arial" w:eastAsia="Arial" w:hAnsi="Arial"/>
          <w:sz w:val="22"/>
          <w:szCs w:val="22"/>
        </w:rPr>
        <w:t xml:space="preserve">Dr. Arvind K. Gathania</w:t>
      </w:r>
    </w:p>
    <w:p>
      <w:pPr>
        <w:spacing w:after="400"/>
        <w:jc w:val="center"/>
      </w:pPr>
      <w:r>
        <w:rPr>
          <w:rFonts w:ascii="Arial" w:cs="Arial" w:eastAsia="Arial" w:hAnsi="Arial"/>
          <w:color w:val="555555"/>
          <w:sz w:val="20"/>
          <w:szCs w:val="20"/>
        </w:rPr>
        <w:t xml:space="preserve">Department of Physics, NIT Hamirpur</w:t>
      </w:r>
    </w:p>
    <w:p>
      <w:pPr>
        <w:jc w:val="center"/>
      </w:pPr>
      <w:r>
        <w:rPr>
          <w:rFonts w:ascii="Arial" w:cs="Arial" w:eastAsia="Arial" w:hAnsi="Arial"/>
          <w:sz w:val="22"/>
          <w:szCs w:val="22"/>
        </w:rPr>
        <w:t xml:space="preserve">Academic Year 2025–26</w:t>
      </w:r>
    </w:p>
    <w:p>
      <w:pPr>
        <w:sectPr>
          <w:pgSz w:w="12240" w:h="15840" w:orient="portrait"/>
          <w:pgMar w:top="1440" w:right="1440" w:bottom="1440" w:left="2160" w:header="708" w:footer="708" w:gutter="0"/>
          <w:pgNumType/>
          <w:docGrid w:linePitch="360"/>
        </w:sectPr>
      </w:pPr>
    </w:p>
    <w:p>
      <w:pPr>
        <w:pStyle w:val="Heading1"/>
      </w:pPr>
      <w:r>
        <w:t xml:space="preserve">Candidate’s Declaration</w:t>
      </w:r>
    </w:p>
    <w:p>
      <w:pPr>
        <w:spacing w:after="120" w:line="360"/>
        <w:jc w:val="both"/>
      </w:pPr>
      <w:r>
        <w:t xml:space="preserve">We hereby declare that this B.Tech Major Project Report entitled “Laser-Based Low-Cost Aerosol/PM Sensor (Mini-LIDAR)” submitted to the Department of Physics, National Institute of Technology, Hamirpur (H.P.) is a record of original work carried out by us under the supervision of Dr. Arvind K. Gathania, and has not been submitted elsewhere for the award of any degree or diploma.</w:t>
      </w:r>
    </w:p>
    <w:p>
      <w:pPr>
        <w:spacing w:after="120" w:line="360"/>
        <w:jc w:val="both"/>
      </w:pPr>
      <w:r>
        <w:t xml:space="preserve">The assistance and help received during the course of this investigation have been duly acknowledged.</w:t>
      </w:r>
    </w:p>
    <w:p>
      <w:pPr>
        <w:spacing w:before="600"/>
      </w:pPr>
    </w:p>
    <w:p>
      <w:pPr>
        <w:spacing w:after="120" w:line="360"/>
        <w:jc w:val="both"/>
      </w:pPr>
      <w:r>
        <w:t xml:space="preserve">Dishant Gupta</w:t>
      </w:r>
    </w:p>
    <w:p>
      <w:pPr>
        <w:spacing w:after="120" w:line="360"/>
        <w:jc w:val="both"/>
      </w:pPr>
      <w:r>
        <w:t xml:space="preserve">Akanksha Verma</w:t>
      </w:r>
    </w:p>
    <w:p>
      <w:pPr>
        <w:spacing w:after="120" w:line="360"/>
        <w:jc w:val="both"/>
      </w:pPr>
      <w:r>
        <w:t xml:space="preserve">Devashish</w:t>
      </w:r>
    </w:p>
    <w:p>
      <w:pPr>
        <w:spacing w:after="120" w:line="360"/>
        <w:jc w:val="both"/>
      </w:pPr>
      <w:r>
        <w:t xml:space="preserve">Ajay Mokta</w:t>
      </w:r>
    </w:p>
    <w:p>
      <w:pPr>
        <w:spacing w:before="400"/>
      </w:pPr>
    </w:p>
    <w:p>
      <w:pPr>
        <w:spacing w:after="120" w:line="360"/>
        <w:jc w:val="both"/>
      </w:pPr>
      <w:r>
        <w:rPr>
          <w:b/>
          <w:bCs/>
        </w:rPr>
        <w:t xml:space="preserve">Date: </w:t>
      </w:r>
      <w:r>
        <w:t xml:space="preserve">_________________</w:t>
      </w:r>
    </w:p>
    <w:p>
      <w:pPr>
        <w:spacing w:after="120" w:line="360"/>
        <w:jc w:val="both"/>
      </w:pPr>
      <w:r>
        <w:rPr>
          <w:b/>
          <w:bCs/>
        </w:rPr>
        <w:t xml:space="preserve">Place: </w:t>
      </w:r>
      <w:r>
        <w:t xml:space="preserve">NIT Hamirpur, Himachal Pradesh</w:t>
      </w:r>
    </w:p>
    <w:p>
      <w:r>
        <w:br w:type="page"/>
      </w:r>
    </w:p>
    <w:p>
      <w:pPr>
        <w:pStyle w:val="Heading1"/>
      </w:pPr>
      <w:r>
        <w:t xml:space="preserve">Acknowledgements</w:t>
      </w:r>
    </w:p>
    <w:p>
      <w:pPr>
        <w:spacing w:after="120" w:line="360"/>
        <w:jc w:val="both"/>
      </w:pPr>
      <w:r>
        <w:t xml:space="preserve">We express our sincere gratitude to our supervisor, Dr. Arvind K. Gathania, Department of Physics, NIT Hamirpur, for his invaluable guidance, continuous encouragement, and constructive suggestions throughout the course of this project.</w:t>
      </w:r>
    </w:p>
    <w:p>
      <w:pPr>
        <w:spacing w:after="120" w:line="360"/>
        <w:jc w:val="both"/>
      </w:pPr>
      <w:r>
        <w:t xml:space="preserve">We are thankful to the Head of the Department of Physics and the faculty members for providing the necessary infrastructure, laboratory facilities, and a stimulating academic environment that made this work possible.</w:t>
      </w:r>
    </w:p>
    <w:p>
      <w:pPr>
        <w:spacing w:after="120" w:line="360"/>
        <w:jc w:val="both"/>
      </w:pPr>
      <w:r>
        <w:t xml:space="preserve">We extend our appreciation to the technical staff of the Physics department for their assistance with laboratory equipment and instrumentation.</w:t>
      </w:r>
    </w:p>
    <w:p>
      <w:pPr>
        <w:spacing w:after="120" w:line="360"/>
        <w:jc w:val="both"/>
      </w:pPr>
      <w:r>
        <w:t xml:space="preserve">We are grateful to our families and friends for their unwavering support and encouragement throughout this academic endeavour.</w:t>
      </w:r>
    </w:p>
    <w:p>
      <w:pPr>
        <w:spacing w:after="120" w:line="360"/>
        <w:jc w:val="both"/>
      </w:pPr>
      <w:r>
        <w:t xml:space="preserve">Finally, we acknowledge the open-source community whose tools and libraries significantly contributed to the computational and software aspects of this project.</w:t>
      </w:r>
    </w:p>
    <w:p>
      <w:pPr>
        <w:sectPr>
          <w:headerReference w:type="default" r:id="rId7"/>
          <w:footerReference w:type="default" r:id="rId8"/>
          <w:pgSz w:w="12240" w:h="15840" w:orient="portrait"/>
          <w:pgMar w:top="1440" w:right="1440" w:bottom="1440" w:left="2160" w:header="708" w:footer="708" w:gutter="0"/>
          <w:pgNumType/>
          <w:docGrid w:linePitch="360"/>
        </w:sectPr>
      </w:pPr>
    </w:p>
    <w:p>
      <w:pPr>
        <w:pStyle w:val="Heading1"/>
      </w:pPr>
      <w:r>
        <w:t xml:space="preserve">Abstract</w:t>
      </w:r>
    </w:p>
    <w:p>
      <w:pPr>
        <w:spacing w:after="120" w:line="360"/>
        <w:jc w:val="both"/>
      </w:pPr>
      <w:r>
        <w:t xml:space="preserve">Air quality monitoring has become increasingly critical for public health and environmental management, yet conventional particulate matter (PM) sensing systems suffer from significant limitations in accuracy, cost, and adaptability to environmental conditions. This work presents the design, development, and validation of a novel low-cost aerosol sensor employing multi-wavelength laser scattering combined with machine learning calibration.</w:t>
      </w:r>
    </w:p>
    <w:p>
      <w:pPr>
        <w:spacing w:after="120" w:line="360"/>
        <w:jc w:val="both"/>
      </w:pPr>
      <w:r>
        <w:t xml:space="preserve">The system utilises three laser wavelengths—450 nm (blue), 532 nm (green), and 650 nm (red)—together with photodetectors positioned at multiple scattering angles (30°, 60°, and 90°) to capture comprehensive optical signatures of airborne particulates. By leveraging Mie scattering theory and incorporating environmental compensation through temperature and humidity sensors (BME280/SHT31), the system addresses fundamental challenges in optical particle counting, particularly the humidity-induced bias that degrades measurements in conventional single-channel sensors.</w:t>
      </w:r>
    </w:p>
    <w:p>
      <w:pPr>
        <w:spacing w:after="120" w:line="360"/>
        <w:jc w:val="both"/>
      </w:pPr>
      <w:r>
        <w:t xml:space="preserve">A machine learning pipeline, built on Random Forest and Gradient Boosting algorithms, processes multi-dimensional scattering features to predict PM2.5 and PM10 concentrations with accuracy significantly exceeding that of single-channel commercial sensors. The ESP32-based embedded platform enables real-time inference (&lt; 10 ms per prediction) using TensorFlow Lite quantised models, and supports wireless data transmission via WiFi/MQTT for integration into IoT air quality networks.</w:t>
      </w:r>
    </w:p>
    <w:p>
      <w:pPr>
        <w:spacing w:after="120" w:line="360"/>
        <w:jc w:val="both"/>
      </w:pPr>
      <w:r>
        <w:t xml:space="preserve">Experimental validation demonstrates that the multi-wavelength, multi-angle detection strategy, combined with adaptive ML calibration, reduces measurement mean absolute error (MAE) to approximately 6.2 µg/m³ for PM2.5 (R² ≈ 0.93) relative to reference-grade instruments, while the total hardware cost remains in the $80–$120 range. The humidity compensation module alone reduces RH-induced bias by a factor of 3.8× at relative humidity levels above 70%.</w:t>
      </w:r>
    </w:p>
    <w:p>
      <w:pPr>
        <w:spacing w:after="120" w:line="360"/>
        <w:jc w:val="both"/>
      </w:pPr>
      <w:r>
        <w:rPr>
          <w:b/>
          <w:bCs/>
        </w:rPr>
        <w:t xml:space="preserve">Keywords: </w:t>
      </w:r>
      <w:r>
        <w:rPr>
          <w:i/>
          <w:iCs/>
        </w:rPr>
        <w:t xml:space="preserve">Particulate matter, Mie scattering, multi-wavelength LIDAR, machine learning calibration, low-cost air quality sensor, PM2.5, PM10, embedded ML, IoT</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ectPr>
          <w:headerReference w:type="default" r:id="rId9"/>
          <w:footerReference w:type="default" r:id="rId10"/>
          <w:pgSz w:w="12240" w:h="15840" w:orient="portrait"/>
          <w:pgMar w:top="1440" w:right="1440" w:bottom="1440" w:left="2160" w:header="708" w:footer="708" w:gutter="0"/>
          <w:pgNumType/>
          <w:docGrid w:linePitch="360"/>
        </w:sectPr>
      </w:pPr>
    </w:p>
    <w:p>
      <w:pPr>
        <w:pStyle w:val="Heading1"/>
      </w:pPr>
      <w:r>
        <w:t xml:space="preserve">Chapter 1: Introduction</w:t>
      </w:r>
    </w:p>
    <w:p>
      <w:pPr>
        <w:pStyle w:val="Heading2"/>
      </w:pPr>
      <w:r>
        <w:t xml:space="preserve">1.1 Air Pollution and Particulate Matter</w:t>
      </w:r>
    </w:p>
    <w:p>
      <w:pPr>
        <w:spacing w:after="120" w:line="360"/>
        <w:jc w:val="both"/>
      </w:pPr>
      <w:r>
        <w:t xml:space="preserve">Air pollution represents one of the most pressing environmental and public health challenges of the 21st century. According to the World Health Organisation, ambient air pollution causes approximately 4.2 million premature deaths annually, with particulate matter (PM) being a primary contributor. Particulate matter—a complex mixture of solid particles and liquid droplets suspended in air—varies in size from nanometres to tens of micrometres. Two critical size fractions, PM2.5 (particles with aerodynamic diameter ≤ 2.5 µm) and PM10 (diameter ≤ 10 µm), are regulated worldwide because of their demonstrated links to respiratory disease, cardiovascular dysfunction, and premature mortality.</w:t>
      </w:r>
    </w:p>
    <w:p>
      <w:pPr>
        <w:spacing w:after="120" w:line="360"/>
        <w:jc w:val="both"/>
      </w:pPr>
      <w:r>
        <w:t xml:space="preserve">India faces a particularly severe air quality crisis. Multiple Indian cities regularly feature among the world’s most polluted, with annual average PM2.5 concentrations exceeding WHO guidelines by factors of 5–15. In Himachal Pradesh, while overall air quality is better than in the Indo-Gangetic plain, localised pollution from traffic, biomass burning, and construction activity creates monitoring gaps that existing sparse government monitoring stations fail to capture.</w:t>
      </w:r>
    </w:p>
    <w:p>
      <w:pPr>
        <w:pStyle w:val="Heading2"/>
      </w:pPr>
      <w:r>
        <w:t xml:space="preserve">1.2 Limitations of Current Monitoring Approaches</w:t>
      </w:r>
    </w:p>
    <w:p>
      <w:pPr>
        <w:spacing w:after="120" w:line="360"/>
        <w:jc w:val="both"/>
      </w:pPr>
      <w:r>
        <w:t xml:space="preserve">Reference-grade PM monitors such as the Beta Attenuation Monitor (BAM) and Tapered Element Oscillating Microbalance (TEOM) provide high accuracy but are prohibitively expensive ($15,000–$50,000), require controlled environments, and demand skilled operators for maintenance and data quality assurance. These constraints limit deployment to a handful of regulatory stations per city, yielding coarse spatial resolution that fails to capture neighbourhood-level variations in air quality.</w:t>
      </w:r>
    </w:p>
    <w:p>
      <w:pPr>
        <w:spacing w:after="120" w:line="360"/>
        <w:jc w:val="both"/>
      </w:pPr>
      <w:r>
        <w:t xml:space="preserve">Low-cost optical particle counters (OPCs) such as the Plantower PMS5003 and Nova SDS011 have enabled proliferation of citizen-science and research monitoring networks. However, these devices suffer from well-documented limitations. Single-wavelength, single-angle detection provides limited information about particle size distribution. Factory calibration assumes a fixed particle type and often degrades within months. Humidity-induced swelling of hygroscopic particles causes significant over-estimation at relative humidity (RH) above 60–70%. Temperature drift, cross-sensitivity to different aerosol compositions, and lack of quality-assurance protocols further limit the accuracy and comparability of data from low-cost sensors.</w:t>
      </w:r>
    </w:p>
    <w:p>
      <w:pPr>
        <w:pStyle w:val="Heading2"/>
      </w:pPr>
      <w:r>
        <w:t xml:space="preserve">1.3 Motivation and Objectives</w:t>
      </w:r>
    </w:p>
    <w:p>
      <w:pPr>
        <w:spacing w:after="120" w:line="360"/>
        <w:jc w:val="both"/>
      </w:pPr>
      <w:r>
        <w:t xml:space="preserve">This project aims to bridge the gap between expensive reference instruments and inaccurate low-cost sensors by developing a mini-LIDAR system that employs multi-wavelength (450 nm, 532 nm, 650 nm), multi-angle (30°, 60°, 90°) optical scattering detection combined with machine learning–based calibration. The specific objectives are:</w:t>
      </w:r>
    </w:p>
    <w:p>
      <w:pPr>
        <w:pStyle w:val="ListParagraph"/>
        <w:numPr>
          <w:ilvl w:val="0"/>
          <w:numId w:val="2"/>
        </w:numPr>
        <w:spacing w:after="80" w:line="340"/>
      </w:pPr>
      <w:r>
        <w:rPr>
          <w:rFonts w:ascii="Arial" w:cs="Arial" w:eastAsia="Arial" w:hAnsi="Arial"/>
          <w:sz w:val="22"/>
          <w:szCs w:val="22"/>
        </w:rPr>
        <w:t xml:space="preserve">To design and fabricate a multi-wavelength, multi-angle aerosol scattering chamber with controlled airflow.</w:t>
      </w:r>
    </w:p>
    <w:p>
      <w:pPr>
        <w:pStyle w:val="ListParagraph"/>
        <w:numPr>
          <w:ilvl w:val="0"/>
          <w:numId w:val="2"/>
        </w:numPr>
        <w:spacing w:after="80" w:line="340"/>
      </w:pPr>
      <w:r>
        <w:rPr>
          <w:rFonts w:ascii="Arial" w:cs="Arial" w:eastAsia="Arial" w:hAnsi="Arial"/>
          <w:sz w:val="22"/>
          <w:szCs w:val="22"/>
        </w:rPr>
        <w:t xml:space="preserve">To develop an embedded data acquisition system using ESP32 with external ADC (ADS1115) for high-resolution signal capture.</w:t>
      </w:r>
    </w:p>
    <w:p>
      <w:pPr>
        <w:pStyle w:val="ListParagraph"/>
        <w:numPr>
          <w:ilvl w:val="0"/>
          <w:numId w:val="2"/>
        </w:numPr>
        <w:spacing w:after="80" w:line="340"/>
      </w:pPr>
      <w:r>
        <w:rPr>
          <w:rFonts w:ascii="Arial" w:cs="Arial" w:eastAsia="Arial" w:hAnsi="Arial"/>
          <w:sz w:val="22"/>
          <w:szCs w:val="22"/>
        </w:rPr>
        <w:t xml:space="preserve">To implement machine learning models (Random Forest, Gradient Boosting, Neural Networks) for converting multi-dimensional optical features into calibrated PM2.5 and PM10 concentrations.</w:t>
      </w:r>
    </w:p>
    <w:p>
      <w:pPr>
        <w:pStyle w:val="ListParagraph"/>
        <w:numPr>
          <w:ilvl w:val="0"/>
          <w:numId w:val="2"/>
        </w:numPr>
        <w:spacing w:after="80" w:line="340"/>
      </w:pPr>
      <w:r>
        <w:rPr>
          <w:rFonts w:ascii="Arial" w:cs="Arial" w:eastAsia="Arial" w:hAnsi="Arial"/>
          <w:sz w:val="22"/>
          <w:szCs w:val="22"/>
        </w:rPr>
        <w:t xml:space="preserve">To incorporate environmental compensation (temperature, relative humidity) to mitigate humidity-induced measurement bias.</w:t>
      </w:r>
    </w:p>
    <w:p>
      <w:pPr>
        <w:pStyle w:val="ListParagraph"/>
        <w:numPr>
          <w:ilvl w:val="0"/>
          <w:numId w:val="2"/>
        </w:numPr>
        <w:spacing w:after="80" w:line="340"/>
      </w:pPr>
      <w:r>
        <w:rPr>
          <w:rFonts w:ascii="Arial" w:cs="Arial" w:eastAsia="Arial" w:hAnsi="Arial"/>
          <w:sz w:val="22"/>
          <w:szCs w:val="22"/>
        </w:rPr>
        <w:t xml:space="preserve">To validate system performance against reference-grade instruments under controlled and ambient conditions.</w:t>
      </w:r>
    </w:p>
    <w:p>
      <w:pPr>
        <w:pStyle w:val="ListParagraph"/>
        <w:numPr>
          <w:ilvl w:val="0"/>
          <w:numId w:val="2"/>
        </w:numPr>
        <w:spacing w:after="80" w:line="340"/>
      </w:pPr>
      <w:r>
        <w:rPr>
          <w:rFonts w:ascii="Arial" w:cs="Arial" w:eastAsia="Arial" w:hAnsi="Arial"/>
          <w:sz w:val="22"/>
          <w:szCs w:val="22"/>
        </w:rPr>
        <w:t xml:space="preserve">To demonstrate feasibility of deploying quantised ML models on edge hardware for real-time air quality inference.</w:t>
      </w:r>
    </w:p>
    <w:p>
      <w:pPr>
        <w:pStyle w:val="Heading2"/>
      </w:pPr>
      <w:r>
        <w:t xml:space="preserve">1.4 Scope and Organisation of the Report</w:t>
      </w:r>
    </w:p>
    <w:p>
      <w:pPr>
        <w:spacing w:after="120" w:line="360"/>
        <w:jc w:val="both"/>
      </w:pPr>
      <w:r>
        <w:t xml:space="preserve">This report is organised into five chapters. Chapter 1 provides introduction and motivation. Chapter 2 reviews the relevant literature on optical particle sensing, Mie scattering theory, and ML-based calibration. Chapter 3 details the system design, optical geometry, electronic hardware, firmware, and ML pipeline. Chapter 4 presents experimental results, validation, and discussion. Chapter 5 concludes with key findings and future directions.</w:t>
      </w:r>
    </w:p>
    <w:p>
      <w:r>
        <w:br w:type="page"/>
      </w:r>
    </w:p>
    <w:p>
      <w:pPr>
        <w:pStyle w:val="Heading1"/>
      </w:pPr>
      <w:r>
        <w:t xml:space="preserve">Chapter 2: Literature Review</w:t>
      </w:r>
    </w:p>
    <w:p>
      <w:pPr>
        <w:pStyle w:val="Heading2"/>
      </w:pPr>
      <w:r>
        <w:t xml:space="preserve">2.1 Fundamentals of Light Scattering by Particles</w:t>
      </w:r>
    </w:p>
    <w:p>
      <w:pPr>
        <w:spacing w:after="120" w:line="360"/>
        <w:jc w:val="both"/>
      </w:pPr>
      <w:r>
        <w:t xml:space="preserve">When electromagnetic radiation encounters a particle, part of the incident energy is scattered in directions away from the original propagation direction. The nature of this scattering depends on the relationship between the particle size and the wavelength of incident light. The size parameter x = πd/λ, where d is the particle diameter and λ the wavelength, determines the scattering regime.</w:t>
      </w:r>
    </w:p>
    <w:p>
      <w:pPr>
        <w:spacing w:after="120" w:line="360"/>
        <w:jc w:val="both"/>
      </w:pPr>
      <w:r>
        <w:t xml:space="preserve">For x ≪ 1 (particles much smaller than the wavelength), Rayleigh scattering dominates. The scattering intensity scales as λ⁻⁴ and the angular distribution is symmetric about the forward and backward directions. For x ≈ 1 (particles comparable to wavelength), Mie scattering theory provides the exact solution. The scattering pattern becomes highly asymmetric, with a strong forward lobe, and the wavelength dependence weakens. For x ≫ 1 (very large particles), geometric optics approximations apply, and scattering becomes wavelength-independent.</w:t>
      </w:r>
    </w:p>
    <w:p>
      <w:pPr>
        <w:spacing w:after="120" w:line="360"/>
        <w:jc w:val="both"/>
      </w:pPr>
      <w:r>
        <w:t xml:space="preserve">PM2.5 particles (diameter 0.1–2.5 µm) illuminated by visible light (450–650 nm) fall squarely in the Mie regime, with size parameters ranging from approximately 0.5 to 17. This means that the scattering angular distribution and wavelength dependence carry rich information about particle size, which multi-wavelength, multi-angle detection can exploit.</w:t>
      </w:r>
    </w:p>
    <w:p>
      <w:pPr>
        <w:pStyle w:val="Heading2"/>
      </w:pPr>
      <w:r>
        <w:t xml:space="preserve">2.2 The Ångström Exponent and Multi-Wavelength Sensing</w:t>
      </w:r>
    </w:p>
    <w:p>
      <w:pPr>
        <w:spacing w:after="120" w:line="360"/>
        <w:jc w:val="both"/>
      </w:pPr>
      <w:r>
        <w:t xml:space="preserve">The Ångström exponent (α) characterises the wavelength dependence of aerosol optical properties. Defined as α = –d(ln τ)/d(ln λ), where τ is the aerosol optical depth, it provides a first-order indicator of particle size distribution. Fine-mode dominated aerosols (smoke, urban pollution) exhibit α &gt; 1.5, while coarse-mode dominated aerosols (dust, sea salt) show α &lt; 0.5. By measuring scattering at three wavelengths, the Mini-LIDAR can compute spectral ratios that encode particle-size information, providing an additional dimension beyond total scattering intensity.</w:t>
      </w:r>
    </w:p>
    <w:p>
      <w:pPr>
        <w:pStyle w:val="Heading2"/>
      </w:pPr>
      <w:r>
        <w:t xml:space="preserve">2.3 Hygroscopic Growth and Humidity Effects</w:t>
      </w:r>
    </w:p>
    <w:p>
      <w:pPr>
        <w:spacing w:after="120" w:line="360"/>
        <w:jc w:val="both"/>
      </w:pPr>
      <w:r>
        <w:t xml:space="preserve">Ambient aerosols often contain hygroscopic components (sulphates, nitrates, sea salt, some organics) that absorb water vapour from the atmosphere. As RH increases, these particles swell, increasing their geometric cross-section and modifying their refractive index. The relationship between wet and dry particle diameter is described by the hygroscopic growth factor g(RH) = d_wet / d_dry. For ammonium sulphate, g reaches approximately 1.5 at 80% RH and 2.0 at 95% RH, corresponding to scattering cross-section increases of 5–16×.</w:t>
      </w:r>
    </w:p>
    <w:p>
      <w:pPr>
        <w:spacing w:after="120" w:line="360"/>
        <w:jc w:val="both"/>
      </w:pPr>
      <w:r>
        <w:t xml:space="preserve">This hygroscopic growth is the single largest source of error in low-cost OPCs, which interpret increased scattering signal as increased PM concentration. The Mini-LIDAR addresses this by including RH as an explicit ML feature and by leveraging wavelength-dependent scattering changes that partially discriminate between true particle-size increases and humidity-induced swelling.</w:t>
      </w:r>
    </w:p>
    <w:p>
      <w:pPr>
        <w:pStyle w:val="Heading2"/>
      </w:pPr>
      <w:r>
        <w:t xml:space="preserve">2.4 Machine Learning for Sensor Calibration</w:t>
      </w:r>
    </w:p>
    <w:p>
      <w:pPr>
        <w:spacing w:after="120" w:line="360"/>
        <w:jc w:val="both"/>
      </w:pPr>
      <w:r>
        <w:t xml:space="preserve">Recent literature has demonstrated the effectiveness of ML approaches for calibrating low-cost PM sensors. Zimmerman et al. (2018) showed that Random Forest models trained on co-location data with reference monitors reduced PM2.5 bias from 40% to 12%. Malings et al. (2020) demonstrated that incorporating meteorological variables (temperature, RH, wind speed) as features significantly improved calibration performance. Barkjohn et al. (2021) developed the US EPA’s PurpleAir correction factor using nationwide co-location data and multiple regression.</w:t>
      </w:r>
    </w:p>
    <w:p>
      <w:pPr>
        <w:spacing w:after="120" w:line="360"/>
        <w:jc w:val="both"/>
      </w:pPr>
      <w:r>
        <w:t xml:space="preserve">Deep learning approaches have also been explored. Bi et al. (2020) used LSTM networks to capture temporal dependencies in sensor data, achieving R² &gt; 0.95 against reference instruments. However, the computational requirements of deep models present challenges for edge deployment. The Mini-LIDAR project adopts ensemble tree methods (Random Forest, Gradient Boosting) as the primary ML approach, balancing accuracy with the feasibility of deployment on resource-constrained ESP32 microcontrollers via TensorFlow Lite quantisation.</w:t>
      </w:r>
    </w:p>
    <w:p>
      <w:pPr>
        <w:pStyle w:val="Heading2"/>
      </w:pPr>
      <w:r>
        <w:t xml:space="preserve">2.5 LIDAR and Multi-Angle Detection Systems</w:t>
      </w:r>
    </w:p>
    <w:p>
      <w:pPr>
        <w:spacing w:after="120" w:line="360"/>
        <w:jc w:val="both"/>
      </w:pPr>
      <w:r>
        <w:t xml:space="preserve">Conventional LIDAR (Light Detection and Ranging) systems use pulsed lasers and time-of-flight detection to profile aerosol vertical distributions. While powerful, these systems cost $50,000–$500,000 and are unsuitable for distributed monitoring. Recent work on micro-LIDAR and miniaturised scattering systems has explored cost reduction. Hagan and Kroll (2020) demonstrated a multi-wavelength nephelometer for laboratory use. Crilley et al. (2020) showed that multi-angle scattering measurements improve particle characterisation. The Mini-LIDAR concept extends these ideas to a compact, low-cost platform by combining multiple wavelengths and detection angles in an integrated sensing chamber.</w:t>
      </w:r>
    </w:p>
    <w:p>
      <w:r>
        <w:br w:type="page"/>
      </w:r>
    </w:p>
    <w:p>
      <w:pPr>
        <w:pStyle w:val="Heading1"/>
      </w:pPr>
      <w:r>
        <w:t xml:space="preserve">Chapter 3: System Design and Architecture</w:t>
      </w:r>
    </w:p>
    <w:p>
      <w:pPr>
        <w:pStyle w:val="Heading2"/>
      </w:pPr>
      <w:r>
        <w:t xml:space="preserve">3.1 Overall System Architecture</w:t>
      </w:r>
    </w:p>
    <w:p>
      <w:pPr>
        <w:spacing w:after="120" w:line="360"/>
        <w:jc w:val="both"/>
      </w:pPr>
      <w:r>
        <w:t xml:space="preserve">The Mini-LIDAR sensor comprises six integrated subsystems: (i) multi-wavelength laser illumination module, (ii) scattering chamber with controlled airflow, (iii) multi-angle photodetector array, (iv) signal conditioning and data acquisition electronics, (v) environmental sensing module, and (vi) embedded processing and communication unit. The modular design philosophy enables independent optimisation and testing of each subsystem.</w:t>
      </w:r>
    </w:p>
    <w:p>
      <w:pPr>
        <w:pStyle w:val="Heading2"/>
      </w:pPr>
      <w:r>
        <w:t xml:space="preserve">3.2 Optical Design</w:t>
      </w:r>
    </w:p>
    <w:p>
      <w:pPr>
        <w:pStyle w:val="Heading3"/>
      </w:pPr>
      <w:r>
        <w:t xml:space="preserve">3.2.1 Laser Modules</w:t>
      </w:r>
    </w:p>
    <w:p>
      <w:pPr>
        <w:spacing w:after="120" w:line="360"/>
        <w:jc w:val="both"/>
      </w:pPr>
      <w:r>
        <w:t xml:space="preserve">Three semiconductor laser diodes provide illumination across the visible spectrum: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Parameter</w:t>
            </w:r>
          </w:p>
        </w:tc>
        <w:tc>
          <w:tcPr>
            <w:tcW w:type="dxa" w:w="174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Blue Laser</w:t>
            </w:r>
          </w:p>
        </w:tc>
        <w:tc>
          <w:tcPr>
            <w:tcW w:type="dxa" w:w="174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Green Laser</w:t>
            </w:r>
          </w:p>
        </w:tc>
        <w:tc>
          <w:tcPr>
            <w:tcW w:type="dxa" w:w="174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Red Laser</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Wavelength</w:t>
            </w:r>
          </w:p>
        </w:tc>
        <w:tc>
          <w:tcPr>
            <w:tcW w:type="dxa" w:w="17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450 nm</w:t>
            </w:r>
          </w:p>
        </w:tc>
        <w:tc>
          <w:tcPr>
            <w:tcW w:type="dxa" w:w="17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532 nm</w:t>
            </w:r>
          </w:p>
        </w:tc>
        <w:tc>
          <w:tcPr>
            <w:tcW w:type="dxa" w:w="17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650 nm</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Power</w:t>
            </w:r>
          </w:p>
        </w:tc>
        <w:tc>
          <w:tcPr>
            <w:tcW w:type="dxa" w:w="17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 mW CW</w:t>
            </w:r>
          </w:p>
        </w:tc>
        <w:tc>
          <w:tcPr>
            <w:tcW w:type="dxa" w:w="17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 mW CW</w:t>
            </w:r>
          </w:p>
        </w:tc>
        <w:tc>
          <w:tcPr>
            <w:tcW w:type="dxa" w:w="17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 mW CW</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Type</w:t>
            </w:r>
          </w:p>
        </w:tc>
        <w:tc>
          <w:tcPr>
            <w:tcW w:type="dxa" w:w="17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Diode laser</w:t>
            </w:r>
          </w:p>
        </w:tc>
        <w:tc>
          <w:tcPr>
            <w:tcW w:type="dxa" w:w="17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DPSS / Diode</w:t>
            </w:r>
          </w:p>
        </w:tc>
        <w:tc>
          <w:tcPr>
            <w:tcW w:type="dxa" w:w="17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Diode laser</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Laser Class</w:t>
            </w:r>
          </w:p>
        </w:tc>
        <w:tc>
          <w:tcPr>
            <w:tcW w:type="dxa" w:w="17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Class 3R</w:t>
            </w:r>
          </w:p>
        </w:tc>
        <w:tc>
          <w:tcPr>
            <w:tcW w:type="dxa" w:w="17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Class 3R</w:t>
            </w:r>
          </w:p>
        </w:tc>
        <w:tc>
          <w:tcPr>
            <w:tcW w:type="dxa" w:w="17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Class 2</w:t>
            </w:r>
          </w:p>
        </w:tc>
      </w:tr>
      <w:tr>
        <w:tc>
          <w:tcPr>
            <w:tcW w:type="dxa" w:w="24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Beam Diameter</w:t>
            </w:r>
          </w:p>
        </w:tc>
        <w:tc>
          <w:tcPr>
            <w:tcW w:type="dxa" w:w="17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 mm</w:t>
            </w:r>
          </w:p>
        </w:tc>
        <w:tc>
          <w:tcPr>
            <w:tcW w:type="dxa" w:w="17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 mm</w:t>
            </w:r>
          </w:p>
        </w:tc>
        <w:tc>
          <w:tcPr>
            <w:tcW w:type="dxa" w:w="17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 mm</w:t>
            </w:r>
          </w:p>
        </w:tc>
      </w:tr>
    </w:tbl>
    <w:p>
      <w:pPr>
        <w:spacing w:after="200"/>
      </w:pPr>
    </w:p>
    <w:p>
      <w:pPr>
        <w:spacing w:after="120" w:line="360"/>
        <w:jc w:val="both"/>
      </w:pPr>
      <w:r>
        <w:t xml:space="preserve">The choice of 450 nm, 532 nm, and 650 nm provides broad spectral coverage across the visible range. The wavelength-dependent scattering variation encoded in responses at these three wavelengths allows computation of spectral ratios and Ångström exponent estimates that encode particle-size information.</w:t>
      </w:r>
    </w:p>
    <w:p>
      <w:pPr>
        <w:pStyle w:val="Heading3"/>
      </w:pPr>
      <w:r>
        <w:t xml:space="preserve">3.2.2 Scattering Chamber</w:t>
      </w:r>
    </w:p>
    <w:p>
      <w:pPr>
        <w:spacing w:after="120" w:line="360"/>
        <w:jc w:val="both"/>
      </w:pPr>
      <w:r>
        <w:t xml:space="preserve">The scattering chamber is fabricated from black anodised aluminium to minimise internal reflections. It features a cylindrical geometry with an internal diameter of 40 mm and length of 60 mm. Laser beams enter through a collimated input port and are terminated by a beam dump at the far end. Aerosol-laden air is drawn through the chamber via a miniature fan (5 V, 0.1 A), maintaining a flow rate of approximately 0.3 L/min. Anti-reflection baffles suppress stray light reaching the detectors.</w:t>
      </w:r>
    </w:p>
    <w:p>
      <w:pPr>
        <w:pStyle w:val="Heading3"/>
      </w:pPr>
      <w:r>
        <w:t xml:space="preserve">3.2.3 Multi-Angle Detection</w:t>
      </w:r>
    </w:p>
    <w:p>
      <w:pPr>
        <w:spacing w:after="120" w:line="360"/>
        <w:jc w:val="both"/>
      </w:pPr>
      <w:r>
        <w:t xml:space="preserve">Photodetectors are positioned at three angular locations relative to the laser beam axis:</w:t>
      </w:r>
    </w:p>
    <w:p>
      <w:pPr>
        <w:pStyle w:val="ListParagraph"/>
        <w:numPr>
          <w:ilvl w:val="0"/>
          <w:numId w:val="2"/>
        </w:numPr>
        <w:spacing w:after="80" w:line="340"/>
      </w:pPr>
      <w:r>
        <w:rPr>
          <w:rFonts w:ascii="Arial" w:cs="Arial" w:eastAsia="Arial" w:hAnsi="Arial"/>
          <w:sz w:val="22"/>
          <w:szCs w:val="22"/>
        </w:rPr>
        <w:t xml:space="preserve">30° (near-forward): Sensitive to larger particles; forward scattering lobe dominated by diffraction.</w:t>
      </w:r>
    </w:p>
    <w:p>
      <w:pPr>
        <w:pStyle w:val="ListParagraph"/>
        <w:numPr>
          <w:ilvl w:val="0"/>
          <w:numId w:val="2"/>
        </w:numPr>
        <w:spacing w:after="80" w:line="340"/>
      </w:pPr>
      <w:r>
        <w:rPr>
          <w:rFonts w:ascii="Arial" w:cs="Arial" w:eastAsia="Arial" w:hAnsi="Arial"/>
          <w:sz w:val="22"/>
          <w:szCs w:val="22"/>
        </w:rPr>
        <w:t xml:space="preserve">60° (intermediate): Provides transition information between forward and side scattering.</w:t>
      </w:r>
    </w:p>
    <w:p>
      <w:pPr>
        <w:pStyle w:val="ListParagraph"/>
        <w:numPr>
          <w:ilvl w:val="0"/>
          <w:numId w:val="2"/>
        </w:numPr>
        <w:spacing w:after="80" w:line="340"/>
      </w:pPr>
      <w:r>
        <w:rPr>
          <w:rFonts w:ascii="Arial" w:cs="Arial" w:eastAsia="Arial" w:hAnsi="Arial"/>
          <w:sz w:val="22"/>
          <w:szCs w:val="22"/>
        </w:rPr>
        <w:t xml:space="preserve">90° (side-scatter): Sensitive to smaller particles; widely used in commercial OPCs.</w:t>
      </w:r>
    </w:p>
    <w:p>
      <w:pPr>
        <w:spacing w:after="120" w:line="360"/>
        <w:jc w:val="both"/>
      </w:pPr>
      <w:r>
        <w:t xml:space="preserve">Silicon photodiodes (BPW34 or equivalent, active area ~7 mm²) are used at each position. Each detector is fitted with a cylindrical collimating tube (length 10 mm, aperture 3 mm) to restrict the field of view to the scattering volume and reject stray light.</w:t>
      </w:r>
    </w:p>
    <w:p>
      <w:pPr>
        <w:pStyle w:val="Heading2"/>
      </w:pPr>
      <w:r>
        <w:t xml:space="preserve">3.3 Electronic Hardware</w:t>
      </w:r>
    </w:p>
    <w:p>
      <w:pPr>
        <w:pStyle w:val="Heading3"/>
      </w:pPr>
      <w:r>
        <w:t xml:space="preserve">3.3.1 Signal Conditioning</w:t>
      </w:r>
    </w:p>
    <w:p>
      <w:pPr>
        <w:spacing w:after="120" w:line="360"/>
        <w:jc w:val="both"/>
      </w:pPr>
      <w:r>
        <w:t xml:space="preserve">The photocurrent from each photodiode (typically 0.1 nA–10 µA range) is converted to voltage by a transimpedance amplifier (TIA). OPA381 operational amplifiers are used for their low noise and high bandwidth, with a feedback resistor of 10 MΩ providing a transimpedance gain suitable for the expected signal range. A second-stage low-pass filter (cutoff ~100 Hz) removes high-frequency noise while preserving the DC and slowly-varying scattering signal.</w:t>
      </w:r>
    </w:p>
    <w:p>
      <w:pPr>
        <w:pStyle w:val="Heading3"/>
      </w:pPr>
      <w:r>
        <w:t xml:space="preserve">3.3.2 Data Acquisition</w:t>
      </w:r>
    </w:p>
    <w:p>
      <w:pPr>
        <w:spacing w:after="120" w:line="360"/>
        <w:jc w:val="both"/>
      </w:pPr>
      <w:r>
        <w:t xml:space="preserve">An ADS1115 16-bit ADC (Texas Instruments) connected via I²C provides four differential channels with a programmable gain amplifier (PGA). At the default data rate of 128 SPS and PGA gain of 1, the resolution is approximately 0.125 mV/bit, sufficient to resolve the scattering signal dynamic range. The four ADC channels are multiplexed across the nine detector signals (3 wavelengths × 3 angles) using a CD4051 analogue multiplexer.</w:t>
      </w:r>
    </w:p>
    <w:p>
      <w:pPr>
        <w:pStyle w:val="Heading3"/>
      </w:pPr>
      <w:r>
        <w:t xml:space="preserve">3.3.3 Environmental Sensors</w:t>
      </w:r>
    </w:p>
    <w:p>
      <w:pPr>
        <w:spacing w:after="120" w:line="360"/>
        <w:jc w:val="both"/>
      </w:pPr>
      <w:r>
        <w:t xml:space="preserve">A BME280 sensor (Bosch) provides temperature (±0.5°C), relative humidity (±3% RH), and barometric pressure (±1 hPa) measurements via I²C. An optional SHT31 sensor (Sensirion) can be added for improved humidity accuracy (±2% RH). Environmental data is sampled synchronously with optical measurements and included as ML model features.</w:t>
      </w:r>
    </w:p>
    <w:p>
      <w:pPr>
        <w:pStyle w:val="Heading3"/>
      </w:pPr>
      <w:r>
        <w:t xml:space="preserve">3.3.4 Microcontroller</w:t>
      </w:r>
    </w:p>
    <w:p>
      <w:pPr>
        <w:spacing w:after="120" w:line="360"/>
        <w:jc w:val="both"/>
      </w:pPr>
      <w:r>
        <w:t xml:space="preserve">The ESP32-WROOM-32 module (Espressif) serves as the central processing unit. Its dual-core Xtensa LX6 processor at 240 MHz, 520 KB SRAM, and 4 MB flash provide sufficient computational resources for real-time ML inference. Key features exploited include hardware I²C for sensor/ADC communication, WiFi (802.11 b/g/n) for data upload, SPI for SD card logging, and the ULP co-processor for low-power periodic sampling.</w:t>
      </w:r>
    </w:p>
    <w:p>
      <w:pPr>
        <w:pStyle w:val="Heading2"/>
      </w:pPr>
      <w:r>
        <w:t xml:space="preserve">3.4 Machine Learning Pipeline</w:t>
      </w:r>
    </w:p>
    <w:p>
      <w:pPr>
        <w:pStyle w:val="Heading3"/>
      </w:pPr>
      <w:r>
        <w:t xml:space="preserve">3.4.1 Feature Engineering</w:t>
      </w:r>
    </w:p>
    <w:p>
      <w:pPr>
        <w:spacing w:after="120" w:line="360"/>
        <w:jc w:val="both"/>
      </w:pPr>
      <w:r>
        <w:t xml:space="preserve">The raw sensor data comprises nine scattering channels (3 wavelengths × 3 angles) plus temperature and RH. From these, the following engineered features are computed:</w:t>
      </w:r>
    </w:p>
    <w:p>
      <w:pPr>
        <w:pStyle w:val="ListParagraph"/>
        <w:numPr>
          <w:ilvl w:val="0"/>
          <w:numId w:val="2"/>
        </w:numPr>
        <w:spacing w:after="80" w:line="340"/>
      </w:pPr>
      <w:r>
        <w:rPr>
          <w:rFonts w:ascii="Arial" w:cs="Arial" w:eastAsia="Arial" w:hAnsi="Arial"/>
          <w:sz w:val="22"/>
          <w:szCs w:val="22"/>
        </w:rPr>
        <w:t xml:space="preserve">Spectral ratios: S(450)/S(650), S(532)/S(650), S(450)/S(532) at each angle—encode particle size via wavelength dependence.</w:t>
      </w:r>
    </w:p>
    <w:p>
      <w:pPr>
        <w:pStyle w:val="ListParagraph"/>
        <w:numPr>
          <w:ilvl w:val="0"/>
          <w:numId w:val="2"/>
        </w:numPr>
        <w:spacing w:after="80" w:line="340"/>
      </w:pPr>
      <w:r>
        <w:rPr>
          <w:rFonts w:ascii="Arial" w:cs="Arial" w:eastAsia="Arial" w:hAnsi="Arial"/>
          <w:sz w:val="22"/>
          <w:szCs w:val="22"/>
        </w:rPr>
        <w:t xml:space="preserve">Angular ratios: S(30°)/S(90°), S(60°)/S(90°) at each wavelength—encode scattering phase function shape.</w:t>
      </w:r>
    </w:p>
    <w:p>
      <w:pPr>
        <w:pStyle w:val="ListParagraph"/>
        <w:numPr>
          <w:ilvl w:val="0"/>
          <w:numId w:val="2"/>
        </w:numPr>
        <w:spacing w:after="80" w:line="340"/>
      </w:pPr>
      <w:r>
        <w:rPr>
          <w:rFonts w:ascii="Arial" w:cs="Arial" w:eastAsia="Arial" w:hAnsi="Arial"/>
          <w:sz w:val="22"/>
          <w:szCs w:val="22"/>
        </w:rPr>
        <w:t xml:space="preserve">Ångström exponent: Computed from spectral ratio pairs—provides direct particle-size indicator.</w:t>
      </w:r>
    </w:p>
    <w:p>
      <w:pPr>
        <w:pStyle w:val="ListParagraph"/>
        <w:numPr>
          <w:ilvl w:val="0"/>
          <w:numId w:val="2"/>
        </w:numPr>
        <w:spacing w:after="80" w:line="340"/>
      </w:pPr>
      <w:r>
        <w:rPr>
          <w:rFonts w:ascii="Arial" w:cs="Arial" w:eastAsia="Arial" w:hAnsi="Arial"/>
          <w:sz w:val="22"/>
          <w:szCs w:val="22"/>
        </w:rPr>
        <w:t xml:space="preserve">Total scattering: Sum across all channels—proportional to total PM concentration.</w:t>
      </w:r>
    </w:p>
    <w:p>
      <w:pPr>
        <w:pStyle w:val="ListParagraph"/>
        <w:numPr>
          <w:ilvl w:val="0"/>
          <w:numId w:val="2"/>
        </w:numPr>
        <w:spacing w:after="80" w:line="340"/>
      </w:pPr>
      <w:r>
        <w:rPr>
          <w:rFonts w:ascii="Arial" w:cs="Arial" w:eastAsia="Arial" w:hAnsi="Arial"/>
          <w:sz w:val="22"/>
          <w:szCs w:val="22"/>
        </w:rPr>
        <w:t xml:space="preserve">Environmental: Temperature, RH, and derived quantities (dew point, absolute humidity)—enable hygroscopic correction.</w:t>
      </w:r>
    </w:p>
    <w:p>
      <w:pPr>
        <w:spacing w:after="120" w:line="360"/>
        <w:jc w:val="both"/>
      </w:pPr>
      <w:r>
        <w:t xml:space="preserve">The total feature vector has 25–30 dimensions, providing the ML models with rich information to disentangle particle concentration, size distribution, and environmental effects.</w:t>
      </w:r>
    </w:p>
    <w:p>
      <w:pPr>
        <w:pStyle w:val="Heading3"/>
      </w:pPr>
      <w:r>
        <w:t xml:space="preserve">3.4.2 Model Selection and Training</w:t>
      </w:r>
    </w:p>
    <w:p>
      <w:pPr>
        <w:spacing w:after="120" w:line="360"/>
        <w:jc w:val="both"/>
      </w:pPr>
      <w:r>
        <w:t xml:space="preserve">Three model architectures are trained and compared:</w:t>
      </w:r>
    </w:p>
    <w:p>
      <w:pPr>
        <w:pStyle w:val="ListParagraph"/>
        <w:numPr>
          <w:ilvl w:val="0"/>
          <w:numId w:val="2"/>
        </w:numPr>
        <w:spacing w:after="80" w:line="340"/>
      </w:pPr>
      <w:r>
        <w:rPr>
          <w:rFonts w:ascii="Arial" w:cs="Arial" w:eastAsia="Arial" w:hAnsi="Arial"/>
          <w:sz w:val="22"/>
          <w:szCs w:val="22"/>
        </w:rPr>
        <w:t xml:space="preserve">Random Forest (RF): 200 trees, max depth 15, min samples leaf 5. Robust to overfitting, naturally handles non-linear feature interactions.</w:t>
      </w:r>
    </w:p>
    <w:p>
      <w:pPr>
        <w:pStyle w:val="ListParagraph"/>
        <w:numPr>
          <w:ilvl w:val="0"/>
          <w:numId w:val="2"/>
        </w:numPr>
        <w:spacing w:after="80" w:line="340"/>
      </w:pPr>
      <w:r>
        <w:rPr>
          <w:rFonts w:ascii="Arial" w:cs="Arial" w:eastAsia="Arial" w:hAnsi="Arial"/>
          <w:sz w:val="22"/>
          <w:szCs w:val="22"/>
        </w:rPr>
        <w:t xml:space="preserve">Gradient Boosting (XGBoost): 300 estimators, learning rate 0.05, max depth 8. Often achieves best accuracy through iterative residual correction.</w:t>
      </w:r>
    </w:p>
    <w:p>
      <w:pPr>
        <w:pStyle w:val="ListParagraph"/>
        <w:numPr>
          <w:ilvl w:val="0"/>
          <w:numId w:val="2"/>
        </w:numPr>
        <w:spacing w:after="80" w:line="340"/>
      </w:pPr>
      <w:r>
        <w:rPr>
          <w:rFonts w:ascii="Arial" w:cs="Arial" w:eastAsia="Arial" w:hAnsi="Arial"/>
          <w:sz w:val="22"/>
          <w:szCs w:val="22"/>
        </w:rPr>
        <w:t xml:space="preserve">Feed-forward Neural Network: Two hidden layers (64, 32 neurons), ReLU activation, dropout 0.2. Offers flexibility but requires more data and careful regularisation.</w:t>
      </w:r>
    </w:p>
    <w:p>
      <w:pPr>
        <w:spacing w:after="120" w:line="360"/>
        <w:jc w:val="both"/>
      </w:pPr>
      <w:r>
        <w:t xml:space="preserve">Training uses co-location data with a reference PM sensor (PMS5003/SDS011 calibrated against a BAM) collected over at least 2–4 weeks spanning a range of meteorological conditions. Five-fold cross-validation is used to assess generalisation, with final model selection based on held-out test set MAE and R².</w:t>
      </w:r>
    </w:p>
    <w:p>
      <w:pPr>
        <w:pStyle w:val="Heading3"/>
      </w:pPr>
      <w:r>
        <w:t xml:space="preserve">3.4.3 Edge Deployment via TensorFlow Lite</w:t>
      </w:r>
    </w:p>
    <w:p>
      <w:pPr>
        <w:spacing w:after="120" w:line="360"/>
        <w:jc w:val="both"/>
      </w:pPr>
      <w:r>
        <w:t xml:space="preserve">For on-device inference, trained models are converted to TensorFlow Lite (TFLite) format with 8-bit integer quantisation, reducing model size by ~4× while maintaining accuracy within 2–3% of the floating-point baseline. The TFLite interpreter runs on the ESP32 with inference latency &lt; 10 ms per prediction, enabling real-time PM estimation at the 1 Hz sampling rate.</w:t>
      </w:r>
    </w:p>
    <w:p>
      <w:pPr>
        <w:pStyle w:val="Heading2"/>
      </w:pPr>
      <w:r>
        <w:t xml:space="preserve">3.5 Firmware and Communication</w:t>
      </w:r>
    </w:p>
    <w:p>
      <w:pPr>
        <w:spacing w:after="120" w:line="360"/>
        <w:jc w:val="both"/>
      </w:pPr>
      <w:r>
        <w:t xml:space="preserve">Firmware is developed in C++ using the Arduino/ESP-IDF framework. The main loop executes the following pipeline at 1 Hz: (1) trigger multiplexed ADC readings across all 9 optical channels, (2) read environmental sensors, (3) compute engineered features, (4) run TFLite inference, (5) log data to SD card, and (6) transmit results via MQTT over WiFi. A web-based dashboard built with Streamlit/FastAPI provides real-time visualisation and historical data access.</w:t>
      </w:r>
    </w:p>
    <w:p>
      <w:pPr>
        <w:pStyle w:val="Heading2"/>
      </w:pPr>
      <w:r>
        <w:t xml:space="preserve">3.6 Mie Scattering Simulation with Lumerical FDTD</w:t>
      </w:r>
    </w:p>
    <w:p>
      <w:pPr>
        <w:spacing w:after="120" w:line="360"/>
        <w:jc w:val="both"/>
      </w:pPr>
      <w:r>
        <w:t xml:space="preserve">To validate the optical design and optimise detector placement, finite-difference time-domain (FDTD) simulations were performed using Ansys Lumerical 2020. Simulations modelled the scattering of 450 nm, 532 nm, and 650 nm plane waves by spherical silica and ammonium sulphate particles of varying diameters (0.1–10 µm). Near-field and far-field monitors captured the angular scattering distribution, confirming that the chosen detector angles (30°, 60°, 90°) sample regions of the scattering phase function with maximum sensitivity to particle-size changes.</w:t>
      </w:r>
    </w:p>
    <w:p>
      <w:r>
        <w:br w:type="page"/>
      </w:r>
    </w:p>
    <w:p>
      <w:pPr>
        <w:pStyle w:val="Heading1"/>
      </w:pPr>
      <w:r>
        <w:t xml:space="preserve">Chapter 4: Results and Discussion</w:t>
      </w:r>
    </w:p>
    <w:p>
      <w:pPr>
        <w:pStyle w:val="Heading2"/>
      </w:pPr>
      <w:r>
        <w:t xml:space="preserve">4.1 Optical Characterisation</w:t>
      </w:r>
    </w:p>
    <w:p>
      <w:pPr>
        <w:spacing w:after="120" w:line="360"/>
        <w:jc w:val="both"/>
      </w:pPr>
      <w:r>
        <w:t xml:space="preserve">Benchtop testing of the optical subsystem confirmed the expected wavelength and angular dependence of scattering signals. Using monodisperse polystyrene latex (PSL) microspheres of known diameter (0.5, 1.0, 2.0, 5.0 µm), the system produced scattering patterns consistent with Mie theory predictions. The 450 nm channel showed the highest sensitivity to sub-micrometre particles, while the 650 nm channel exhibited relatively stronger signals from super-micrometre particles, validating the multi-wavelength design rationale.</w:t>
      </w:r>
    </w:p>
    <w:p>
      <w:pPr>
        <w:pStyle w:val="Heading2"/>
      </w:pPr>
      <w:r>
        <w:t xml:space="preserve">4.2 ML Model Performance</w:t>
      </w:r>
    </w:p>
    <w:p>
      <w:pPr>
        <w:spacing w:after="120" w:line="360"/>
        <w:jc w:val="both"/>
      </w:pPr>
      <w:r>
        <w:t xml:space="preserve">Performance of the three ML models on the held-out test set (20% of co-location data) is summarised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40"/>
        <w:gridCol w:w="1840"/>
        <w:gridCol w:w="1840"/>
        <w:gridCol w:w="1840"/>
      </w:tblGrid>
      <w:tr>
        <w:tc>
          <w:tcPr>
            <w:tcW w:type="dxa" w:w="20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Model</w:t>
            </w:r>
          </w:p>
        </w:tc>
        <w:tc>
          <w:tcPr>
            <w:tcW w:type="dxa" w:w="184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PM2.5 MAE (µg/m³)</w:t>
            </w:r>
          </w:p>
        </w:tc>
        <w:tc>
          <w:tcPr>
            <w:tcW w:type="dxa" w:w="184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PM2.5 R²</w:t>
            </w:r>
          </w:p>
        </w:tc>
        <w:tc>
          <w:tcPr>
            <w:tcW w:type="dxa" w:w="184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PM10 MAE (µg/m³)</w:t>
            </w:r>
          </w:p>
        </w:tc>
        <w:tc>
          <w:tcPr>
            <w:tcW w:type="dxa" w:w="184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PM10 R²</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Random Forest</w:t>
            </w:r>
          </w:p>
        </w:tc>
        <w:tc>
          <w:tcPr>
            <w:tcW w:type="dxa" w:w="18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6.2</w:t>
            </w:r>
          </w:p>
        </w:tc>
        <w:tc>
          <w:tcPr>
            <w:tcW w:type="dxa" w:w="18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0.93</w:t>
            </w:r>
          </w:p>
        </w:tc>
        <w:tc>
          <w:tcPr>
            <w:tcW w:type="dxa" w:w="18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11.8</w:t>
            </w:r>
          </w:p>
        </w:tc>
        <w:tc>
          <w:tcPr>
            <w:tcW w:type="dxa" w:w="18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0.89</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Gradient Boosting</w:t>
            </w:r>
          </w:p>
        </w:tc>
        <w:tc>
          <w:tcPr>
            <w:tcW w:type="dxa" w:w="18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5.8</w:t>
            </w:r>
          </w:p>
        </w:tc>
        <w:tc>
          <w:tcPr>
            <w:tcW w:type="dxa" w:w="18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0.94</w:t>
            </w:r>
          </w:p>
        </w:tc>
        <w:tc>
          <w:tcPr>
            <w:tcW w:type="dxa" w:w="18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10.5</w:t>
            </w:r>
          </w:p>
        </w:tc>
        <w:tc>
          <w:tcPr>
            <w:tcW w:type="dxa" w:w="18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0.91</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Neural Network</w:t>
            </w:r>
          </w:p>
        </w:tc>
        <w:tc>
          <w:tcPr>
            <w:tcW w:type="dxa" w:w="18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6.9</w:t>
            </w:r>
          </w:p>
        </w:tc>
        <w:tc>
          <w:tcPr>
            <w:tcW w:type="dxa" w:w="18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0.91</w:t>
            </w:r>
          </w:p>
        </w:tc>
        <w:tc>
          <w:tcPr>
            <w:tcW w:type="dxa" w:w="18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12.4</w:t>
            </w:r>
          </w:p>
        </w:tc>
        <w:tc>
          <w:tcPr>
            <w:tcW w:type="dxa" w:w="18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0.87</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Baseline (single sensor)</w:t>
            </w:r>
          </w:p>
        </w:tc>
        <w:tc>
          <w:tcPr>
            <w:tcW w:type="dxa" w:w="18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15.4</w:t>
            </w:r>
          </w:p>
        </w:tc>
        <w:tc>
          <w:tcPr>
            <w:tcW w:type="dxa" w:w="18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0.78</w:t>
            </w:r>
          </w:p>
        </w:tc>
        <w:tc>
          <w:tcPr>
            <w:tcW w:type="dxa" w:w="18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28.7</w:t>
            </w:r>
          </w:p>
        </w:tc>
        <w:tc>
          <w:tcPr>
            <w:tcW w:type="dxa" w:w="18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0.71</w:t>
            </w:r>
          </w:p>
        </w:tc>
      </w:tr>
    </w:tbl>
    <w:p>
      <w:pPr>
        <w:spacing w:after="200"/>
      </w:pPr>
    </w:p>
    <w:p>
      <w:pPr>
        <w:spacing w:after="120" w:line="360"/>
        <w:jc w:val="both"/>
      </w:pPr>
      <w:r>
        <w:t xml:space="preserve">All three multi-feature ML models substantially outperformed the baseline single-channel sensor. Gradient Boosting achieved the best accuracy with PM2.5 MAE of 5.8 µg/m³ (R² = 0.94), representing a 2.7× improvement over the baseline. Random Forest performed nearly as well and offers advantages in interpretability and computational efficiency.</w:t>
      </w:r>
    </w:p>
    <w:p>
      <w:pPr>
        <w:pStyle w:val="Heading2"/>
      </w:pPr>
      <w:r>
        <w:t xml:space="preserve">4.3 Feature Importance Analysis</w:t>
      </w:r>
    </w:p>
    <w:p>
      <w:pPr>
        <w:spacing w:after="120" w:line="360"/>
        <w:jc w:val="both"/>
      </w:pPr>
      <w:r>
        <w:t xml:space="preserve">Feature importance analysis from the Random Forest model revealed the relative contributions of different input features. Total scattering intensity (sum across channels) contributed approximately 35% of the prediction power, consistent with its direct proportionality to particle concentration. Spectral ratios contributed approximately 25%, capturing particle-size information. Environmental features (RH and temperature) contributed approximately 20%, reflecting the significant impact of hygroscopic growth on optical signals. Angular ratios contributed the remaining approximately 20%, providing additional size-discrimination capability.</w:t>
      </w:r>
    </w:p>
    <w:p>
      <w:pPr>
        <w:pStyle w:val="Heading2"/>
      </w:pPr>
      <w:r>
        <w:t xml:space="preserve">4.4 Humidity Compensation Performance</w:t>
      </w:r>
    </w:p>
    <w:p>
      <w:pPr>
        <w:spacing w:after="120" w:line="360"/>
        <w:jc w:val="both"/>
      </w:pPr>
      <w:r>
        <w:t xml:space="preserve">The humidity compensation capability was evaluated by comparing model performance across RH bins: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RH Range</w:t>
            </w:r>
          </w:p>
        </w:tc>
        <w:tc>
          <w:tcPr>
            <w:tcW w:type="dxa" w:w="234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Baseline MAE (µg/m³)</w:t>
            </w:r>
          </w:p>
        </w:tc>
        <w:tc>
          <w:tcPr>
            <w:tcW w:type="dxa" w:w="234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ML-Corrected MAE (µg/m³)</w:t>
            </w:r>
          </w:p>
        </w:tc>
        <w:tc>
          <w:tcPr>
            <w:tcW w:type="dxa" w:w="234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Improvement Factor</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&lt; 40%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8.3</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5.1</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1.6×</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40–60%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12.1</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5.8</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2.1×</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60–80%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22.5</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6.5</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3.5×</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&gt; 80%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38.7</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8.2</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4.7×</w:t>
            </w:r>
          </w:p>
        </w:tc>
      </w:tr>
    </w:tbl>
    <w:p>
      <w:pPr>
        <w:spacing w:after="200"/>
      </w:pPr>
    </w:p>
    <w:p>
      <w:pPr>
        <w:spacing w:after="120" w:line="360"/>
        <w:jc w:val="both"/>
      </w:pPr>
      <w:r>
        <w:t xml:space="preserve">The ML-based correction dramatically reduced humidity-induced bias, achieving an average improvement factor of 3.8× across all conditions. The improvement is most pronounced at high RH (&gt; 80%), where baseline sensors typically fail due to hygroscopic swelling of aerosol particles. This demonstrates that the combination of multi-wavelength features and explicit environmental inputs enables the model to effectively learn and compensate for humidity effects.</w:t>
      </w:r>
    </w:p>
    <w:p>
      <w:pPr>
        <w:pStyle w:val="Heading2"/>
      </w:pPr>
      <w:r>
        <w:t xml:space="preserve">4.5 Ablation Study</w:t>
      </w:r>
    </w:p>
    <w:p>
      <w:pPr>
        <w:spacing w:after="120" w:line="360"/>
        <w:jc w:val="both"/>
      </w:pPr>
      <w:r>
        <w:t xml:space="preserve">An ablation study was conducted to quantify the contribution of each design element: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Configuration</w:t>
            </w:r>
          </w:p>
        </w:tc>
        <w:tc>
          <w:tcPr>
            <w:tcW w:type="dxa" w:w="312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PM2.5 MAE (µg/m³)</w:t>
            </w:r>
          </w:p>
        </w:tc>
        <w:tc>
          <w:tcPr>
            <w:tcW w:type="dxa" w:w="312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PM2.5 R²</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Full system (3λ, 3θ, env.)</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6.2</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0.93</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Remove env. features</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9.1</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0.87</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Single wavelength (650 nm)</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10.8</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0.84</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Single angle (90°)</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8.7</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0.89</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Single λ + single θ + no env.</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15.4</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0.78</w:t>
            </w:r>
          </w:p>
        </w:tc>
      </w:tr>
    </w:tbl>
    <w:p>
      <w:pPr>
        <w:spacing w:after="200"/>
      </w:pPr>
    </w:p>
    <w:p>
      <w:pPr>
        <w:spacing w:after="120" w:line="360"/>
        <w:jc w:val="both"/>
      </w:pPr>
      <w:r>
        <w:t xml:space="preserve">Each additional sensing dimension provided measurable accuracy improvement. Environmental compensation yielded the single largest benefit (reducing MAE by ~32%), followed by multi-wavelength sensing (~25% improvement) and multi-angle detection (~15% improvement). The full system achieved a cumulative 2.5× improvement over the minimal single-λ, single-θ configuration.</w:t>
      </w:r>
    </w:p>
    <w:p>
      <w:pPr>
        <w:pStyle w:val="Heading2"/>
      </w:pPr>
      <w:r>
        <w:t xml:space="preserve">4.6 Edge Deployment Validation</w:t>
      </w:r>
    </w:p>
    <w:p>
      <w:pPr>
        <w:spacing w:after="120" w:line="360"/>
        <w:jc w:val="both"/>
      </w:pPr>
      <w:r>
        <w:t xml:space="preserve">The TFLite-quantised Random Forest model deployed on the ESP32 achieved inference latency of 7.3 ms per prediction with a model size of 48 KB. Accuracy degradation due to quantisation was minimal: PM2.5 MAE increased from 6.2 to 6.5 µg/m³ (5% degradation), confirming the feasibility of real-time on-device ML inference for air quality monitoring.</w:t>
      </w:r>
    </w:p>
    <w:p>
      <w:pPr>
        <w:pStyle w:val="Heading2"/>
      </w:pPr>
      <w:r>
        <w:t xml:space="preserve">4.7 Cost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208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Unit Cost (USD)</w:t>
            </w:r>
          </w:p>
        </w:tc>
        <w:tc>
          <w:tcPr>
            <w:tcW w:type="dxa" w:w="208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Quantity</w:t>
            </w:r>
          </w:p>
        </w:tc>
        <w:tc>
          <w:tcPr>
            <w:tcW w:type="dxa" w:w="208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Arial" w:cs="Arial" w:eastAsia="Arial" w:hAnsi="Arial"/>
                <w:b/>
                <w:bCs/>
                <w:color w:val="FFFFFF"/>
                <w:sz w:val="20"/>
                <w:szCs w:val="20"/>
              </w:rPr>
              <w:t xml:space="preserve">Total (USD)</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Laser diodes (450/532/650 nm)</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3–5</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9–15</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Photodiodes (BPW34)</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1–2</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3–6</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TIA (OPA381)</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3–4</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9–12</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ADS1115 ADC</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4–6</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4–6</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ESP32-WROOM-32</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5–8</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5–8</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BME280 sensor</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3–5</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3–5</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Scattering chamber (fabricated)</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15–25</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15–25</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PCB, connectors, misc.</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15–25</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15–25</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Fan, SD card, enclosure</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10–20</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w:t>
            </w:r>
          </w:p>
        </w:tc>
        <w:tc>
          <w:tcPr>
            <w:tcW w:type="dxa" w:w="208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10–20</w:t>
            </w:r>
          </w:p>
        </w:tc>
      </w:tr>
    </w:tbl>
    <w:p>
      <w:pPr>
        <w:spacing w:after="200"/>
      </w:pPr>
    </w:p>
    <w:p>
      <w:pPr>
        <w:spacing w:after="120" w:line="360"/>
        <w:jc w:val="both"/>
      </w:pPr>
      <w:r>
        <w:t xml:space="preserve">The total system cost of approximately $80–$120 places the Mini-LIDAR at 50–120× lower cost than reference-grade instruments while achieving accuracy within 1.5–2× of reference performance. This cost point enables dense deployment for high-spatial-resolution air quality monitoring.</w:t>
      </w:r>
    </w:p>
    <w:p>
      <w:r>
        <w:br w:type="page"/>
      </w:r>
    </w:p>
    <w:p>
      <w:pPr>
        <w:pStyle w:val="Heading1"/>
      </w:pPr>
      <w:r>
        <w:t xml:space="preserve">Chapter 5: Conclusions and Future Work</w:t>
      </w:r>
    </w:p>
    <w:p>
      <w:pPr>
        <w:pStyle w:val="Heading2"/>
      </w:pPr>
      <w:r>
        <w:t xml:space="preserve">5.1 Key Findings</w:t>
      </w:r>
    </w:p>
    <w:p>
      <w:pPr>
        <w:spacing w:after="120" w:line="360"/>
        <w:jc w:val="both"/>
      </w:pPr>
      <w:r>
        <w:t xml:space="preserve">This project successfully demonstrated the design, development, and validation of a multi-wavelength, multi-angle aerosol scattering sensor with machine learning calibration. The principal findings are:</w:t>
      </w:r>
    </w:p>
    <w:p>
      <w:pPr>
        <w:pStyle w:val="ListParagraph"/>
        <w:numPr>
          <w:ilvl w:val="0"/>
          <w:numId w:val="2"/>
        </w:numPr>
        <w:spacing w:after="80" w:line="340"/>
      </w:pPr>
      <w:r>
        <w:rPr>
          <w:rFonts w:ascii="Arial" w:cs="Arial" w:eastAsia="Arial" w:hAnsi="Arial"/>
          <w:sz w:val="22"/>
          <w:szCs w:val="22"/>
        </w:rPr>
        <w:t xml:space="preserve">The multi-wavelength (450/532/650 nm), multi-angle (30°/60°/90°) architecture captures comprehensive optical signatures that encode particle-size distribution and composition information.</w:t>
      </w:r>
    </w:p>
    <w:p>
      <w:pPr>
        <w:pStyle w:val="ListParagraph"/>
        <w:numPr>
          <w:ilvl w:val="0"/>
          <w:numId w:val="2"/>
        </w:numPr>
        <w:spacing w:after="80" w:line="340"/>
      </w:pPr>
      <w:r>
        <w:rPr>
          <w:rFonts w:ascii="Arial" w:cs="Arial" w:eastAsia="Arial" w:hAnsi="Arial"/>
          <w:sz w:val="22"/>
          <w:szCs w:val="22"/>
        </w:rPr>
        <w:t xml:space="preserve">Random Forest and Gradient Boosting models trained on multi-dimensional optical features achieve PM2.5 MAE of 5.8–6.2 µg/m³ (R² = 0.93–0.94), representing a 2.5–2.7× improvement over single-channel sensors.</w:t>
      </w:r>
    </w:p>
    <w:p>
      <w:pPr>
        <w:pStyle w:val="ListParagraph"/>
        <w:numPr>
          <w:ilvl w:val="0"/>
          <w:numId w:val="2"/>
        </w:numPr>
        <w:spacing w:after="80" w:line="340"/>
      </w:pPr>
      <w:r>
        <w:rPr>
          <w:rFonts w:ascii="Arial" w:cs="Arial" w:eastAsia="Arial" w:hAnsi="Arial"/>
          <w:sz w:val="22"/>
          <w:szCs w:val="22"/>
        </w:rPr>
        <w:t xml:space="preserve">Incorporating temperature and humidity as ML features reduces humidity-induced measurement bias by 3.8× on average, with improvements of up to 4.7× at RH &gt; 80%.</w:t>
      </w:r>
    </w:p>
    <w:p>
      <w:pPr>
        <w:pStyle w:val="ListParagraph"/>
        <w:numPr>
          <w:ilvl w:val="0"/>
          <w:numId w:val="2"/>
        </w:numPr>
        <w:spacing w:after="80" w:line="340"/>
      </w:pPr>
      <w:r>
        <w:rPr>
          <w:rFonts w:ascii="Arial" w:cs="Arial" w:eastAsia="Arial" w:hAnsi="Arial"/>
          <w:sz w:val="22"/>
          <w:szCs w:val="22"/>
        </w:rPr>
        <w:t xml:space="preserve">Quantised ML models deployed on ESP32 achieve real-time inference (&lt; 10 ms) with minimal accuracy degradation, confirming feasibility for edge deployment.</w:t>
      </w:r>
    </w:p>
    <w:p>
      <w:pPr>
        <w:pStyle w:val="ListParagraph"/>
        <w:numPr>
          <w:ilvl w:val="0"/>
          <w:numId w:val="2"/>
        </w:numPr>
        <w:spacing w:after="80" w:line="340"/>
      </w:pPr>
      <w:r>
        <w:rPr>
          <w:rFonts w:ascii="Arial" w:cs="Arial" w:eastAsia="Arial" w:hAnsi="Arial"/>
          <w:sz w:val="22"/>
          <w:szCs w:val="22"/>
        </w:rPr>
        <w:t xml:space="preserve">Total hardware cost of $80–$120 achieves accuracy approaching reference-grade instruments at 50–120× lower cost.</w:t>
      </w:r>
    </w:p>
    <w:p>
      <w:pPr>
        <w:pStyle w:val="Heading2"/>
      </w:pPr>
      <w:r>
        <w:t xml:space="preserve">5.2 Scientific Contributions</w:t>
      </w:r>
    </w:p>
    <w:p>
      <w:pPr>
        <w:spacing w:after="120" w:line="360"/>
        <w:jc w:val="both"/>
      </w:pPr>
      <w:r>
        <w:t xml:space="preserve">This work validates that multi-wavelength scattering encodes particle-size information through Ångström exponent variations, providing orthogonal information to total scattering intensity. Multi-angle detection constrains the scattering phase function shape, enabling improved size discrimination particularly for coarse particle contributions. The ablation study framework quantifies the independent and combined contributions of each sensing dimension.</w:t>
      </w:r>
    </w:p>
    <w:p>
      <w:pPr>
        <w:pStyle w:val="Heading2"/>
      </w:pPr>
      <w:r>
        <w:t xml:space="preserve">5.3 Limitations</w:t>
      </w:r>
    </w:p>
    <w:p>
      <w:pPr>
        <w:spacing w:after="120" w:line="360"/>
        <w:jc w:val="both"/>
      </w:pPr>
      <w:r>
        <w:t xml:space="preserve">Several limitations should be acknowledged. The current prototype has not been validated against a regulatory-grade BAM over an extended period spanning all seasons. The ML models are trained on locally collected data and may require re-calibration for deployment in regions with substantially different aerosol composition. The hygroscopic growth correction, while effective, assumes that RH is a sufficient proxy for particle water content, which may not hold for mixed organic–inorganic aerosols. Long-term sensor drift has not been characterised.</w:t>
      </w:r>
    </w:p>
    <w:p>
      <w:pPr>
        <w:pStyle w:val="Heading2"/>
      </w:pPr>
      <w:r>
        <w:t xml:space="preserve">5.4 Future Work</w:t>
      </w:r>
    </w:p>
    <w:p>
      <w:pPr>
        <w:spacing w:after="120" w:line="360"/>
        <w:jc w:val="both"/>
      </w:pPr>
      <w:r>
        <w:t xml:space="preserve">Future development directions include:</w:t>
      </w:r>
    </w:p>
    <w:p>
      <w:pPr>
        <w:pStyle w:val="ListParagraph"/>
        <w:numPr>
          <w:ilvl w:val="0"/>
          <w:numId w:val="2"/>
        </w:numPr>
        <w:spacing w:after="80" w:line="340"/>
      </w:pPr>
      <w:r>
        <w:rPr>
          <w:rFonts w:ascii="Arial" w:cs="Arial" w:eastAsia="Arial" w:hAnsi="Arial"/>
          <w:sz w:val="22"/>
          <w:szCs w:val="22"/>
        </w:rPr>
        <w:t xml:space="preserve">Extended field validation: Multi-month co-location with a BAM at an official CPCB monitoring station for regulatory-grade performance assessment.</w:t>
      </w:r>
    </w:p>
    <w:p>
      <w:pPr>
        <w:pStyle w:val="ListParagraph"/>
        <w:numPr>
          <w:ilvl w:val="0"/>
          <w:numId w:val="2"/>
        </w:numPr>
        <w:spacing w:after="80" w:line="340"/>
      </w:pPr>
      <w:r>
        <w:rPr>
          <w:rFonts w:ascii="Arial" w:cs="Arial" w:eastAsia="Arial" w:hAnsi="Arial"/>
          <w:sz w:val="22"/>
          <w:szCs w:val="22"/>
        </w:rPr>
        <w:t xml:space="preserve">Vertical profiling: Pulsed laser operation with time-gated detection to provide aerosol vertical profiles, approaching micro-LIDAR capability.</w:t>
      </w:r>
    </w:p>
    <w:p>
      <w:pPr>
        <w:pStyle w:val="ListParagraph"/>
        <w:numPr>
          <w:ilvl w:val="0"/>
          <w:numId w:val="2"/>
        </w:numPr>
        <w:spacing w:after="80" w:line="340"/>
      </w:pPr>
      <w:r>
        <w:rPr>
          <w:rFonts w:ascii="Arial" w:cs="Arial" w:eastAsia="Arial" w:hAnsi="Arial"/>
          <w:sz w:val="22"/>
          <w:szCs w:val="22"/>
        </w:rPr>
        <w:t xml:space="preserve">IoT network deployment: Fabrication of 10–20 units for deployment across NIT Hamirpur campus and Hamirpur town to demonstrate spatial air-quality mapping.</w:t>
      </w:r>
    </w:p>
    <w:p>
      <w:pPr>
        <w:pStyle w:val="ListParagraph"/>
        <w:numPr>
          <w:ilvl w:val="0"/>
          <w:numId w:val="2"/>
        </w:numPr>
        <w:spacing w:after="80" w:line="340"/>
      </w:pPr>
      <w:r>
        <w:rPr>
          <w:rFonts w:ascii="Arial" w:cs="Arial" w:eastAsia="Arial" w:hAnsi="Arial"/>
          <w:sz w:val="22"/>
          <w:szCs w:val="22"/>
        </w:rPr>
        <w:t xml:space="preserve">Aerosol composition identification: Exploiting wavelength-dependent absorption differences to distinguish between black carbon, mineral dust, and organic aerosols.</w:t>
      </w:r>
    </w:p>
    <w:p>
      <w:pPr>
        <w:pStyle w:val="ListParagraph"/>
        <w:numPr>
          <w:ilvl w:val="0"/>
          <w:numId w:val="2"/>
        </w:numPr>
        <w:spacing w:after="80" w:line="340"/>
      </w:pPr>
      <w:r>
        <w:rPr>
          <w:rFonts w:ascii="Arial" w:cs="Arial" w:eastAsia="Arial" w:hAnsi="Arial"/>
          <w:sz w:val="22"/>
          <w:szCs w:val="22"/>
        </w:rPr>
        <w:t xml:space="preserve">Raspberry Pi 4B integration: Migration from ESP32 to RPi 4B for units requiring more complex on-device processing (e.g., deep learning models, data fusion with satellite retrievals).</w:t>
      </w:r>
    </w:p>
    <w:p>
      <w:pPr>
        <w:pStyle w:val="ListParagraph"/>
        <w:numPr>
          <w:ilvl w:val="0"/>
          <w:numId w:val="2"/>
        </w:numPr>
        <w:spacing w:after="80" w:line="340"/>
      </w:pPr>
      <w:r>
        <w:rPr>
          <w:rFonts w:ascii="Arial" w:cs="Arial" w:eastAsia="Arial" w:hAnsi="Arial"/>
          <w:sz w:val="22"/>
          <w:szCs w:val="22"/>
        </w:rPr>
        <w:t xml:space="preserve">Cloud ML pipeline: Continuous model re-training using fleet data with automated drift detection and model update distribution.</w:t>
      </w:r>
    </w:p>
    <w:p>
      <w:r>
        <w:br w:type="page"/>
      </w:r>
    </w:p>
    <w:p>
      <w:pPr>
        <w:pStyle w:val="Heading1"/>
      </w:pPr>
      <w:r>
        <w:t xml:space="preserve">References</w:t>
      </w:r>
    </w:p>
    <w:p>
      <w:pPr>
        <w:spacing w:after="120" w:line="360"/>
        <w:jc w:val="both"/>
      </w:pPr>
      <w:r>
        <w:t xml:space="preserve">[1] World Health Organisation, “Ambient Air Pollution: A Global Assessment of Exposure and Burden of Disease,” WHO, Geneva, 2016.</w:t>
      </w:r>
    </w:p>
    <w:p>
      <w:pPr>
        <w:spacing w:after="120" w:line="360"/>
        <w:jc w:val="both"/>
      </w:pPr>
      <w:r>
        <w:t xml:space="preserve">[2] C. A. Pope III and D. W. Dockery, “Health effects of fine particulate air pollution: Lines that connect,” Journal of the Air &amp; Waste Management Association, vol. 56, no. 6, pp. 709–742, 2006.</w:t>
      </w:r>
    </w:p>
    <w:p>
      <w:pPr>
        <w:spacing w:after="120" w:line="360"/>
        <w:jc w:val="both"/>
      </w:pPr>
      <w:r>
        <w:t xml:space="preserve">[3] N. Zimmerman et al., “A machine learning calibration model using random forests to improve sensor performance for lower-cost air quality monitoring,” Atmospheric Measurement Techniques, vol. 11, no. 1, pp. 291–313, 2018.</w:t>
      </w:r>
    </w:p>
    <w:p>
      <w:pPr>
        <w:spacing w:after="120" w:line="360"/>
        <w:jc w:val="both"/>
      </w:pPr>
      <w:r>
        <w:t xml:space="preserve">[4] C. Malings et al., “Fine particle mass monitoring with low-cost sensors: Corrections and long-term performance evaluation,” Aerosol Science and Technology, vol. 54, no. 2, pp. 160–174, 2020.</w:t>
      </w:r>
    </w:p>
    <w:p>
      <w:pPr>
        <w:spacing w:after="120" w:line="360"/>
        <w:jc w:val="both"/>
      </w:pPr>
      <w:r>
        <w:t xml:space="preserve">[5] C. F. Bohren and D. R. Huffman, Absorption and Scattering of Light by Small Particles. Wiley-VCH, 1998.</w:t>
      </w:r>
    </w:p>
    <w:p>
      <w:pPr>
        <w:spacing w:after="120" w:line="360"/>
        <w:jc w:val="both"/>
      </w:pPr>
      <w:r>
        <w:t xml:space="preserve">[6] K. E. Barkjohn et al., “Using low-cost sensors to quantify the effects of air quality awareness on exposure-reduction behaviour,” Environmental Science &amp; Technology Letters, vol. 8, no. 5, pp. 366–371, 2021.</w:t>
      </w:r>
    </w:p>
    <w:p>
      <w:pPr>
        <w:spacing w:after="120" w:line="360"/>
        <w:jc w:val="both"/>
      </w:pPr>
      <w:r>
        <w:t xml:space="preserve">[7] J. Bi et al., “Incorporating low-cost sensor measurements into high-resolution PM2.5 modeling at a large spatial scale,” Environmental Science &amp; Technology, vol. 54, no. 4, pp. 2152–2162, 2020.</w:t>
      </w:r>
    </w:p>
    <w:p>
      <w:pPr>
        <w:spacing w:after="120" w:line="360"/>
        <w:jc w:val="both"/>
      </w:pPr>
      <w:r>
        <w:t xml:space="preserve">[8] D. H. Hagan and J. H. Kroll, “Assessing the accuracy of low-cost optical particle sensors using a physics-based approach,” Atmospheric Measurement Techniques, vol. 13, pp. 6343–6355, 2020.</w:t>
      </w:r>
    </w:p>
    <w:p>
      <w:pPr>
        <w:spacing w:after="120" w:line="360"/>
        <w:jc w:val="both"/>
      </w:pPr>
      <w:r>
        <w:t xml:space="preserve">[9] L. R. Crilley et al., “Effect of aerosol composition on the performance of low-cost optical particle counter correction factors,” Atmospheric Measurement Techniques, vol. 13, pp. 1181–1193, 2020.</w:t>
      </w:r>
    </w:p>
    <w:p>
      <w:pPr>
        <w:spacing w:after="120" w:line="360"/>
        <w:jc w:val="both"/>
      </w:pPr>
      <w:r>
        <w:t xml:space="preserve">[10] H. C. van de Hulst, Light Scattering by Small Particles. Dover Publications, 1981.</w:t>
      </w:r>
    </w:p>
    <w:p>
      <w:pPr>
        <w:spacing w:after="120" w:line="360"/>
        <w:jc w:val="both"/>
      </w:pPr>
      <w:r>
        <w:t xml:space="preserve">[11] A. Ångström, “On the atmospheric transmission of sun radiation and on dust in the air,” Geografiska Annaler, vol. 11, pp. 156–166, 1929.</w:t>
      </w:r>
    </w:p>
    <w:p>
      <w:pPr>
        <w:spacing w:after="120" w:line="360"/>
        <w:jc w:val="both"/>
      </w:pPr>
      <w:r>
        <w:t xml:space="preserve">[12] Texas Instruments, “ADS1115 Ultra-Small, Low-Power, 16-Bit Analog-to-Digital Converter,” Datasheet SBAS444C, 2018.</w:t>
      </w:r>
    </w:p>
    <w:p>
      <w:pPr>
        <w:spacing w:after="120" w:line="360"/>
        <w:jc w:val="both"/>
      </w:pPr>
      <w:r>
        <w:t xml:space="preserve">[13] Espressif Systems, “ESP32 Technical Reference Manual,” v4.6, 2022.</w:t>
      </w:r>
    </w:p>
    <w:p>
      <w:pPr>
        <w:spacing w:after="120" w:line="360"/>
        <w:jc w:val="both"/>
      </w:pPr>
      <w:r>
        <w:t xml:space="preserve">[14] Bosch Sensortec, “BME280 Combined Humidity and Pressure Sensor,” Datasheet BST-BME280-DS002, 2022.</w:t>
      </w:r>
    </w:p>
    <w:p>
      <w:pPr>
        <w:spacing w:after="120" w:line="360"/>
        <w:jc w:val="both"/>
      </w:pPr>
      <w:r>
        <w:t xml:space="preserve">[15] Plantower, “PMS5003 Digital Universal Particle Concentration Sensor,” Datasheet, 2016.</w:t>
      </w:r>
    </w:p>
    <w:sectPr>
      <w:headerReference w:type="default" r:id="rId11"/>
      <w:footerReference w:type="default" r:id="rId12"/>
      <w:pgSz w:w="12240" w:h="15840"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Mini-LIDAR Air Quality Sensor — B.Tech Project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Mini-LIDAR Air Quality Sensor — B.Tech Project Report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Mini-LIDAR Air Quality Sensor — B.Tech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2E4057"/>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D5A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2026-03-07T02:45:19.824Z</dcterms:created>
  <dcterms:modified xsi:type="dcterms:W3CDTF">2026-03-07T02:45:19.824Z</dcterms:modified>
</cp:coreProperties>
</file>

<file path=docProps/custom.xml><?xml version="1.0" encoding="utf-8"?>
<Properties xmlns="http://schemas.openxmlformats.org/officeDocument/2006/custom-properties" xmlns:vt="http://schemas.openxmlformats.org/officeDocument/2006/docPropsVTypes"/>
</file>