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t xml:space="preserve"/>
      </w:r>
    </w:p>
    <w:p>
      <w:pPr>
        <w:spacing w:after="0"/>
        <w:jc w:val="left"/>
      </w:pPr>
      <w:r>
        <w:rPr>
          <w:b/>
          <w:bCs/>
          <w:color w:val="2E75B6"/>
          <w:sz w:val="28"/>
          <w:szCs w:val="28"/>
        </w:rPr>
        <w:t xml:space="preserve">BankSphere 360</w:t>
      </w:r>
    </w:p>
    <w:p>
      <w:pPr>
        <w:pStyle w:val="Title"/>
      </w:pPr>
      <w:r>
        <w:t xml:space="preserve">System Specification &amp; Requirements (SSRD)</w:t>
      </w:r>
    </w:p>
    <w:p>
      <w:pPr>
        <w:spacing w:after="400"/>
      </w:pPr>
      <w:r>
        <w:rPr>
          <w:color w:val="555555"/>
          <w:sz w:val="26"/>
          <w:szCs w:val="26"/>
        </w:rPr>
        <w:t xml:space="preserve">Functional &amp;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Document ID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BS360-SSRD-001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BankSphere 360 — Retail &amp; SME Banking Performance Analytics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Microsoft Power BI (Desktop + Service)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Power BI Developer (Anshul)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June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 w:line="276"/>
      </w:pPr>
      <w:r>
        <w:t xml:space="preserve">This System Specification &amp; Requirements Document (SSRD) defines the functional and non-functional requirements for the BankSphere 360 Power BI solution. It is the contract between business stakeholders and the development team and is the baseline against which UAT is performed.</w:t>
      </w:r>
    </w:p>
    <w:p>
      <w:pPr>
        <w:pStyle w:val="Heading2"/>
      </w:pPr>
      <w:r>
        <w:t xml:space="preserve">1.2 Intended audience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stakeholders (CXO, Risk, Compliance) for sign-off.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Power BI developer for implementation.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QA / UAT testers for acceptance.</w:t>
      </w:r>
    </w:p>
    <w:p>
      <w:pPr>
        <w:pStyle w:val="Heading2"/>
      </w:pPr>
      <w:r>
        <w:t xml:space="preserve">1.3 References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Summary v1.0; Low-Level Design v1.0; UAT Plan v1.0.</w:t>
      </w:r>
    </w:p>
    <w:p>
      <w:pPr>
        <w:pStyle w:val="Heading1"/>
      </w:pPr>
      <w:r>
        <w:t xml:space="preserve">2. Overall Description</w:t>
      </w:r>
    </w:p>
    <w:p>
      <w:pPr>
        <w:pStyle w:val="Heading2"/>
      </w:pPr>
      <w:r>
        <w:t xml:space="preserve">2.1 Product perspective</w:t>
      </w:r>
    </w:p>
    <w:p>
      <w:pPr>
        <w:spacing w:after="120" w:line="276"/>
      </w:pPr>
      <w:r>
        <w:t xml:space="preserve">BankSphere 360 is a standalone Power BI semantic model and report set. It reads from existing operational systems read-only and produces no write-back. It is delivered as a published dataset plus three reports in a governed workspace.</w:t>
      </w:r>
    </w:p>
    <w:p>
      <w:pPr>
        <w:pStyle w:val="Heading2"/>
      </w:pPr>
      <w:r>
        <w:t xml:space="preserve">2.2 Assumptions &amp;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data is available as a daily warehouse export (CSV/SQL).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on-premises data gateway is installed for scheduled refresh.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 authenticate via the organisation's Azure AD / Entra ID.</w:t>
      </w:r>
    </w:p>
    <w:p>
      <w:pPr>
        <w:pStyle w:val="Heading1"/>
      </w:pPr>
      <w:r>
        <w:t xml:space="preserve">3. Data Source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2400"/>
        <w:gridCol w:w="1500"/>
        <w:gridCol w:w="176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Refresh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DS-1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Core banking warehouse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SQL Server (CSV here)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Import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Daily 06:00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DS-2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Customer master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ERP export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Import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DS-3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KYC exceptions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Excel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Import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DS-4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FX rates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REST API (optional)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Import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Daily</w:t>
            </w:r>
          </w:p>
        </w:tc>
      </w:tr>
    </w:tbl>
    <w:p>
      <w:pPr>
        <w:pStyle w:val="Heading1"/>
      </w:pPr>
      <w:r>
        <w:t xml:space="preserve">4. Functional Requirements</w:t>
      </w:r>
    </w:p>
    <w:p>
      <w:pPr>
        <w:pStyle w:val="Heading2"/>
      </w:pPr>
      <w:r>
        <w:t xml:space="preserve">4.1 Data &amp;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FR-01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Ingest 8 source tables and validate row counts vs source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FR-02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Cleanse: type all columns, remove duplicate customers, handle nulls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FR-03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Build star schema with conformed Date/Customer/Product/Branch dims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FR-04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Mark DimDate as the date table for time intelligence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FR-05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Preserve query folding on foldable source steps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</w:pPr>
      <w:r>
        <w:t xml:space="preserve">4.2 Measures &amp;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FR-06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Implement 8 headline KPIs as DAX measures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FR-07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Provide YTD, MoM and YoY variants for value metrics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FR-08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ratios use DIVIDE for safe division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FR-09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Provide branch ranking by transaction value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</w:pPr>
      <w:r>
        <w:t xml:space="preserve">4.3 Reports &amp; 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FR-10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Executive Overview page with KPI cards, trend, region map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FR-11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Loan &amp; Risk page with NPA%, DPD buckets, NPA trend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FR-12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Customer &amp; Channel page with channel mix, segment, fraud value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FR-13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Slicers: Year, Region, Segment; sync across pages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FR-14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Drillthrough to branch detail; bookmarks for guided story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FR-15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Scorecard: actual vs target with conditional formatting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</w:pPr>
      <w:r>
        <w:t xml:space="preserve">4.4 Security &amp; governance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FR-16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Dynamic RLS: branch head sees only their region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FR-17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Risk &amp; Compliance roles see full data, read-only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FR-18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Dataset endorsed as Certified; measures documented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1"/>
      </w:pPr>
      <w:r>
        <w:t xml:space="preserve">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NFR-01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Each report page renders in under 5 seconds on first load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NFR-02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Scalability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Model supports 10x current row volume via star schema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NFR-03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Scheduled refresh success rate &gt; 99%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NFR-04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RLS enforced; no PII beyond what role permits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NFR-05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Usability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Consistent theme, tooltips, accessible color contrast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NFR-06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Measures named and described; .pbix version-controlled</w:t>
            </w:r>
          </w:p>
        </w:tc>
      </w:tr>
    </w:tbl>
    <w:p>
      <w:pPr>
        <w:pStyle w:val="Heading1"/>
      </w:pPr>
      <w:r>
        <w:t xml:space="preserve">6. Data Dictionary (selected)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760"/>
        <w:gridCol w:w="230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Grain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DimDate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DateKey, Date, Month, Quarter, Year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row per day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DimCustomer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CustomerID, Segment, KYCStatus, City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row per customer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DimProduct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ProductID, ProductCategory, Segment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row per product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DimBranch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BranchID, Region, State, City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row per branch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FactAccounts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AccountID, Balance, Status, FKs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row per account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FactTransactions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TransactionID, Amount, Channel, IsFraudFlag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row per txn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FactLoans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LoanID, OutstandingAmount, DPD, NPAFlag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row per loan</w:t>
            </w:r>
          </w:p>
        </w:tc>
      </w:tr>
    </w:tbl>
    <w:p>
      <w:pPr>
        <w:pStyle w:val="Heading1"/>
      </w:pPr>
      <w:r>
        <w:t xml:space="preserve">7. Acceptance Criteria (links to UAT)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Must requirements implemented and demonstrated.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KPI values reconcile to source control totals within tolerance.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RLS verified for each role using View-as.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Scheduled refresh runs successfully end-to-end.</w:t>
      </w:r>
    </w:p>
    <w:p>
      <w:pPr>
        <w:pStyle w:val="Heading1"/>
      </w:pPr>
      <w:r>
        <w:t xml:space="preserve">8.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15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Business Sponsor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Risk Owner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Developer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color w:val="888888"/>
        <w:sz w:val="16"/>
        <w:szCs w:val="16"/>
      </w:rPr>
      <w:t xml:space="preserve">Confidential — for training/portfolio use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color w:val="888888"/>
        <w:sz w:val="16"/>
        <w:szCs w:val="16"/>
      </w:rPr>
      <w:t xml:space="preserve">BankSphere 360  |  System Specification &amp; Requirements (SSRD)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240"/>
    </w:pPr>
    <w:rPr>
      <w:rFonts w:ascii="Arial" w:cs="Arial" w:eastAsia="Arial" w:hAnsi="Arial"/>
      <w:b/>
      <w:bCs/>
      <w:color w:val="1F3864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2026-06-02T09:58:44.441Z</dcterms:created>
  <dcterms:modified xsi:type="dcterms:W3CDTF">2026-06-02T09:58:44.441Z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