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0"/>
        <w:jc w:val="left"/>
      </w:pPr>
      <w:r>
        <w:rPr>
          <w:b/>
          <w:bCs/>
          <w:color w:val="2E75B6"/>
          <w:sz w:val="28"/>
          <w:szCs w:val="28"/>
        </w:rPr>
        <w:t xml:space="preserve">BankSphere 360</w:t>
      </w:r>
    </w:p>
    <w:p>
      <w:pPr>
        <w:pStyle w:val="Title"/>
      </w:pPr>
      <w:r>
        <w:t xml:space="preserve">Low-Level Design (LLD)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Technical build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BS360-LLD-001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BankSphere 360 — Retail &amp; SME Banking Performance Analytics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Power BI (Desktop + Service)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 Developer (Anshul)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t xml:space="preserve">This Low-Level Design (LLD) describes how BankSphere 360 is built inside Power BI: source connections, Power Query transformations, the data model, DAX measures, report design, security and deployment. It is the technical companion to the SSRD.</w:t>
      </w:r>
    </w:p>
    <w:p>
      <w:pPr>
        <w:pStyle w:val="Heading1"/>
      </w:pPr>
      <w:r>
        <w:t xml:space="preserve">2. Solution Architecture</w:t>
      </w:r>
    </w:p>
    <w:p>
      <w:pPr>
        <w:spacing w:after="120" w:line="276"/>
      </w:pPr>
      <w:r>
        <w:t xml:space="preserve">Layered flow: Sources → Power Query (ETL) → Star-schema model (VertiPaq) → DAX measures → Report pages → Power BI Service (RLS, refresh, pipelines).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Query / connectors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Connect, clean, type, fold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Storage/Model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VertiPaq in-memory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 schema, relationships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Calculation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KPIs, time intelligence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 visuals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report pages, slicers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 Service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RLS, refresh, deployment pipelines</w:t>
            </w:r>
          </w:p>
        </w:tc>
      </w:tr>
    </w:tbl>
    <w:p>
      <w:pPr>
        <w:pStyle w:val="Heading1"/>
      </w:pPr>
      <w:r>
        <w:t xml:space="preserve">3. Source-to-Target &amp; Power Query Design</w:t>
      </w:r>
    </w:p>
    <w:p>
      <w:pPr>
        <w:pStyle w:val="Heading2"/>
      </w:pPr>
      <w:r>
        <w:t xml:space="preserve">3.1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sources loaded in Import mode (volumes are model-friendly).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Staging queries (raw) have Load disabled; cleaned queries feed the model.</w:t>
      </w:r>
    </w:p>
    <w:p>
      <w:pPr>
        <w:pStyle w:val="Heading2"/>
      </w:pPr>
      <w:r>
        <w:t xml:space="preserve">3.2 Transformation steps (per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Steps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DimCustomer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Promote headers; type columns; Trim/Proper City; Remove duplicate CustomerID; add nothing to model keys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DimProduct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columns; add LoanFlag conditional column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columns; replace null InterestRate with 0; add AbsBalance = Number.Abs([Balance])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FactTransactions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DateKey as Int64; type Amount decimal; keep needed columns only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FactLoans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columns; derive Status validation; keep NPAFlag/DPD</w:t>
            </w:r>
          </w:p>
        </w:tc>
      </w:tr>
    </w:tbl>
    <w:p>
      <w:pPr>
        <w:pStyle w:val="Heading2"/>
      </w:pPr>
      <w:r>
        <w:t xml:space="preserve">3.3 Data quality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 profiling enabled (quality + distribution) to spot nulls/outliers.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Row-count reconciliation: model totals compared to source export totals.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 data types set as the first transformation to protect downstream logic.</w:t>
      </w:r>
    </w:p>
    <w:p>
      <w:pPr>
        <w:pStyle w:val="Heading1"/>
      </w:pPr>
      <w:r>
        <w:t xml:space="preserve">4. Data Model Design</w:t>
      </w:r>
    </w:p>
    <w:p>
      <w:pPr>
        <w:pStyle w:val="Heading2"/>
      </w:pPr>
      <w:r>
        <w:t xml:space="preserve">4.1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(1)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 (many)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Cross-filter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DimDate[DateKey]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FactTransactions[DateKey] (active)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DimDate[DateKey]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FactAccounts[OpenDateKey] (active)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DimDate[DateKey]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FactLoans[SanctionDateKey] (active)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DimCustomer[CustomerID]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FactAccounts[CustomerID]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DimProduct[ProductID]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FactAccounts[ProductID]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DimProduct[ProductID]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FactLoans[ProductID]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DimBranch[BranchID]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FactAccounts[BranchID]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FactAccounts[AccountID]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FactTransactions[AccountID]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FactAccounts[AccountID]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FactLoans[AccountID]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</w:t>
            </w:r>
          </w:p>
        </w:tc>
      </w:tr>
    </w:tbl>
    <w:p>
      <w:pPr>
        <w:pStyle w:val="Heading2"/>
      </w:pPr>
      <w:r>
        <w:t xml:space="preserve">4.2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 schema (no snowflaking) for simpler DAX and faster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date table marked as date table; feeds all facts as the conformed time dimension.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one active relationship between any two tables; others inactive for USERELATIONSHIP if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Foreign-key columns hidden from report view to keep the field list clean.</w:t>
      </w:r>
    </w:p>
    <w:p>
      <w:pPr>
        <w:pStyle w:val="Heading1"/>
      </w:pPr>
      <w:r>
        <w:t xml:space="preserve">5. DAX Measure Design</w:t>
      </w:r>
    </w:p>
    <w:p>
      <w:pPr>
        <w:spacing w:after="120" w:line="276"/>
      </w:pPr>
      <w:r>
        <w:t xml:space="preserve">All measures stored in a dedicated _Measures table. Ratios use DIVIDE. Time intelligence uses the marked DimDate. See dax_measures.txt for fully commented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Deposits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CALCULATE(SUM, ProductCategory = Deposits)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Loan Book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SUM(OutstandingAmount)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NPA 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DIVIDE(NPA Amount, Total Loan Book)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CASA Ratio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VAR + IN list, DIVIDE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Txn YoY 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SAMEPERIODLASTYEAR within CALCULATE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Txn MoM 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DATEADD -1 MONTH, VAR, DIVIDE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Branch Rank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RANKX over ALL(BranchName)</w:t>
            </w:r>
          </w:p>
        </w:tc>
      </w:tr>
    </w:tbl>
    <w:p>
      <w:pPr>
        <w:pStyle w:val="Heading1"/>
      </w:pPr>
      <w:r>
        <w:t xml:space="preserve">6. Report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KPI cards, line trend (YoY), region map, top-branch bar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Year, Region, Segment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Loan &amp; Risk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NPA% card, DPD bucket column, NPA trend line, product matrix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Year, Product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&amp; Channel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Channel mix donut, segment bar, fraud-value card, KYC matrix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Year, Segment, Channel</w:t>
            </w:r>
          </w:p>
        </w:tc>
      </w:tr>
    </w:tbl>
    <w:p>
      <w:pPr>
        <w:pStyle w:val="Heading2"/>
      </w:pPr>
      <w:r>
        <w:t xml:space="preserve">6.1 Interactivity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Synced slicers across pages; drillthrough to a Branch Detail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Bookmarks + buttons for a guided narrative; tooltips for context.</w:t>
      </w:r>
    </w:p>
    <w:p>
      <w:pPr>
        <w:pStyle w:val="Heading1"/>
      </w:pPr>
      <w:r>
        <w:t xml:space="preserve">7. Security Design (RLS)</w:t>
      </w:r>
    </w:p>
    <w:p>
      <w:pPr>
        <w:pStyle w:val="Heading2"/>
      </w:pPr>
      <w:r>
        <w:t xml:space="preserve">7.1 Dynamic RLS pattern</w:t>
      </w:r>
    </w:p>
    <w:p>
      <w:pPr>
        <w:spacing w:after="120" w:line="276"/>
      </w:pPr>
      <w:r>
        <w:t xml:space="preserve">A UserRegionMap table relates user email to permitted region. The RLS role filter on DimBranch uses USERPRINCIPALNAME() to match the signed-in user, so one role serves all branch heads.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 Logic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BranchHead (dynamic)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DimBranch[Region] = LOOKUPVALUE(Map[Region], Map[Email], USERPRINCIPALNAME())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filter (full data, read access)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filter (read-only via workspace role)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Tested with View-as-roles in Desktop before publishing.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 assigned to roles in the Service after publish.</w:t>
      </w:r>
    </w:p>
    <w:p>
      <w:pPr>
        <w:pStyle w:val="Heading1"/>
      </w:pPr>
      <w:r>
        <w:t xml:space="preserve">8. Deployment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to a Dev workspace; promote Dev → Test → Prod via Deployment Pipelines.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On-premises data gateway configured; scheduled refresh daily at 06:00.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Incremental refresh design: RangeStart/RangeEnd parameters partition FactTransactions by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alerts enabled; runbook documented in NOTES.md.</w:t>
      </w:r>
    </w:p>
    <w:p>
      <w:pPr>
        <w:pStyle w:val="Heading1"/>
      </w:pPr>
      <w:r>
        <w:t xml:space="preserve">9. Performance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 schema and low-cardinality keys to maximise VertiPaq compression.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Measures preferred over calculated columns; boolean column filters over FILTER(table).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Analyzer used to profile each visual's DAX query duration.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Unused columns removed/hidden; aggregations considered if volumes grow.</w:t>
      </w:r>
    </w:p>
    <w:p>
      <w:pPr>
        <w:pStyle w:val="Heading1"/>
      </w:pPr>
      <w:r>
        <w:t xml:space="preserve">10.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mode chosen; DirectQuery reserved for future high-volume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workspace tenancy; Entra ID for authentication.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6"/>
        <w:szCs w:val="16"/>
      </w:rPr>
      <w:t xml:space="preserve">Confidential — for training/portfolio use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BankSphere 360  |  Low-Level Design (LLD)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2026-06-02T09:58:44.482Z</dcterms:created>
  <dcterms:modified xsi:type="dcterms:W3CDTF">2026-06-02T09:58:44.482Z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