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700"/>
        <w:gridCol w:w="3046"/>
      </w:tblGrid>
      <w:tr>
        <w:tc>
          <w:tcPr>
            <w:tcW w:type="dxa" w:w="6700"/>
            <w:tcBorders>
              <w:top w:val="none" w:color="FFFFFF" w:sz="0"/>
              <w:left w:val="none" w:color="FFFFFF" w:sz="0"/>
              <w:bottom w:val="none" w:color="FFFFFF" w:sz="0"/>
              <w:right w:val="none" w:color="FFFFFF" w:sz="0"/>
            </w:tcBorders>
            <w:shd w:fill="1A3A5C" w:val="clear"/>
            <w:tcMar>
              <w:top w:type="dxa" w:w="200"/>
              <w:left w:type="dxa" w:w="220"/>
              <w:bottom w:type="dxa" w:w="200"/>
              <w:right w:type="dxa" w:w="120"/>
            </w:tcMar>
          </w:tcPr>
          <w:p>
            <w:pPr>
              <w:spacing w:before="0" w:after="60"/>
              <w:jc w:val="left"/>
            </w:pPr>
            <w:r>
              <w:rPr>
                <w:rFonts w:ascii="Arial" w:cs="Arial" w:eastAsia="Arial" w:hAnsi="Arial"/>
                <w:b/>
                <w:bCs/>
                <w:i w:val="false"/>
                <w:iCs w:val="false"/>
                <w:color w:val="FFFFFF"/>
                <w:sz w:val="38"/>
                <w:szCs w:val="38"/>
              </w:rPr>
              <w:t xml:space="preserve">Incident Report Analysis</w:t>
            </w:r>
          </w:p>
          <w:p>
            <w:pPr>
              <w:spacing w:before="0" w:after="0"/>
              <w:jc w:val="left"/>
            </w:pPr>
            <w:r>
              <w:rPr>
                <w:rFonts w:ascii="Arial" w:cs="Arial" w:eastAsia="Arial" w:hAnsi="Arial"/>
                <w:b w:val="false"/>
                <w:bCs w:val="false"/>
                <w:i w:val="false"/>
                <w:iCs w:val="false"/>
                <w:color w:val="B8D4F0"/>
                <w:sz w:val="20"/>
                <w:szCs w:val="20"/>
              </w:rPr>
              <w:t xml:space="preserve">DDoS Attack — NIST CSF Framework Application</w:t>
            </w:r>
          </w:p>
        </w:tc>
        <w:tc>
          <w:tcPr>
            <w:tcW w:type="dxa" w:w="3046"/>
            <w:tcBorders>
              <w:top w:val="none" w:color="FFFFFF" w:sz="0"/>
              <w:left w:val="none" w:color="FFFFFF" w:sz="0"/>
              <w:bottom w:val="none" w:color="FFFFFF" w:sz="0"/>
              <w:right w:val="none" w:color="FFFFFF" w:sz="0"/>
            </w:tcBorders>
            <w:shd w:fill="2A5F8F" w:val="clear"/>
            <w:tcMar>
              <w:top w:type="dxa" w:w="200"/>
              <w:left w:type="dxa" w:w="160"/>
              <w:bottom w:type="dxa" w:w="200"/>
              <w:right w:type="dxa" w:w="160"/>
            </w:tcMar>
          </w:tcPr>
          <w:p>
            <w:pPr>
              <w:spacing w:before="0" w:after="40"/>
              <w:jc w:val="left"/>
            </w:pPr>
            <w:r>
              <w:rPr>
                <w:rFonts w:ascii="Arial" w:cs="Arial" w:eastAsia="Arial" w:hAnsi="Arial"/>
                <w:b/>
                <w:bCs/>
                <w:i w:val="false"/>
                <w:iCs w:val="false"/>
                <w:color w:val="FFFFFF"/>
                <w:sz w:val="20"/>
                <w:szCs w:val="20"/>
              </w:rPr>
              <w:t xml:space="preserve">Anshul Mehta</w:t>
            </w:r>
          </w:p>
          <w:p>
            <w:pPr>
              <w:spacing w:before="0" w:after="40"/>
              <w:jc w:val="left"/>
            </w:pPr>
            <w:r>
              <w:rPr>
                <w:rFonts w:ascii="Arial" w:cs="Arial" w:eastAsia="Arial" w:hAnsi="Arial"/>
                <w:b w:val="false"/>
                <w:bCs w:val="false"/>
                <w:i w:val="false"/>
                <w:iCs w:val="false"/>
                <w:color w:val="C8E0F8"/>
                <w:sz w:val="17"/>
                <w:szCs w:val="17"/>
              </w:rPr>
              <w:t xml:space="preserve">Incident Analysis</w:t>
            </w:r>
          </w:p>
          <w:p>
            <w:pPr>
              <w:spacing w:before="0" w:after="0"/>
              <w:jc w:val="left"/>
            </w:pPr>
            <w:r>
              <w:rPr>
                <w:rFonts w:ascii="Arial" w:cs="Arial" w:eastAsia="Arial" w:hAnsi="Arial"/>
                <w:b w:val="false"/>
                <w:bCs w:val="false"/>
                <w:i w:val="false"/>
                <w:iCs w:val="false"/>
                <w:color w:val="C8E0F8"/>
                <w:sz w:val="15"/>
                <w:szCs w:val="15"/>
              </w:rPr>
              <w:t xml:space="preserve">Google Cybersecurity Cert (9/9)</w:t>
            </w:r>
          </w:p>
        </w:tc>
      </w:tr>
    </w:tbl>
    <w:p>
      <w:pPr>
        <w:spacing w:before="100" w:after="0"/>
      </w:pPr>
    </w:p>
    <w:p>
      <w:pPr>
        <w:spacing w:before="260" w:after="60"/>
      </w:pPr>
      <w:r>
        <w:rPr>
          <w:rFonts w:ascii="Arial" w:cs="Arial" w:eastAsia="Arial" w:hAnsi="Arial"/>
          <w:b/>
          <w:bCs/>
          <w:i w:val="false"/>
          <w:iCs w:val="false"/>
          <w:color w:val="1A3A5C"/>
          <w:sz w:val="22"/>
          <w:szCs w:val="22"/>
        </w:rPr>
        <w:t xml:space="preserve">INCIDENT SUMMARY</w:t>
      </w:r>
    </w:p>
    <w:p>
      <w:pPr>
        <w:pBdr>
          <w:bottom w:val="single" w:color="2A5F8F" w:sz="6" w:space="1"/>
        </w:pBdr>
        <w:spacing w:before="0" w:after="0"/>
      </w:pPr>
    </w:p>
    <w:p>
      <w:pPr>
        <w:spacing w:before="80" w:after="80"/>
        <w:jc w:val="left"/>
      </w:pPr>
      <w:r>
        <w:rPr>
          <w:rFonts w:ascii="Arial" w:cs="Arial" w:eastAsia="Arial" w:hAnsi="Arial"/>
          <w:b w:val="false"/>
          <w:bCs w:val="false"/>
          <w:i w:val="false"/>
          <w:iCs w:val="false"/>
          <w:color w:val="4A5568"/>
          <w:sz w:val="20"/>
          <w:szCs w:val="20"/>
        </w:rPr>
        <w:t xml:space="preserve">The organisation experienced a critical security event when all network services suddenly stopped responding. Investigation determined the cause was a Distributed Denial of Service (DDoS) attack delivered through a flood of incoming ICMP packets. The cybersecurity team responded by blocking the attack traffic, halting non-critical services, and restoring critical services in priority order.</w:t>
      </w:r>
    </w:p>
    <w:p>
      <w:pPr>
        <w:spacing w:before="100" w:after="0"/>
      </w:pPr>
    </w:p>
    <w:p>
      <w:pPr>
        <w:spacing w:before="260" w:after="60"/>
      </w:pPr>
      <w:r>
        <w:rPr>
          <w:rFonts w:ascii="Arial" w:cs="Arial" w:eastAsia="Arial" w:hAnsi="Arial"/>
          <w:b/>
          <w:bCs/>
          <w:i w:val="false"/>
          <w:iCs w:val="false"/>
          <w:color w:val="1A3A5C"/>
          <w:sz w:val="22"/>
          <w:szCs w:val="22"/>
        </w:rPr>
        <w:t xml:space="preserve">NIST CSF FRAMEWORK — FIVE-FUNCTION ANALYSIS</w:t>
      </w:r>
    </w:p>
    <w:p>
      <w:pPr>
        <w:pBdr>
          <w:bottom w:val="single" w:color="2A5F8F" w:sz="6" w:space="1"/>
        </w:pBdr>
        <w:spacing w:before="0" w:after="0"/>
      </w:pPr>
    </w:p>
    <w:tbl>
      <w:tblPr>
        <w:tblW w:type="dxa" w:w="9360"/>
        <w:tblBorders>
          <w:top w:val="single" w:color="BBCFE0" w:sz="4"/>
          <w:left w:val="single" w:color="BBCFE0" w:sz="4"/>
          <w:bottom w:val="single" w:color="BBCFE0" w:sz="4"/>
          <w:right w:val="single" w:color="BBCFE0" w:sz="4"/>
          <w:insideH w:val="single" w:color="auto" w:sz="4"/>
          <w:insideV w:val="single" w:color="auto" w:sz="4"/>
        </w:tblBorders>
      </w:tblPr>
      <w:tblGrid>
        <w:gridCol w:w="1700"/>
        <w:gridCol w:w="7660"/>
      </w:tblGrid>
      <w:tr>
        <w:tc>
          <w:tcPr>
            <w:tcW w:type="dxa" w:w="1700"/>
            <w:tcBorders>
              <w:top w:val="single" w:color="BBCFE0" w:sz="4"/>
              <w:left w:val="single" w:color="BBCFE0" w:sz="4"/>
              <w:bottom w:val="single" w:color="BBCFE0" w:sz="4"/>
              <w:right w:val="single" w:color="BBCFE0" w:sz="4"/>
            </w:tcBorders>
            <w:shd w:fill="1A3A5C" w:val="clear"/>
            <w:tcMar>
              <w:top w:type="dxa" w:w="60"/>
              <w:left w:type="dxa" w:w="100"/>
              <w:bottom w:type="dxa" w:w="60"/>
              <w:right w:type="dxa" w:w="80"/>
            </w:tcMar>
          </w:tcPr>
          <w:p>
            <w:pPr>
              <w:spacing w:before="0" w:after="0"/>
              <w:jc w:val="left"/>
            </w:pPr>
            <w:r>
              <w:rPr>
                <w:rFonts w:ascii="Arial" w:cs="Arial" w:eastAsia="Arial" w:hAnsi="Arial"/>
                <w:b/>
                <w:bCs/>
                <w:i w:val="false"/>
                <w:iCs w:val="false"/>
                <w:color w:val="FFFFFF"/>
                <w:sz w:val="19"/>
                <w:szCs w:val="19"/>
              </w:rPr>
              <w:t xml:space="preserve">NIST Function</w:t>
            </w:r>
          </w:p>
        </w:tc>
        <w:tc>
          <w:tcPr>
            <w:tcW w:type="dxa" w:w="7660"/>
            <w:tcBorders>
              <w:top w:val="single" w:color="BBCFE0" w:sz="4"/>
              <w:left w:val="single" w:color="BBCFE0" w:sz="4"/>
              <w:bottom w:val="single" w:color="BBCFE0" w:sz="4"/>
              <w:right w:val="single" w:color="BBCFE0" w:sz="4"/>
            </w:tcBorders>
            <w:shd w:fill="1A3A5C" w:val="clear"/>
            <w:tcMar>
              <w:top w:type="dxa" w:w="60"/>
              <w:left w:type="dxa" w:w="100"/>
              <w:bottom w:type="dxa" w:w="60"/>
              <w:right w:type="dxa" w:w="80"/>
            </w:tcMar>
          </w:tcPr>
          <w:p>
            <w:pPr>
              <w:spacing w:before="0" w:after="0"/>
              <w:jc w:val="left"/>
            </w:pPr>
            <w:r>
              <w:rPr>
                <w:rFonts w:ascii="Arial" w:cs="Arial" w:eastAsia="Arial" w:hAnsi="Arial"/>
                <w:b/>
                <w:bCs/>
                <w:i w:val="false"/>
                <w:iCs w:val="false"/>
                <w:color w:val="FFFFFF"/>
                <w:sz w:val="19"/>
                <w:szCs w:val="19"/>
              </w:rPr>
              <w:t xml:space="preserve">Actions &amp; Analysis</w:t>
            </w:r>
          </w:p>
        </w:tc>
      </w:tr>
      <w:tr>
        <w:tc>
          <w:tcPr>
            <w:tcW w:type="dxa" w:w="1700"/>
            <w:tcBorders>
              <w:top w:val="single" w:color="BBCFE0" w:sz="4"/>
              <w:left w:val="single" w:color="BBCFE0" w:sz="4"/>
              <w:bottom w:val="single" w:color="BBCFE0" w:sz="4"/>
              <w:right w:val="single" w:color="BBCFE0" w:sz="4"/>
            </w:tcBorders>
            <w:shd w:fill="EAF1F8"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1A3A5C"/>
                <w:sz w:val="18"/>
                <w:szCs w:val="18"/>
              </w:rPr>
              <w:t xml:space="preserve">IDENTIFY</w:t>
            </w:r>
          </w:p>
        </w:tc>
        <w:tc>
          <w:tcPr>
            <w:tcW w:type="dxa" w:w="7660"/>
            <w:tcBorders>
              <w:top w:val="single" w:color="BBCFE0" w:sz="4"/>
              <w:left w:val="single" w:color="BBCFE0" w:sz="4"/>
              <w:bottom w:val="single" w:color="BBCFE0" w:sz="4"/>
              <w:right w:val="single" w:color="BBCFE0" w:sz="4"/>
            </w:tcBorders>
            <w:shd w:fill="FFFFFF"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4A5568"/>
                <w:sz w:val="18"/>
                <w:szCs w:val="18"/>
              </w:rPr>
              <w:t xml:space="preserve">A malicious actor targeted the company with an ICMP flood attack affecting the entire internal network. All critical network resources needed to be identified, secured, and restored. The attack used spoofed source IPs to obscure attacker origin.</w:t>
            </w:r>
          </w:p>
        </w:tc>
      </w:tr>
      <w:tr>
        <w:tc>
          <w:tcPr>
            <w:tcW w:type="dxa" w:w="1700"/>
            <w:tcBorders>
              <w:top w:val="single" w:color="BBCFE0" w:sz="4"/>
              <w:left w:val="single" w:color="BBCFE0" w:sz="4"/>
              <w:bottom w:val="single" w:color="BBCFE0" w:sz="4"/>
              <w:right w:val="single" w:color="BBCFE0" w:sz="4"/>
            </w:tcBorders>
            <w:shd w:fill="EAF1F8"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1A3A5C"/>
                <w:sz w:val="18"/>
                <w:szCs w:val="18"/>
              </w:rPr>
              <w:t xml:space="preserve">PROTECT</w:t>
            </w:r>
          </w:p>
        </w:tc>
        <w:tc>
          <w:tcPr>
            <w:tcW w:type="dxa" w:w="7660"/>
            <w:tcBorders>
              <w:top w:val="single" w:color="BBCFE0" w:sz="4"/>
              <w:left w:val="single" w:color="BBCFE0" w:sz="4"/>
              <w:bottom w:val="single" w:color="BBCFE0" w:sz="4"/>
              <w:right w:val="single" w:color="BBCFE0" w:sz="4"/>
            </w:tcBorders>
            <w:shd w:fill="FFFFFF"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4A5568"/>
                <w:sz w:val="18"/>
                <w:szCs w:val="18"/>
              </w:rPr>
              <w:t xml:space="preserve">A new firewall rule was implemented to rate-limit incoming ICMP packets. An IDS/IPS system was deployed to filter ICMP traffic based on suspicious characteristics, providing an active protection layer going forward.</w:t>
            </w:r>
          </w:p>
        </w:tc>
      </w:tr>
      <w:tr>
        <w:tc>
          <w:tcPr>
            <w:tcW w:type="dxa" w:w="1700"/>
            <w:tcBorders>
              <w:top w:val="single" w:color="BBCFE0" w:sz="4"/>
              <w:left w:val="single" w:color="BBCFE0" w:sz="4"/>
              <w:bottom w:val="single" w:color="BBCFE0" w:sz="4"/>
              <w:right w:val="single" w:color="BBCFE0" w:sz="4"/>
            </w:tcBorders>
            <w:shd w:fill="EAF1F8"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1A3A5C"/>
                <w:sz w:val="18"/>
                <w:szCs w:val="18"/>
              </w:rPr>
              <w:t xml:space="preserve">DETECT</w:t>
            </w:r>
          </w:p>
        </w:tc>
        <w:tc>
          <w:tcPr>
            <w:tcW w:type="dxa" w:w="7660"/>
            <w:tcBorders>
              <w:top w:val="single" w:color="BBCFE0" w:sz="4"/>
              <w:left w:val="single" w:color="BBCFE0" w:sz="4"/>
              <w:bottom w:val="single" w:color="BBCFE0" w:sz="4"/>
              <w:right w:val="single" w:color="BBCFE0" w:sz="4"/>
            </w:tcBorders>
            <w:shd w:fill="FFFFFF"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4A5568"/>
                <w:sz w:val="18"/>
                <w:szCs w:val="18"/>
              </w:rPr>
              <w:t xml:space="preserve">Source IP address verification was configured on the firewall to identify spoofed IPs. Network monitoring software was implemented to detect abnormal traffic patterns and generate early alerts for similar future events.</w:t>
            </w:r>
          </w:p>
        </w:tc>
      </w:tr>
      <w:tr>
        <w:tc>
          <w:tcPr>
            <w:tcW w:type="dxa" w:w="1700"/>
            <w:tcBorders>
              <w:top w:val="single" w:color="BBCFE0" w:sz="4"/>
              <w:left w:val="single" w:color="BBCFE0" w:sz="4"/>
              <w:bottom w:val="single" w:color="BBCFE0" w:sz="4"/>
              <w:right w:val="single" w:color="BBCFE0" w:sz="4"/>
            </w:tcBorders>
            <w:shd w:fill="EAF1F8"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1A3A5C"/>
                <w:sz w:val="18"/>
                <w:szCs w:val="18"/>
              </w:rPr>
              <w:t xml:space="preserve">RESPOND</w:t>
            </w:r>
          </w:p>
        </w:tc>
        <w:tc>
          <w:tcPr>
            <w:tcW w:type="dxa" w:w="7660"/>
            <w:tcBorders>
              <w:top w:val="single" w:color="BBCFE0" w:sz="4"/>
              <w:left w:val="single" w:color="BBCFE0" w:sz="4"/>
              <w:bottom w:val="single" w:color="BBCFE0" w:sz="4"/>
              <w:right w:val="single" w:color="BBCFE0" w:sz="4"/>
            </w:tcBorders>
            <w:shd w:fill="FFFFFF"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4A5568"/>
                <w:sz w:val="18"/>
                <w:szCs w:val="18"/>
              </w:rPr>
              <w:t xml:space="preserve">Response plan: isolate affected systems to contain further disruption, restore critical services in priority order, analyse network logs for suspicious activity, and report incidents to management and applicable legal authorities.</w:t>
            </w:r>
          </w:p>
        </w:tc>
      </w:tr>
      <w:tr>
        <w:tc>
          <w:tcPr>
            <w:tcW w:type="dxa" w:w="1700"/>
            <w:tcBorders>
              <w:top w:val="single" w:color="BBCFE0" w:sz="4"/>
              <w:left w:val="single" w:color="BBCFE0" w:sz="4"/>
              <w:bottom w:val="single" w:color="BBCFE0" w:sz="4"/>
              <w:right w:val="single" w:color="BBCFE0" w:sz="4"/>
            </w:tcBorders>
            <w:shd w:fill="EAF1F8"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1A3A5C"/>
                <w:sz w:val="18"/>
                <w:szCs w:val="18"/>
              </w:rPr>
              <w:t xml:space="preserve">RECOVER</w:t>
            </w:r>
          </w:p>
        </w:tc>
        <w:tc>
          <w:tcPr>
            <w:tcW w:type="dxa" w:w="7660"/>
            <w:tcBorders>
              <w:top w:val="single" w:color="BBCFE0" w:sz="4"/>
              <w:left w:val="single" w:color="BBCFE0" w:sz="4"/>
              <w:bottom w:val="single" w:color="BBCFE0" w:sz="4"/>
              <w:right w:val="single" w:color="BBCFE0" w:sz="4"/>
            </w:tcBorders>
            <w:shd w:fill="FFFFFF" w:val="clear"/>
            <w:tcMar>
              <w:top w:type="dxa" w:w="60"/>
              <w:left w:type="dxa" w:w="100"/>
              <w:bottom w:type="dxa" w:w="60"/>
              <w:right w:type="dxa" w:w="80"/>
            </w:tcMar>
          </w:tcPr>
          <w:p>
            <w:pPr>
              <w:spacing w:before="0" w:after="0"/>
              <w:jc w:val="left"/>
            </w:pPr>
            <w:r>
              <w:rPr>
                <w:rFonts w:ascii="Arial" w:cs="Arial" w:eastAsia="Arial" w:hAnsi="Arial"/>
                <w:b w:val="false"/>
                <w:bCs w:val="false"/>
                <w:i w:val="false"/>
                <w:iCs w:val="false"/>
                <w:color w:val="4A5568"/>
                <w:sz w:val="18"/>
                <w:szCs w:val="18"/>
              </w:rPr>
              <w:t xml:space="preserve">Staged recovery: (1) Block external ICMP flood at firewall, (2) Stop non-critical services to reduce internal network load, (3) Restore critical services first, (4) Bring non-critical systems back online once ICMP flood times out.</w:t>
            </w:r>
          </w:p>
        </w:tc>
      </w:tr>
    </w:tbl>
    <w:p>
      <w:pPr>
        <w:spacing w:before="100" w:after="0"/>
      </w:pPr>
    </w:p>
    <w:p>
      <w:pPr>
        <w:spacing w:before="260" w:after="60"/>
      </w:pPr>
      <w:r>
        <w:rPr>
          <w:rFonts w:ascii="Arial" w:cs="Arial" w:eastAsia="Arial" w:hAnsi="Arial"/>
          <w:b/>
          <w:bCs/>
          <w:i w:val="false"/>
          <w:iCs w:val="false"/>
          <w:color w:val="1A3A5C"/>
          <w:sz w:val="22"/>
          <w:szCs w:val="22"/>
        </w:rPr>
        <w:t xml:space="preserve">ATTACK PROFILE</w:t>
      </w:r>
    </w:p>
    <w:p>
      <w:pPr>
        <w:pBdr>
          <w:bottom w:val="single" w:color="2A5F8F" w:sz="6" w:space="1"/>
        </w:pBdr>
        <w:spacing w:before="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AF1F8" w:val="clear"/>
            <w:tcMar>
              <w:top w:type="dxa" w:w="55"/>
              <w:left w:type="dxa" w:w="100"/>
              <w:bottom w:type="dxa" w:w="55"/>
              <w:right w:type="dxa" w:w="80"/>
            </w:tcMar>
          </w:tcPr>
          <w:p>
            <w:pPr>
              <w:spacing w:before="0" w:after="0"/>
              <w:jc w:val="left"/>
            </w:pPr>
            <w:r>
              <w:rPr>
                <w:rFonts w:ascii="Arial" w:cs="Arial" w:eastAsia="Arial" w:hAnsi="Arial"/>
                <w:b/>
                <w:bCs/>
                <w:i w:val="false"/>
                <w:iCs w:val="false"/>
                <w:color w:val="1A3A5C"/>
                <w:sz w:val="19"/>
                <w:szCs w:val="19"/>
              </w:rPr>
              <w:t xml:space="preserve">Attack Type</w:t>
            </w:r>
          </w:p>
        </w:tc>
        <w:tc>
          <w:tcPr>
            <w:tcW w:type="dxa" w:w="6960"/>
            <w:tcBorders>
              <w:top w:val="none" w:color="FFFFFF" w:sz="0"/>
              <w:left w:val="none" w:color="FFFFFF" w:sz="0"/>
              <w:bottom w:val="none" w:color="FFFFFF" w:sz="0"/>
              <w:right w:val="none" w:color="FFFFFF" w:sz="0"/>
            </w:tcBorders>
            <w:tcMar>
              <w:top w:type="dxa" w:w="55"/>
              <w:left w:type="dxa" w:w="100"/>
              <w:bottom w:type="dxa" w:w="55"/>
              <w:right w:type="dxa" w:w="80"/>
            </w:tcMar>
          </w:tcPr>
          <w:p>
            <w:pPr>
              <w:spacing w:before="0" w:after="0"/>
              <w:jc w:val="left"/>
            </w:pPr>
            <w:r>
              <w:rPr>
                <w:rFonts w:ascii="Arial" w:cs="Arial" w:eastAsia="Arial" w:hAnsi="Arial"/>
                <w:b w:val="false"/>
                <w:bCs w:val="false"/>
                <w:i w:val="false"/>
                <w:iCs w:val="false"/>
                <w:color w:val="4A5568"/>
                <w:sz w:val="19"/>
                <w:szCs w:val="19"/>
              </w:rPr>
              <w:t xml:space="preserve">Distributed Denial of Service (DDoS) — ICMP Flood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AF1F8" w:val="clear"/>
            <w:tcMar>
              <w:top w:type="dxa" w:w="55"/>
              <w:left w:type="dxa" w:w="100"/>
              <w:bottom w:type="dxa" w:w="55"/>
              <w:right w:type="dxa" w:w="80"/>
            </w:tcMar>
          </w:tcPr>
          <w:p>
            <w:pPr>
              <w:spacing w:before="0" w:after="0"/>
              <w:jc w:val="left"/>
            </w:pPr>
            <w:r>
              <w:rPr>
                <w:rFonts w:ascii="Arial" w:cs="Arial" w:eastAsia="Arial" w:hAnsi="Arial"/>
                <w:b/>
                <w:bCs/>
                <w:i w:val="false"/>
                <w:iCs w:val="false"/>
                <w:color w:val="1A3A5C"/>
                <w:sz w:val="19"/>
                <w:szCs w:val="19"/>
              </w:rPr>
              <w:t xml:space="preserve">Protocol Exploited</w:t>
            </w:r>
          </w:p>
        </w:tc>
        <w:tc>
          <w:tcPr>
            <w:tcW w:type="dxa" w:w="6960"/>
            <w:tcBorders>
              <w:top w:val="none" w:color="FFFFFF" w:sz="0"/>
              <w:left w:val="none" w:color="FFFFFF" w:sz="0"/>
              <w:bottom w:val="none" w:color="FFFFFF" w:sz="0"/>
              <w:right w:val="none" w:color="FFFFFF" w:sz="0"/>
            </w:tcBorders>
            <w:tcMar>
              <w:top w:type="dxa" w:w="55"/>
              <w:left w:type="dxa" w:w="100"/>
              <w:bottom w:type="dxa" w:w="55"/>
              <w:right w:type="dxa" w:w="80"/>
            </w:tcMar>
          </w:tcPr>
          <w:p>
            <w:pPr>
              <w:spacing w:before="0" w:after="0"/>
              <w:jc w:val="left"/>
            </w:pPr>
            <w:r>
              <w:rPr>
                <w:rFonts w:ascii="Arial" w:cs="Arial" w:eastAsia="Arial" w:hAnsi="Arial"/>
                <w:b w:val="false"/>
                <w:bCs w:val="false"/>
                <w:i w:val="false"/>
                <w:iCs w:val="false"/>
                <w:color w:val="4A5568"/>
                <w:sz w:val="19"/>
                <w:szCs w:val="19"/>
              </w:rPr>
              <w:t xml:space="preserve">ICMP (Internet Control Message Protocol)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AF1F8" w:val="clear"/>
            <w:tcMar>
              <w:top w:type="dxa" w:w="55"/>
              <w:left w:type="dxa" w:w="100"/>
              <w:bottom w:type="dxa" w:w="55"/>
              <w:right w:type="dxa" w:w="80"/>
            </w:tcMar>
          </w:tcPr>
          <w:p>
            <w:pPr>
              <w:spacing w:before="0" w:after="0"/>
              <w:jc w:val="left"/>
            </w:pPr>
            <w:r>
              <w:rPr>
                <w:rFonts w:ascii="Arial" w:cs="Arial" w:eastAsia="Arial" w:hAnsi="Arial"/>
                <w:b/>
                <w:bCs/>
                <w:i w:val="false"/>
                <w:iCs w:val="false"/>
                <w:color w:val="1A3A5C"/>
                <w:sz w:val="19"/>
                <w:szCs w:val="19"/>
              </w:rPr>
              <w:t xml:space="preserve">Technique</w:t>
            </w:r>
          </w:p>
        </w:tc>
        <w:tc>
          <w:tcPr>
            <w:tcW w:type="dxa" w:w="6960"/>
            <w:tcBorders>
              <w:top w:val="none" w:color="FFFFFF" w:sz="0"/>
              <w:left w:val="none" w:color="FFFFFF" w:sz="0"/>
              <w:bottom w:val="none" w:color="FFFFFF" w:sz="0"/>
              <w:right w:val="none" w:color="FFFFFF" w:sz="0"/>
            </w:tcBorders>
            <w:tcMar>
              <w:top w:type="dxa" w:w="55"/>
              <w:left w:type="dxa" w:w="100"/>
              <w:bottom w:type="dxa" w:w="55"/>
              <w:right w:type="dxa" w:w="80"/>
            </w:tcMar>
          </w:tcPr>
          <w:p>
            <w:pPr>
              <w:spacing w:before="0" w:after="0"/>
              <w:jc w:val="left"/>
            </w:pPr>
            <w:r>
              <w:rPr>
                <w:rFonts w:ascii="Arial" w:cs="Arial" w:eastAsia="Arial" w:hAnsi="Arial"/>
                <w:b w:val="false"/>
                <w:bCs w:val="false"/>
                <w:i w:val="false"/>
                <w:iCs w:val="false"/>
                <w:color w:val="4A5568"/>
                <w:sz w:val="19"/>
                <w:szCs w:val="19"/>
              </w:rPr>
              <w:t xml:space="preserve">High-volume packet flooding with spoofed source IP addresses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AF1F8" w:val="clear"/>
            <w:tcMar>
              <w:top w:type="dxa" w:w="55"/>
              <w:left w:type="dxa" w:w="100"/>
              <w:bottom w:type="dxa" w:w="55"/>
              <w:right w:type="dxa" w:w="80"/>
            </w:tcMar>
          </w:tcPr>
          <w:p>
            <w:pPr>
              <w:spacing w:before="0" w:after="0"/>
              <w:jc w:val="left"/>
            </w:pPr>
            <w:r>
              <w:rPr>
                <w:rFonts w:ascii="Arial" w:cs="Arial" w:eastAsia="Arial" w:hAnsi="Arial"/>
                <w:b/>
                <w:bCs/>
                <w:i w:val="false"/>
                <w:iCs w:val="false"/>
                <w:color w:val="1A3A5C"/>
                <w:sz w:val="19"/>
                <w:szCs w:val="19"/>
              </w:rPr>
              <w:t xml:space="preserve">Impact</w:t>
            </w:r>
          </w:p>
        </w:tc>
        <w:tc>
          <w:tcPr>
            <w:tcW w:type="dxa" w:w="6960"/>
            <w:tcBorders>
              <w:top w:val="none" w:color="FFFFFF" w:sz="0"/>
              <w:left w:val="none" w:color="FFFFFF" w:sz="0"/>
              <w:bottom w:val="none" w:color="FFFFFF" w:sz="0"/>
              <w:right w:val="none" w:color="FFFFFF" w:sz="0"/>
            </w:tcBorders>
            <w:tcMar>
              <w:top w:type="dxa" w:w="55"/>
              <w:left w:type="dxa" w:w="100"/>
              <w:bottom w:type="dxa" w:w="55"/>
              <w:right w:type="dxa" w:w="80"/>
            </w:tcMar>
          </w:tcPr>
          <w:p>
            <w:pPr>
              <w:spacing w:before="0" w:after="0"/>
              <w:jc w:val="left"/>
            </w:pPr>
            <w:r>
              <w:rPr>
                <w:rFonts w:ascii="Arial" w:cs="Arial" w:eastAsia="Arial" w:hAnsi="Arial"/>
                <w:b w:val="false"/>
                <w:bCs w:val="false"/>
                <w:i w:val="false"/>
                <w:iCs w:val="false"/>
                <w:color w:val="4A5568"/>
                <w:sz w:val="19"/>
                <w:szCs w:val="19"/>
              </w:rPr>
              <w:t xml:space="preserve">Complete outage of all network services — internal network unreachable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AF1F8" w:val="clear"/>
            <w:tcMar>
              <w:top w:type="dxa" w:w="55"/>
              <w:left w:type="dxa" w:w="100"/>
              <w:bottom w:type="dxa" w:w="55"/>
              <w:right w:type="dxa" w:w="80"/>
            </w:tcMar>
          </w:tcPr>
          <w:p>
            <w:pPr>
              <w:spacing w:before="0" w:after="0"/>
              <w:jc w:val="left"/>
            </w:pPr>
            <w:r>
              <w:rPr>
                <w:rFonts w:ascii="Arial" w:cs="Arial" w:eastAsia="Arial" w:hAnsi="Arial"/>
                <w:b/>
                <w:bCs/>
                <w:i w:val="false"/>
                <w:iCs w:val="false"/>
                <w:color w:val="1A3A5C"/>
                <w:sz w:val="19"/>
                <w:szCs w:val="19"/>
              </w:rPr>
              <w:t xml:space="preserve">Root Cause</w:t>
            </w:r>
          </w:p>
        </w:tc>
        <w:tc>
          <w:tcPr>
            <w:tcW w:type="dxa" w:w="6960"/>
            <w:tcBorders>
              <w:top w:val="none" w:color="FFFFFF" w:sz="0"/>
              <w:left w:val="none" w:color="FFFFFF" w:sz="0"/>
              <w:bottom w:val="none" w:color="FFFFFF" w:sz="0"/>
              <w:right w:val="none" w:color="FFFFFF" w:sz="0"/>
            </w:tcBorders>
            <w:tcMar>
              <w:top w:type="dxa" w:w="55"/>
              <w:left w:type="dxa" w:w="100"/>
              <w:bottom w:type="dxa" w:w="55"/>
              <w:right w:type="dxa" w:w="80"/>
            </w:tcMar>
          </w:tcPr>
          <w:p>
            <w:pPr>
              <w:spacing w:before="0" w:after="0"/>
              <w:jc w:val="left"/>
            </w:pPr>
            <w:r>
              <w:rPr>
                <w:rFonts w:ascii="Arial" w:cs="Arial" w:eastAsia="Arial" w:hAnsi="Arial"/>
                <w:b w:val="false"/>
                <w:bCs w:val="false"/>
                <w:i w:val="false"/>
                <w:iCs w:val="false"/>
                <w:color w:val="4A5568"/>
                <w:sz w:val="19"/>
                <w:szCs w:val="19"/>
              </w:rPr>
              <w:t xml:space="preserve">No ICMP rate-limiting or source IP verification was in place prior to the attack</w:t>
            </w:r>
          </w:p>
        </w:tc>
      </w:tr>
    </w:tbl>
    <w:p>
      <w:pPr>
        <w:spacing w:before="100" w:after="0"/>
      </w:pPr>
    </w:p>
    <w:p>
      <w:pPr>
        <w:spacing w:before="260" w:after="60"/>
      </w:pPr>
      <w:r>
        <w:rPr>
          <w:rFonts w:ascii="Arial" w:cs="Arial" w:eastAsia="Arial" w:hAnsi="Arial"/>
          <w:b/>
          <w:bCs/>
          <w:i w:val="false"/>
          <w:iCs w:val="false"/>
          <w:color w:val="1A3A5C"/>
          <w:sz w:val="22"/>
          <w:szCs w:val="22"/>
        </w:rPr>
        <w:t xml:space="preserve">CONTROLS IMPLEMENTED AFTER INCIDENT</w:t>
      </w:r>
    </w:p>
    <w:p>
      <w:pPr>
        <w:pBdr>
          <w:bottom w:val="single" w:color="2A5F8F" w:sz="6" w:space="1"/>
        </w:pBdr>
        <w:spacing w:before="0" w:after="0"/>
      </w:pPr>
    </w:p>
    <w:p>
      <w:pPr>
        <w:pStyle w:val="ListParagraph"/>
        <w:numPr>
          <w:ilvl w:val="0"/>
          <w:numId w:val="2"/>
        </w:numPr>
        <w:spacing w:before="40" w:after="40"/>
      </w:pPr>
      <w:r>
        <w:rPr>
          <w:rFonts w:ascii="Arial" w:cs="Arial" w:eastAsia="Arial" w:hAnsi="Arial"/>
          <w:b w:val="false"/>
          <w:bCs w:val="false"/>
          <w:i w:val="false"/>
          <w:iCs w:val="false"/>
          <w:color w:val="4A5568"/>
          <w:sz w:val="20"/>
          <w:szCs w:val="20"/>
        </w:rPr>
        <w:t xml:space="preserve">Firewall rule deployed: rate-limit incoming ICMP packets</w:t>
      </w:r>
    </w:p>
    <w:p>
      <w:pPr>
        <w:pStyle w:val="ListParagraph"/>
        <w:numPr>
          <w:ilvl w:val="0"/>
          <w:numId w:val="2"/>
        </w:numPr>
        <w:spacing w:before="40" w:after="40"/>
      </w:pPr>
      <w:r>
        <w:rPr>
          <w:rFonts w:ascii="Arial" w:cs="Arial" w:eastAsia="Arial" w:hAnsi="Arial"/>
          <w:b w:val="false"/>
          <w:bCs w:val="false"/>
          <w:i w:val="false"/>
          <w:iCs w:val="false"/>
          <w:color w:val="4A5568"/>
          <w:sz w:val="20"/>
          <w:szCs w:val="20"/>
        </w:rPr>
        <w:t xml:space="preserve">IDS/IPS configured to filter suspicious ICMP traffic patterns</w:t>
      </w:r>
    </w:p>
    <w:p>
      <w:pPr>
        <w:pStyle w:val="ListParagraph"/>
        <w:numPr>
          <w:ilvl w:val="0"/>
          <w:numId w:val="2"/>
        </w:numPr>
        <w:spacing w:before="40" w:after="40"/>
      </w:pPr>
      <w:r>
        <w:rPr>
          <w:rFonts w:ascii="Arial" w:cs="Arial" w:eastAsia="Arial" w:hAnsi="Arial"/>
          <w:b w:val="false"/>
          <w:bCs w:val="false"/>
          <w:i w:val="false"/>
          <w:iCs w:val="false"/>
          <w:color w:val="4A5568"/>
          <w:sz w:val="20"/>
          <w:szCs w:val="20"/>
        </w:rPr>
        <w:t xml:space="preserve">Source IP address verification enabled at the network perimeter firewall</w:t>
      </w:r>
    </w:p>
    <w:p>
      <w:pPr>
        <w:pStyle w:val="ListParagraph"/>
        <w:numPr>
          <w:ilvl w:val="0"/>
          <w:numId w:val="2"/>
        </w:numPr>
        <w:spacing w:before="40" w:after="40"/>
      </w:pPr>
      <w:r>
        <w:rPr>
          <w:rFonts w:ascii="Arial" w:cs="Arial" w:eastAsia="Arial" w:hAnsi="Arial"/>
          <w:b w:val="false"/>
          <w:bCs w:val="false"/>
          <w:i w:val="false"/>
          <w:iCs w:val="false"/>
          <w:color w:val="4A5568"/>
          <w:sz w:val="20"/>
          <w:szCs w:val="20"/>
        </w:rPr>
        <w:t xml:space="preserve">Network monitoring software deployed for real-time abnormal traffic alerts</w:t>
      </w:r>
    </w:p>
    <w:p>
      <w:pPr>
        <w:pStyle w:val="ListParagraph"/>
        <w:numPr>
          <w:ilvl w:val="0"/>
          <w:numId w:val="2"/>
        </w:numPr>
        <w:spacing w:before="40" w:after="40"/>
      </w:pPr>
      <w:r>
        <w:rPr>
          <w:rFonts w:ascii="Arial" w:cs="Arial" w:eastAsia="Arial" w:hAnsi="Arial"/>
          <w:b w:val="false"/>
          <w:bCs w:val="false"/>
          <w:i w:val="false"/>
          <w:iCs w:val="false"/>
          <w:color w:val="4A5568"/>
          <w:sz w:val="20"/>
          <w:szCs w:val="20"/>
        </w:rPr>
        <w:t xml:space="preserve">Incident response playbook updated to include ICMP flood scenarios</w:t>
      </w:r>
    </w:p>
    <w:p>
      <w:pPr>
        <w:spacing w:before="100" w:after="0"/>
      </w:pPr>
    </w:p>
    <w:p>
      <w:pPr>
        <w:spacing w:before="260" w:after="60"/>
      </w:pPr>
      <w:r>
        <w:rPr>
          <w:rFonts w:ascii="Arial" w:cs="Arial" w:eastAsia="Arial" w:hAnsi="Arial"/>
          <w:b/>
          <w:bCs/>
          <w:i w:val="false"/>
          <w:iCs w:val="false"/>
          <w:color w:val="1A3A5C"/>
          <w:sz w:val="22"/>
          <w:szCs w:val="22"/>
        </w:rPr>
        <w:t xml:space="preserve">ANALYST REFLECTION</w:t>
      </w:r>
    </w:p>
    <w:p>
      <w:pPr>
        <w:pBdr>
          <w:bottom w:val="single" w:color="2A5F8F" w:sz="6" w:space="1"/>
        </w:pBdr>
        <w:spacing w:before="0" w:after="0"/>
      </w:pPr>
    </w:p>
    <w:p>
      <w:pPr>
        <w:spacing w:before="80" w:after="80"/>
        <w:jc w:val="left"/>
      </w:pPr>
      <w:r>
        <w:rPr>
          <w:rFonts w:ascii="Arial" w:cs="Arial" w:eastAsia="Arial" w:hAnsi="Arial"/>
          <w:b w:val="false"/>
          <w:bCs w:val="false"/>
          <w:i w:val="false"/>
          <w:iCs w:val="false"/>
          <w:color w:val="4A5568"/>
          <w:sz w:val="20"/>
          <w:szCs w:val="20"/>
        </w:rPr>
        <w:t xml:space="preserve">Applying the NIST CSF framework to this incident gave me a structured method for analysing not just what was done, but why each action belongs to a specific phase of the response lifecycle. The key technical insight was understanding why staged service recovery (critical before non-critical) minimises business impact during restoration, and why source IP verification is essential for detecting spoofed-IP attacks like ICMP floods.</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2026-03-02T04:49:41.791Z</dcterms:created>
  <dcterms:modified xsi:type="dcterms:W3CDTF">2026-03-02T04:49:41.791Z</dcterms:modified>
</cp:coreProperties>
</file>

<file path=docProps/custom.xml><?xml version="1.0" encoding="utf-8"?>
<Properties xmlns="http://schemas.openxmlformats.org/officeDocument/2006/custom-properties" xmlns:vt="http://schemas.openxmlformats.org/officeDocument/2006/docPropsVTypes"/>
</file>