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700"/>
        <w:gridCol w:w="3046"/>
      </w:tblGrid>
      <w:tr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200"/>
              <w:left w:type="dxa" w:w="220"/>
              <w:bottom w:type="dxa" w:w="200"/>
              <w:right w:type="dxa" w:w="12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8"/>
                <w:szCs w:val="38"/>
              </w:rPr>
              <w:t xml:space="preserve">Network Analysis Portfolio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8D4F0"/>
                <w:sz w:val="20"/>
                <w:szCs w:val="20"/>
              </w:rPr>
              <w:t xml:space="preserve">Incident Response &amp; Network Traffic Analysis — 4 Activities</w:t>
            </w:r>
          </w:p>
        </w:tc>
        <w:tc>
          <w:tcPr>
            <w:tcW w:type="dxa" w:w="30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A5F8F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Anshul Mehta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8E0F8"/>
                <w:sz w:val="17"/>
                <w:szCs w:val="17"/>
              </w:rPr>
              <w:t xml:space="preserve">Network Security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8E0F8"/>
                <w:sz w:val="15"/>
                <w:szCs w:val="15"/>
              </w:rPr>
              <w:t xml:space="preserve">Google Cybersecurity Cert (9/9)</w:t>
            </w:r>
          </w:p>
        </w:tc>
      </w:tr>
    </w:tbl>
    <w:p>
      <w:pPr>
        <w:spacing w:before="100" w:after="0"/>
      </w:pPr>
    </w:p>
    <w:p>
      <w:pPr>
        <w:spacing w:before="260" w:after="60"/>
      </w:pPr>
      <w:r>
        <w:rPr>
          <w:rFonts w:ascii="Arial" w:cs="Arial" w:eastAsia="Arial" w:hAnsi="Arial"/>
          <w:b/>
          <w:bCs/>
          <w:i w:val="false"/>
          <w:iCs w:val="false"/>
          <w:color w:val="1A3A5C"/>
          <w:sz w:val="22"/>
          <w:szCs w:val="22"/>
        </w:rPr>
        <w:t xml:space="preserve">ACTIVITY 1 — RANSOMWARE INCIDENT RESPONSE (FEB 23, 2026)</w:t>
      </w:r>
    </w:p>
    <w:p>
      <w:pPr>
        <w:pBdr>
          <w:bottom w:val="single" w:color="2A5F8F" w:sz="6" w:space="1"/>
        </w:pBdr>
        <w:spacing w:before="0" w:after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1F8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9"/>
                <w:szCs w:val="19"/>
              </w:rPr>
              <w:t xml:space="preserve">Scenario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Simulated ransomware attack targeting a healthcare organisation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1F8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9"/>
                <w:szCs w:val="19"/>
              </w:rPr>
              <w:t xml:space="preserve">Focus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Incident Response Lifecycle: Detection → Containment → Eradication → Recovery</w:t>
            </w:r>
          </w:p>
        </w:tc>
      </w:tr>
    </w:tbl>
    <w:p>
      <w:pPr>
        <w:spacing w:before="10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3A5C"/>
          <w:sz w:val="20"/>
          <w:szCs w:val="20"/>
        </w:rPr>
        <w:t xml:space="preserve">5W Incident Analysis:</w:t>
      </w:r>
    </w:p>
    <w:tbl>
      <w:tblPr>
        <w:tblW w:type="dxa" w:w="9360"/>
        <w:tblBorders>
          <w:top w:val="single" w:color="BBCFE0" w:sz="4"/>
          <w:left w:val="single" w:color="BBCFE0" w:sz="4"/>
          <w:bottom w:val="single" w:color="BBCFE0" w:sz="4"/>
          <w:right w:val="single" w:color="BBCFE0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WHO</w:t>
            </w:r>
          </w:p>
        </w:tc>
        <w:tc>
          <w:tcPr>
            <w:tcW w:type="dxa" w:w="846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Organised cybercriminal group targeting the healthcare sector for financial gain</w:t>
            </w:r>
          </w:p>
        </w:tc>
      </w:tr>
      <w:tr>
        <w:tc>
          <w:tcPr>
            <w:tcW w:type="dxa" w:w="90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5C"/>
                <w:sz w:val="18"/>
                <w:szCs w:val="18"/>
              </w:rPr>
              <w:t xml:space="preserve">WHAT</w:t>
            </w:r>
          </w:p>
        </w:tc>
        <w:tc>
          <w:tcPr>
            <w:tcW w:type="dxa" w:w="846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Ransomware attack — files encrypted, systems locked, ransom demanded</w:t>
            </w:r>
          </w:p>
        </w:tc>
      </w:tr>
      <w:tr>
        <w:tc>
          <w:tcPr>
            <w:tcW w:type="dxa" w:w="90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5C"/>
                <w:sz w:val="18"/>
                <w:szCs w:val="18"/>
              </w:rPr>
              <w:t xml:space="preserve">WHERE</w:t>
            </w:r>
          </w:p>
        </w:tc>
        <w:tc>
          <w:tcPr>
            <w:tcW w:type="dxa" w:w="846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Healthcare organisation — internal systems and patient data infrastructure</w:t>
            </w:r>
          </w:p>
        </w:tc>
      </w:tr>
      <w:tr>
        <w:tc>
          <w:tcPr>
            <w:tcW w:type="dxa" w:w="90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5C"/>
                <w:sz w:val="18"/>
                <w:szCs w:val="18"/>
              </w:rPr>
              <w:t xml:space="preserve">WHEN</w:t>
            </w:r>
          </w:p>
        </w:tc>
        <w:tc>
          <w:tcPr>
            <w:tcW w:type="dxa" w:w="846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Tuesday at 9:00 a.m. during active business hours for maximum operational disruption</w:t>
            </w:r>
          </w:p>
        </w:tc>
      </w:tr>
      <w:tr>
        <w:tc>
          <w:tcPr>
            <w:tcW w:type="dxa" w:w="90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5C"/>
                <w:sz w:val="18"/>
                <w:szCs w:val="18"/>
              </w:rPr>
              <w:t xml:space="preserve">WHY</w:t>
            </w:r>
          </w:p>
        </w:tc>
        <w:tc>
          <w:tcPr>
            <w:tcW w:type="dxa" w:w="846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Phishing email delivered malicious payload → credential compromise → file encryption for financial extortion</w:t>
            </w:r>
          </w:p>
        </w:tc>
      </w:tr>
    </w:tbl>
    <w:p>
      <w:pPr>
        <w:spacing w:before="10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0"/>
          <w:szCs w:val="20"/>
        </w:rPr>
        <w:t xml:space="preserve">The attack unfolded across two phases: Detection &amp; Analysis (ransomware identified, external cybersecurity team engaged) and Containment, Eradication &amp; Recovery (systems shut down, eradication and recovery initiated). Primary lesson: phishing is the leading ransomware entry vector, making security awareness training a critical preventive control.</w:t>
      </w:r>
    </w:p>
    <w:p>
      <w:pPr>
        <w:spacing w:before="100" w:after="0"/>
      </w:pPr>
    </w:p>
    <w:p>
      <w:pPr>
        <w:spacing w:before="260" w:after="60"/>
      </w:pPr>
      <w:r>
        <w:rPr>
          <w:rFonts w:ascii="Arial" w:cs="Arial" w:eastAsia="Arial" w:hAnsi="Arial"/>
          <w:b/>
          <w:bCs/>
          <w:i w:val="false"/>
          <w:iCs w:val="false"/>
          <w:color w:val="1A3A5C"/>
          <w:sz w:val="22"/>
          <w:szCs w:val="22"/>
        </w:rPr>
        <w:t xml:space="preserve">ACTIVITY 2 — NETWORK TRAFFIC ANALYSIS USING WIRESHARK (FEB 25, 2026)</w:t>
      </w:r>
    </w:p>
    <w:p>
      <w:pPr>
        <w:pBdr>
          <w:bottom w:val="single" w:color="2A5F8F" w:sz="6" w:space="1"/>
        </w:pBdr>
        <w:spacing w:before="0" w:after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1F8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9"/>
                <w:szCs w:val="19"/>
              </w:rPr>
              <w:t xml:space="preserve">Tool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Wireshark — graphical network protocol analyser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1F8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9"/>
                <w:szCs w:val="19"/>
              </w:rPr>
              <w:t xml:space="preserve">Task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Analysed a PCAP file to identify traffic patterns and malicious indicators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0"/>
          <w:szCs w:val="20"/>
        </w:rPr>
        <w:t xml:space="preserve">Wireshark was used to open and inspect a packet capture file, examining individual packet structures, protocol headers, TCP/UDP sessions, and traffic volumes. Skills developed: packet filtering by protocol and IP, reading protocol headers, identifying anomalous traffic volumes, and spotting indicators of malicious activity within large datasets.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4A5568"/>
          <w:sz w:val="20"/>
          <w:szCs w:val="20"/>
        </w:rPr>
        <w:t xml:space="preserve">This activity sparked a strong interest in network forensics and traffic monitoring as a core SOC analyst discipline.</w:t>
      </w:r>
    </w:p>
    <w:p>
      <w:pPr>
        <w:spacing w:before="100" w:after="0"/>
      </w:pPr>
    </w:p>
    <w:p>
      <w:pPr>
        <w:spacing w:before="260" w:after="60"/>
      </w:pPr>
      <w:r>
        <w:rPr>
          <w:rFonts w:ascii="Arial" w:cs="Arial" w:eastAsia="Arial" w:hAnsi="Arial"/>
          <w:b/>
          <w:bCs/>
          <w:i w:val="false"/>
          <w:iCs w:val="false"/>
          <w:color w:val="1A3A5C"/>
          <w:sz w:val="22"/>
          <w:szCs w:val="22"/>
        </w:rPr>
        <w:t xml:space="preserve">ACTIVITY 3 — LIVE PACKET CAPTURE USING TCPDUMP (FEB 25, 2026)</w:t>
      </w:r>
    </w:p>
    <w:p>
      <w:pPr>
        <w:pBdr>
          <w:bottom w:val="single" w:color="2A5F8F" w:sz="6" w:space="1"/>
        </w:pBdr>
        <w:spacing w:before="0" w:after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1F8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9"/>
                <w:szCs w:val="19"/>
              </w:rPr>
              <w:t xml:space="preserve">Tool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tcpdump — CLI-based packet capture and analysis tool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1F8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9"/>
                <w:szCs w:val="19"/>
              </w:rPr>
              <w:t xml:space="preserve">Task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Captured live network traffic and applied command-line filters for analysis</w:t>
            </w:r>
          </w:p>
        </w:tc>
      </w:tr>
    </w:tbl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0"/>
          <w:szCs w:val="20"/>
        </w:rPr>
        <w:t xml:space="preserve">Used tcpdump from the Linux command line to capture live network traffic, apply protocol and host filters, and troubleshoot command syntax errors. Key skills built: command-line proficiency, real-time traffic capture, filter syntax, and debugging resilience.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4A5568"/>
          <w:sz w:val="20"/>
          <w:szCs w:val="20"/>
        </w:rPr>
        <w:t xml:space="preserve">tcpdump complements Wireshark for environments where a GUI is unavailable — mastering both tools is essential for thorough network investigation.</w:t>
      </w:r>
    </w:p>
    <w:p>
      <w:pPr>
        <w:spacing w:before="100" w:after="0"/>
      </w:pPr>
    </w:p>
    <w:p>
      <w:pPr>
        <w:spacing w:before="260" w:after="60"/>
      </w:pPr>
      <w:r>
        <w:rPr>
          <w:rFonts w:ascii="Arial" w:cs="Arial" w:eastAsia="Arial" w:hAnsi="Arial"/>
          <w:b/>
          <w:bCs/>
          <w:i w:val="false"/>
          <w:iCs w:val="false"/>
          <w:color w:val="1A3A5C"/>
          <w:sz w:val="22"/>
          <w:szCs w:val="22"/>
        </w:rPr>
        <w:t xml:space="preserve">ACTIVITY 4 — FILE HASH INVESTIGATION USING VIRUSTOTAL (FEB 27, 2026)</w:t>
      </w:r>
    </w:p>
    <w:p>
      <w:pPr>
        <w:pBdr>
          <w:bottom w:val="single" w:color="2A5F8F" w:sz="6" w:space="1"/>
        </w:pBdr>
        <w:spacing w:before="0" w:after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1F8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9"/>
                <w:szCs w:val="19"/>
              </w:rPr>
              <w:t xml:space="preserve">Tool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VirusTotal — threat intelligence platform (70+ AV engine aggregation)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1F8" w:val="clear"/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9"/>
                <w:szCs w:val="19"/>
              </w:rPr>
              <w:t xml:space="preserve">Task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5"/>
              <w:left w:type="dxa" w:w="100"/>
              <w:bottom w:type="dxa" w:w="55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9"/>
                <w:szCs w:val="19"/>
              </w:rPr>
              <w:t xml:space="preserve">Investigated a suspicious SHA-256 hash flagged by a SOC IDS alert at 1:20 p.m.</w:t>
            </w:r>
          </w:p>
        </w:tc>
      </w:tr>
    </w:tbl>
    <w:p>
      <w:pPr>
        <w:spacing w:before="10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3A5C"/>
          <w:sz w:val="20"/>
          <w:szCs w:val="20"/>
        </w:rPr>
        <w:t xml:space="preserve">5W SOC Investigation:</w:t>
      </w:r>
    </w:p>
    <w:tbl>
      <w:tblPr>
        <w:tblW w:type="dxa" w:w="9360"/>
        <w:tblBorders>
          <w:top w:val="single" w:color="BBCFE0" w:sz="4"/>
          <w:left w:val="single" w:color="BBCFE0" w:sz="4"/>
          <w:bottom w:val="single" w:color="BBCFE0" w:sz="4"/>
          <w:right w:val="single" w:color="BBCFE0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WHO</w:t>
            </w:r>
          </w:p>
        </w:tc>
        <w:tc>
          <w:tcPr>
            <w:tcW w:type="dxa" w:w="846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Unknown malicious actor — delivered payload via phishing email</w:t>
            </w:r>
          </w:p>
        </w:tc>
      </w:tr>
      <w:tr>
        <w:tc>
          <w:tcPr>
            <w:tcW w:type="dxa" w:w="90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5C"/>
                <w:sz w:val="18"/>
                <w:szCs w:val="18"/>
              </w:rPr>
              <w:t xml:space="preserve">WHAT</w:t>
            </w:r>
          </w:p>
        </w:tc>
        <w:tc>
          <w:tcPr>
            <w:tcW w:type="dxa" w:w="846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Malicious email attachment — confirmed malicious via SHA-256 hash analysis in VirusTotal</w:t>
            </w:r>
          </w:p>
        </w:tc>
      </w:tr>
      <w:tr>
        <w:tc>
          <w:tcPr>
            <w:tcW w:type="dxa" w:w="90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5C"/>
                <w:sz w:val="18"/>
                <w:szCs w:val="18"/>
              </w:rPr>
              <w:t xml:space="preserve">WHERE</w:t>
            </w:r>
          </w:p>
        </w:tc>
        <w:tc>
          <w:tcPr>
            <w:tcW w:type="dxa" w:w="846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Employee workstation at a Financial Services Company</w:t>
            </w:r>
          </w:p>
        </w:tc>
      </w:tr>
      <w:tr>
        <w:tc>
          <w:tcPr>
            <w:tcW w:type="dxa" w:w="90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5C"/>
                <w:sz w:val="18"/>
                <w:szCs w:val="18"/>
              </w:rPr>
              <w:t xml:space="preserve">WHEN</w:t>
            </w:r>
          </w:p>
        </w:tc>
        <w:tc>
          <w:tcPr>
            <w:tcW w:type="dxa" w:w="846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SOC IDS alert triggered at 1:20 p.m.</w:t>
            </w:r>
          </w:p>
        </w:tc>
      </w:tr>
      <w:tr>
        <w:tc>
          <w:tcPr>
            <w:tcW w:type="dxa" w:w="90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5C"/>
                <w:sz w:val="18"/>
                <w:szCs w:val="18"/>
              </w:rPr>
              <w:t xml:space="preserve">WHY</w:t>
            </w:r>
          </w:p>
        </w:tc>
        <w:tc>
          <w:tcPr>
            <w:tcW w:type="dxa" w:w="846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Employee executed a malicious attachment from a phishing email, triggering the IDS alert</w:t>
            </w:r>
          </w:p>
        </w:tc>
      </w:tr>
    </w:tbl>
    <w:p>
      <w:pPr>
        <w:spacing w:before="10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0"/>
          <w:szCs w:val="20"/>
        </w:rPr>
        <w:t xml:space="preserve">Submitting the file hash (not the file itself) to VirusTotal allowed safe threat validation against 70+ antivirus engines, confirming the attachment as malicious. This is a standard Tier 1 SOC analyst investigation workflow.</w:t>
      </w:r>
    </w:p>
    <w:p>
      <w:pPr>
        <w:spacing w:before="100" w:after="0"/>
      </w:pPr>
    </w:p>
    <w:p>
      <w:pPr>
        <w:spacing w:before="260" w:after="60"/>
      </w:pPr>
      <w:r>
        <w:rPr>
          <w:rFonts w:ascii="Arial" w:cs="Arial" w:eastAsia="Arial" w:hAnsi="Arial"/>
          <w:b/>
          <w:bCs/>
          <w:i w:val="false"/>
          <w:iCs w:val="false"/>
          <w:color w:val="1A3A5C"/>
          <w:sz w:val="22"/>
          <w:szCs w:val="22"/>
        </w:rPr>
        <w:t xml:space="preserve">PORTFOLIO LEARNING SUMMARY</w:t>
      </w:r>
    </w:p>
    <w:p>
      <w:pPr>
        <w:pBdr>
          <w:bottom w:val="single" w:color="2A5F8F" w:sz="6" w:space="1"/>
        </w:pBdr>
        <w:spacing w:before="0" w:after="0"/>
      </w:pPr>
    </w:p>
    <w:tbl>
      <w:tblPr>
        <w:tblW w:type="dxa" w:w="9360"/>
        <w:tblBorders>
          <w:top w:val="single" w:color="BBCFE0" w:sz="4"/>
          <w:left w:val="single" w:color="BBCFE0" w:sz="4"/>
          <w:bottom w:val="single" w:color="BBCFE0" w:sz="4"/>
          <w:right w:val="single" w:color="BBCFE0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Area</w:t>
            </w:r>
          </w:p>
        </w:tc>
        <w:tc>
          <w:tcPr>
            <w:tcW w:type="dxa" w:w="716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Outcome</w:t>
            </w:r>
          </w:p>
        </w:tc>
      </w:tr>
      <w:tr>
        <w:tc>
          <w:tcPr>
            <w:tcW w:type="dxa" w:w="220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5C"/>
                <w:sz w:val="18"/>
                <w:szCs w:val="18"/>
              </w:rPr>
              <w:t xml:space="preserve">Most Challenging</w:t>
            </w:r>
          </w:p>
        </w:tc>
        <w:tc>
          <w:tcPr>
            <w:tcW w:type="dxa" w:w="716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tcpdump — CLI syntax complexity required repeated troubleshooting, building resilience and debugging skills</w:t>
            </w:r>
          </w:p>
        </w:tc>
      </w:tr>
      <w:tr>
        <w:tc>
          <w:tcPr>
            <w:tcW w:type="dxa" w:w="220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5C"/>
                <w:sz w:val="18"/>
                <w:szCs w:val="18"/>
              </w:rPr>
              <w:t xml:space="preserve">Most Engaging</w:t>
            </w:r>
          </w:p>
        </w:tc>
        <w:tc>
          <w:tcPr>
            <w:tcW w:type="dxa" w:w="716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Wireshark &amp; VirusTotal — real-world tools used daily in SOC environments</w:t>
            </w:r>
          </w:p>
        </w:tc>
      </w:tr>
      <w:tr>
        <w:tc>
          <w:tcPr>
            <w:tcW w:type="dxa" w:w="220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5C"/>
                <w:sz w:val="18"/>
                <w:szCs w:val="18"/>
              </w:rPr>
              <w:t xml:space="preserve">Key Growth</w:t>
            </w:r>
          </w:p>
        </w:tc>
        <w:tc>
          <w:tcPr>
            <w:tcW w:type="dxa" w:w="716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Understanding the full IR lifecycle from detection through recovery; structured 5W analysis methodology</w:t>
            </w:r>
          </w:p>
        </w:tc>
      </w:tr>
      <w:tr>
        <w:tc>
          <w:tcPr>
            <w:tcW w:type="dxa" w:w="220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3A5C"/>
                <w:sz w:val="18"/>
                <w:szCs w:val="18"/>
              </w:rPr>
              <w:t xml:space="preserve">Tools Practised</w:t>
            </w:r>
          </w:p>
        </w:tc>
        <w:tc>
          <w:tcPr>
            <w:tcW w:type="dxa" w:w="7160"/>
            <w:tcBorders>
              <w:top w:val="single" w:color="BBCFE0" w:sz="4"/>
              <w:left w:val="single" w:color="BBCFE0" w:sz="4"/>
              <w:bottom w:val="single" w:color="BBCFE0" w:sz="4"/>
              <w:right w:val="single" w:color="BBCFE0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Wireshark · tcpdump · VirusTotal · Ransomware IR · PCAP analysis · Hash investigation</w:t>
            </w:r>
          </w:p>
        </w:tc>
      </w:tr>
    </w:tbl>
    <w:sectPr>
      <w:pgSz w:w="11906" w:h="16838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2026-03-02T04:49:41.893Z</dcterms:created>
  <dcterms:modified xsi:type="dcterms:W3CDTF">2026-03-02T04:49:41.893Z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