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00"/>
        <w:gridCol w:w="304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20"/>
              <w:bottom w:type="dxa" w:w="2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Security Audit Report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F0"/>
                <w:sz w:val="20"/>
                <w:szCs w:val="20"/>
              </w:rPr>
              <w:t xml:space="preserve">Botium Toys — Internal Controls &amp; Compliance Assessment</w:t>
            </w:r>
          </w:p>
        </w:tc>
        <w:tc>
          <w:tcPr>
            <w:tcW w:type="dxa" w:w="3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F8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Anshul Mehta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7"/>
                <w:szCs w:val="17"/>
              </w:rPr>
              <w:t xml:space="preserve">Compliance / GRC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5"/>
                <w:szCs w:val="15"/>
              </w:rPr>
              <w:t xml:space="preserve">Google Cybersecurity Cert (9/9)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AUDIT SCOPE &amp; GOALS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Botium Toys — retail company with online and physical storefront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Entire security programme: assets, internal network, systems, controls, and compliance practices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Goal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Assess existing assets, complete controls checklist, identify compliance gaps, improve security posture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Risk Score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8 / 10 — HIGH (due to missing controls and non-compliance with regulations)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Framework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NIST CSF — Identify function as primary lens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ASSETS IN SCOPE</w:t>
      </w:r>
    </w:p>
    <w:p>
      <w:pPr>
        <w:pBdr>
          <w:bottom w:val="single" w:color="2A5F8F" w:sz="6" w:space="1"/>
        </w:pBd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On-premises equipment for in-office business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Employee end-user devices: desktops, laptops, smartphones, workstations, docking stations, surveillance cameras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Storefront and warehouse products available for retail sale on-site and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Systems and services: accounting, telecommunications, database, security, ecommerce, inventory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Internet access, internal network, data retention and storage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Legacy end-of-life systems requiring human monitoring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CONTROLS ASSESSMENT CHECKLIST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Place?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/ Finding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All employees access internal data including PII/SPII and cardholder data — major breach risk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Disaster Recovery Plans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DRP exists — a breach or outage would severely impact business continuity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Password Policies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Password requirements are nominal and do not meet minimum complexity standards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Separation of Duties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CEO manages both day-to-day operations and payroll — fraud risk unmitigated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Firewall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Firewall is in place with appropriately defined security rules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Intrusion Detection System (IDS)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IDS deployed — intrusions cannot be detected or alerted on in real time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Backups of Critical Data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backups exist — data loss in a breach cannot be recovered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Antivirus Software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Antivirus installed and monitored regularly by the IT department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Legacy System Monitoring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Systems monitored but no regular schedule or defined intervention procedures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Encryption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Credit card data is not encrypted in the internal database — PCI DSS violation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Password Management System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centralised system — password resets cause productivity loss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Physical Locks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Offices, storefront, and warehouse all have adequate physical locks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CCTV Surveillance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CCTV installed and functioning at the physical location</w:t>
            </w:r>
          </w:p>
        </w:tc>
      </w:tr>
      <w:tr>
        <w:tc>
          <w:tcPr>
            <w:tcW w:type="dxa" w:w="3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Fire Detection / Prevention</w:t>
            </w:r>
          </w:p>
        </w:tc>
        <w:tc>
          <w:tcPr>
            <w:tcW w:type="dxa" w:w="1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Fire alarm and sprinkler system functional at the physical location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COMPLIANCE CHECKLIST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PCI DSS (Payment Card Industry Data Security Standard):</w:t>
      </w: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4460"/>
      </w:tblGrid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Compliant?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Authorised users only access card data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All employees have access to internal data including cardholder information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Card data stored in secure environment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Card data unencrypted; all employees can access it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Data encryption implemented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Encryption not currently used for card transaction data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Secure password management policies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Password policies are nominal; no password management system in place</w:t>
            </w:r>
          </w:p>
        </w:tc>
      </w:tr>
    </w:tbl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GDPR (General Data Protection Regulation — EU customers):</w:t>
      </w: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4460"/>
      </w:tblGrid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Compliant?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EU customer data kept private/secured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encryption to ensure confidentiality of EU customer financial data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72-hour breach notification plan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Plan exists to notify EU customers within 72 hours of a data breach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Data properly classified and inventoried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PARTIAL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Assets inventoried but not formally classified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Privacy policies enforced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Privacy policies developed and enforced among IT team and employees</w:t>
            </w:r>
          </w:p>
        </w:tc>
      </w:tr>
    </w:tbl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SOC Type 1 / Type 2:</w:t>
      </w: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4460"/>
      </w:tblGrid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Compliant?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User access policies established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Least privilege and separation of duties not implemented; all employees access all data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Sensitive data (PII/SPII) confidential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Encryption not used; PII/SPII accessible to all employees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Data integrity controls in place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Data integrity controls confirmed functional</w:t>
            </w:r>
          </w:p>
        </w:tc>
      </w:tr>
      <w:tr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Data available only to authorised users</w:t>
            </w:r>
          </w:p>
        </w:tc>
        <w:tc>
          <w:tcPr>
            <w:tcW w:type="dxa" w:w="13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PARTIAL</w:t>
            </w:r>
          </w:p>
        </w:tc>
        <w:tc>
          <w:tcPr>
            <w:tcW w:type="dxa" w:w="4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Data is available but not limited to those who need it for their role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RECOMMENDATIONS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following controls must be implemented as a priority to reduce risk and achieve compliance: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Implement Least Privilege — restrict data access to role-based need-to-know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Deploy Intrusion Detection System (IDS) — essential for real-time threat detection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Implement Disaster Recovery Plans and regular encrypted backups of critical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Enforce Separation of Duties — separate CEO/payroll responsibilities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Implement Encryption for all cardholder data and PII/SPII at rest and in transit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Deploy a centralised Password Management System with enforced complexity requirements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Establish a regular schedule for legacy system monitoring and define intervention procedures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Classify all inventoried assets to identify further controls required per data sensitivity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2026-03-02T04:49:42.088Z</dcterms:created>
  <dcterms:modified xsi:type="dcterms:W3CDTF">2026-03-02T04:49:42.088Z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