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z w:val="36"/>
          <w:szCs w:val="36"/>
        </w:rPr>
        <w:t xml:space="preserve">60Mins_Range_IronCondor_BnF</w:t>
      </w:r>
    </w:p>
    <w:p>
      <w:pPr>
        <w:spacing w:after="80" w:before="60"/>
      </w:pPr>
      <w:r>
        <w:rPr>
          <w:rFonts w:ascii="Arial" w:cs="Arial" w:eastAsia="Arial" w:hAnsi="Arial"/>
          <w:color w:val="333333"/>
          <w:sz w:val="22"/>
          <w:szCs w:val="22"/>
        </w:rPr>
        <w:t xml:space="preserve">Iron Condor version — adds a buy hedge to the strangle. Sells CE and PE near the range, then buys CE 500 points higher and PE 500 points lower to cap the max loss. Has individual leg stop losses plus an MTM stop. BankNifty, 2024 options data.</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What it needs to run</w:t>
      </w:r>
    </w:p>
    <w:p>
      <w:pPr>
        <w:spacing w:after="100" w:before="240"/>
      </w:pPr>
      <w:r>
        <w:rPr>
          <w:rFonts w:ascii="Arial" w:cs="Arial" w:eastAsia="Arial" w:hAnsi="Arial"/>
          <w:b/>
          <w:bCs/>
          <w:color w:val="333333"/>
          <w:sz w:val="24"/>
          <w:szCs w:val="24"/>
        </w:rPr>
        <w:t xml:space="preserve">1. Spot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NIFTYBANK_INDEX_60_Min.csv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D:\AlgoTrade\Fyers_AlgoTrade\Fyers_Data\BankNifty_Index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Row slice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iloc[-1203:-42]</w:t>
            </w:r>
          </w:p>
        </w:tc>
      </w:tr>
    </w:tbl>
    <w:p>
      <w:pPr>
        <w:spacing w:after="0" w:before="120"/>
      </w:pPr>
      <w:r>
        <w:t xml:space="preserve"/>
      </w:r>
    </w:p>
    <w:p>
      <w:pPr>
        <w:spacing w:after="100" w:before="240"/>
      </w:pPr>
      <w:r>
        <w:rPr>
          <w:rFonts w:ascii="Arial" w:cs="Arial" w:eastAsia="Arial" w:hAnsi="Arial"/>
          <w:b/>
          <w:bCs/>
          <w:color w:val="333333"/>
          <w:sz w:val="24"/>
          <w:szCs w:val="24"/>
        </w:rPr>
        <w:t xml:space="preserve">2. VIX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INDIAVIX_INDEX_60_Min.csv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D:\AlgoTrade\Fyers_AlgoTrade\Fyers_Data\INDIAVIX_Index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Row slice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iloc[-1203:-42]</w:t>
            </w:r>
          </w:p>
        </w:tc>
      </w:tr>
    </w:tbl>
    <w:p>
      <w:pPr>
        <w:spacing w:after="0" w:before="120"/>
      </w:pPr>
      <w:r>
        <w:t xml:space="preserve"/>
      </w:r>
    </w:p>
    <w:p>
      <w:pPr>
        <w:spacing w:after="100" w:before="240"/>
      </w:pPr>
      <w:r>
        <w:rPr>
          <w:rFonts w:ascii="Arial" w:cs="Arial" w:eastAsia="Arial" w:hAnsi="Arial"/>
          <w:b/>
          <w:bCs/>
          <w:color w:val="333333"/>
          <w:sz w:val="24"/>
          <w:szCs w:val="24"/>
        </w:rPr>
        <w:t xml:space="preserve">3. Options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Folder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D:\AlgoTrade\Fyers_AlgoTrade\Fyers_Data\New_Options_Data_BnF\2024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banknifty_option_YYYY-MM-DD.csv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Extra contracts needed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CE at sell_strike + 500 and PE at sell_strike - 500 (the hedge legs)</w:t>
            </w:r>
          </w:p>
        </w:tc>
      </w:tr>
    </w:tbl>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Structure (4 legs)</w:t>
      </w:r>
    </w:p>
    <w:p>
      <w:pPr>
        <w:pStyle w:val="ListParagraph"/>
        <w:numPr>
          <w:ilvl w:val="0"/>
          <w:numId w:val="2"/>
        </w:numPr>
        <w:spacing w:after="50" w:before="50"/>
      </w:pPr>
      <w:r>
        <w:rPr>
          <w:rFonts w:ascii="Arial" w:cs="Arial" w:eastAsia="Arial" w:hAnsi="Arial"/>
          <w:color w:val="333333"/>
          <w:sz w:val="22"/>
          <w:szCs w:val="22"/>
        </w:rPr>
        <w:t xml:space="preserve">Sell CE at High of 9:15 candle rounded to 100</w:t>
      </w:r>
    </w:p>
    <w:p>
      <w:pPr>
        <w:pStyle w:val="ListParagraph"/>
        <w:numPr>
          <w:ilvl w:val="0"/>
          <w:numId w:val="2"/>
        </w:numPr>
        <w:spacing w:after="50" w:before="50"/>
      </w:pPr>
      <w:r>
        <w:rPr>
          <w:rFonts w:ascii="Arial" w:cs="Arial" w:eastAsia="Arial" w:hAnsi="Arial"/>
          <w:color w:val="333333"/>
          <w:sz w:val="22"/>
          <w:szCs w:val="22"/>
        </w:rPr>
        <w:t xml:space="preserve">Sell PE at Low of 9:15 candle rounded to 100</w:t>
      </w:r>
    </w:p>
    <w:p>
      <w:pPr>
        <w:pStyle w:val="ListParagraph"/>
        <w:numPr>
          <w:ilvl w:val="0"/>
          <w:numId w:val="2"/>
        </w:numPr>
        <w:spacing w:after="50" w:before="50"/>
      </w:pPr>
      <w:r>
        <w:rPr>
          <w:rFonts w:ascii="Arial" w:cs="Arial" w:eastAsia="Arial" w:hAnsi="Arial"/>
          <w:color w:val="333333"/>
          <w:sz w:val="22"/>
          <w:szCs w:val="22"/>
        </w:rPr>
        <w:t xml:space="preserve">Buy CE at CE_sell_strike + 500 (hedge)</w:t>
      </w:r>
    </w:p>
    <w:p>
      <w:pPr>
        <w:pStyle w:val="ListParagraph"/>
        <w:numPr>
          <w:ilvl w:val="0"/>
          <w:numId w:val="2"/>
        </w:numPr>
        <w:spacing w:after="50" w:before="50"/>
      </w:pPr>
      <w:r>
        <w:rPr>
          <w:rFonts w:ascii="Arial" w:cs="Arial" w:eastAsia="Arial" w:hAnsi="Arial"/>
          <w:color w:val="333333"/>
          <w:sz w:val="22"/>
          <w:szCs w:val="22"/>
        </w:rPr>
        <w:t xml:space="preserve">Buy PE at PE_sell_strike - 500 (hedge)</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How it works</w:t>
      </w:r>
    </w:p>
    <w:p>
      <w:pPr>
        <w:pStyle w:val="ListParagraph"/>
        <w:numPr>
          <w:ilvl w:val="0"/>
          <w:numId w:val="2"/>
        </w:numPr>
        <w:spacing w:after="50" w:before="50"/>
      </w:pPr>
      <w:r>
        <w:rPr>
          <w:rFonts w:ascii="Arial" w:cs="Arial" w:eastAsia="Arial" w:hAnsi="Arial"/>
          <w:color w:val="333333"/>
          <w:sz w:val="22"/>
          <w:szCs w:val="22"/>
        </w:rPr>
        <w:t xml:space="preserve">All 4 legs enter at 10:15 AM open with slippage applied (sell legs +0.5%, buy legs -0.5%)</w:t>
      </w:r>
    </w:p>
    <w:p>
      <w:pPr>
        <w:pStyle w:val="ListParagraph"/>
        <w:numPr>
          <w:ilvl w:val="0"/>
          <w:numId w:val="2"/>
        </w:numPr>
        <w:spacing w:after="50" w:before="50"/>
      </w:pPr>
      <w:r>
        <w:rPr>
          <w:rFonts w:ascii="Arial" w:cs="Arial" w:eastAsia="Arial" w:hAnsi="Arial"/>
          <w:color w:val="333333"/>
          <w:sz w:val="22"/>
          <w:szCs w:val="22"/>
        </w:rPr>
        <w:t xml:space="preserve">Individual leg SL: 40% above sell price — if CE high &gt;= CE SL price, CE leg is closed</w:t>
      </w:r>
    </w:p>
    <w:p>
      <w:pPr>
        <w:pStyle w:val="ListParagraph"/>
        <w:numPr>
          <w:ilvl w:val="0"/>
          <w:numId w:val="2"/>
        </w:numPr>
        <w:spacing w:after="50" w:before="50"/>
      </w:pPr>
      <w:r>
        <w:rPr>
          <w:rFonts w:ascii="Arial" w:cs="Arial" w:eastAsia="Arial" w:hAnsi="Arial"/>
          <w:color w:val="333333"/>
          <w:sz w:val="22"/>
          <w:szCs w:val="22"/>
        </w:rPr>
        <w:t xml:space="preserve">When CE leg stops out: buy hedge leg (CE +500) is also closed immediately; PE stop is reset to original</w:t>
      </w:r>
    </w:p>
    <w:p>
      <w:pPr>
        <w:pStyle w:val="ListParagraph"/>
        <w:numPr>
          <w:ilvl w:val="0"/>
          <w:numId w:val="2"/>
        </w:numPr>
        <w:spacing w:after="50" w:before="50"/>
      </w:pPr>
      <w:r>
        <w:rPr>
          <w:rFonts w:ascii="Arial" w:cs="Arial" w:eastAsia="Arial" w:hAnsi="Arial"/>
          <w:color w:val="333333"/>
          <w:sz w:val="22"/>
          <w:szCs w:val="22"/>
        </w:rPr>
        <w:t xml:space="preserve">Same logic mirrors for PE leg</w:t>
      </w:r>
    </w:p>
    <w:p>
      <w:pPr>
        <w:pStyle w:val="ListParagraph"/>
        <w:numPr>
          <w:ilvl w:val="0"/>
          <w:numId w:val="2"/>
        </w:numPr>
        <w:spacing w:after="50" w:before="50"/>
      </w:pPr>
      <w:r>
        <w:rPr>
          <w:rFonts w:ascii="Arial" w:cs="Arial" w:eastAsia="Arial" w:hAnsi="Arial"/>
          <w:color w:val="333333"/>
          <w:sz w:val="22"/>
          <w:szCs w:val="22"/>
        </w:rPr>
        <w:t xml:space="preserve">MTM stop: if total 4-leg P&amp;L drops to -₹14,500, all legs closed</w:t>
      </w:r>
    </w:p>
    <w:p>
      <w:pPr>
        <w:pStyle w:val="ListParagraph"/>
        <w:numPr>
          <w:ilvl w:val="0"/>
          <w:numId w:val="2"/>
        </w:numPr>
        <w:spacing w:after="50" w:before="50"/>
      </w:pPr>
      <w:r>
        <w:rPr>
          <w:rFonts w:ascii="Arial" w:cs="Arial" w:eastAsia="Arial" w:hAnsi="Arial"/>
          <w:color w:val="333333"/>
          <w:sz w:val="22"/>
          <w:szCs w:val="22"/>
        </w:rPr>
        <w:t xml:space="preserve">VIX filter: skip day if VIX open at 10:15 &gt; 17</w:t>
      </w:r>
    </w:p>
    <w:p>
      <w:pPr>
        <w:pStyle w:val="ListParagraph"/>
        <w:numPr>
          <w:ilvl w:val="0"/>
          <w:numId w:val="2"/>
        </w:numPr>
        <w:spacing w:after="50" w:before="50"/>
      </w:pPr>
      <w:r>
        <w:rPr>
          <w:rFonts w:ascii="Arial" w:cs="Arial" w:eastAsia="Arial" w:hAnsi="Arial"/>
          <w:color w:val="333333"/>
          <w:sz w:val="22"/>
          <w:szCs w:val="22"/>
        </w:rPr>
        <w:t xml:space="preserve">Close all at 14:45 if not already stopped</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Key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initial_amount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₹3,00,000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lot_size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90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stop_loss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1.40 (40%)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MTM_loss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-₹14,500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slippage (sell legs)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1.005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slippage (buy legs)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0.995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max_vix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trade_time / closing_time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10:15 AM / 14:45 PM</w:t>
            </w:r>
          </w:p>
        </w:tc>
      </w:tr>
    </w:tbl>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Brokerage calculation</w:t>
      </w:r>
    </w:p>
    <w:p>
      <w:pPr>
        <w:spacing w:after="80" w:before="60"/>
      </w:pPr>
      <w:r>
        <w:rPr>
          <w:rFonts w:ascii="Arial" w:cs="Arial" w:eastAsia="Arial" w:hAnsi="Arial"/>
          <w:color w:val="333333"/>
          <w:sz w:val="22"/>
          <w:szCs w:val="22"/>
        </w:rPr>
        <w:t xml:space="preserve">calculate_brokerage() computes realistic per-trade costs including:</w:t>
      </w:r>
    </w:p>
    <w:p>
      <w:pPr>
        <w:pStyle w:val="ListParagraph"/>
        <w:numPr>
          <w:ilvl w:val="0"/>
          <w:numId w:val="2"/>
        </w:numPr>
        <w:spacing w:after="50" w:before="50"/>
      </w:pPr>
      <w:r>
        <w:rPr>
          <w:rFonts w:ascii="Arial" w:cs="Arial" w:eastAsia="Arial" w:hAnsi="Arial"/>
          <w:color w:val="333333"/>
          <w:sz w:val="22"/>
          <w:szCs w:val="22"/>
        </w:rPr>
        <w:t xml:space="preserve">Flat brokerage: ₹40</w:t>
      </w:r>
    </w:p>
    <w:p>
      <w:pPr>
        <w:pStyle w:val="ListParagraph"/>
        <w:numPr>
          <w:ilvl w:val="0"/>
          <w:numId w:val="2"/>
        </w:numPr>
        <w:spacing w:after="50" w:before="50"/>
      </w:pPr>
      <w:r>
        <w:rPr>
          <w:rFonts w:ascii="Arial" w:cs="Arial" w:eastAsia="Arial" w:hAnsi="Arial"/>
          <w:color w:val="333333"/>
          <w:sz w:val="22"/>
          <w:szCs w:val="22"/>
        </w:rPr>
        <w:t xml:space="preserve">STT: 0.1% on sell side (updated Oct 2024 rate)</w:t>
      </w:r>
    </w:p>
    <w:p>
      <w:pPr>
        <w:pStyle w:val="ListParagraph"/>
        <w:numPr>
          <w:ilvl w:val="0"/>
          <w:numId w:val="2"/>
        </w:numPr>
        <w:spacing w:after="50" w:before="50"/>
      </w:pPr>
      <w:r>
        <w:rPr>
          <w:rFonts w:ascii="Arial" w:cs="Arial" w:eastAsia="Arial" w:hAnsi="Arial"/>
          <w:color w:val="333333"/>
          <w:sz w:val="22"/>
          <w:szCs w:val="22"/>
        </w:rPr>
        <w:t xml:space="preserve">Transaction charges: 0.0495% on both sides</w:t>
      </w:r>
    </w:p>
    <w:p>
      <w:pPr>
        <w:pStyle w:val="ListParagraph"/>
        <w:numPr>
          <w:ilvl w:val="0"/>
          <w:numId w:val="2"/>
        </w:numPr>
        <w:spacing w:after="50" w:before="50"/>
      </w:pPr>
      <w:r>
        <w:rPr>
          <w:rFonts w:ascii="Arial" w:cs="Arial" w:eastAsia="Arial" w:hAnsi="Arial"/>
          <w:color w:val="333333"/>
          <w:sz w:val="22"/>
          <w:szCs w:val="22"/>
        </w:rPr>
        <w:t xml:space="preserve">GST: 18% on brokerage + transaction + SEBI charges</w:t>
      </w:r>
    </w:p>
    <w:p>
      <w:pPr>
        <w:pStyle w:val="ListParagraph"/>
        <w:numPr>
          <w:ilvl w:val="0"/>
          <w:numId w:val="2"/>
        </w:numPr>
        <w:spacing w:after="50" w:before="50"/>
      </w:pPr>
      <w:r>
        <w:rPr>
          <w:rFonts w:ascii="Arial" w:cs="Arial" w:eastAsia="Arial" w:hAnsi="Arial"/>
          <w:color w:val="333333"/>
          <w:sz w:val="22"/>
          <w:szCs w:val="22"/>
        </w:rPr>
        <w:t xml:space="preserve">SEBI charges: ₹10 per crore</w:t>
      </w:r>
    </w:p>
    <w:p>
      <w:pPr>
        <w:pStyle w:val="ListParagraph"/>
        <w:numPr>
          <w:ilvl w:val="0"/>
          <w:numId w:val="2"/>
        </w:numPr>
        <w:spacing w:after="50" w:before="50"/>
      </w:pPr>
      <w:r>
        <w:rPr>
          <w:rFonts w:ascii="Arial" w:cs="Arial" w:eastAsia="Arial" w:hAnsi="Arial"/>
          <w:color w:val="333333"/>
          <w:sz w:val="22"/>
          <w:szCs w:val="22"/>
        </w:rPr>
        <w:t xml:space="preserve">Stamp duty: 0.003% on buy side</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Output</w:t>
      </w:r>
    </w:p>
    <w:p>
      <w:pPr>
        <w:pStyle w:val="ListParagraph"/>
        <w:numPr>
          <w:ilvl w:val="0"/>
          <w:numId w:val="2"/>
        </w:numPr>
        <w:spacing w:after="50" w:before="50"/>
      </w:pPr>
      <w:r>
        <w:rPr>
          <w:rFonts w:ascii="Arial" w:cs="Arial" w:eastAsia="Arial" w:hAnsi="Arial"/>
          <w:color w:val="333333"/>
          <w:sz w:val="22"/>
          <w:szCs w:val="22"/>
        </w:rPr>
        <w:t xml:space="preserve">CSV: BNF_trading_data_IronCondor.csv — full trade log with all 4 leg prices and SL info</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Things to know</w:t>
      </w:r>
    </w:p>
    <w:p>
      <w:pPr>
        <w:pStyle w:val="ListParagraph"/>
        <w:numPr>
          <w:ilvl w:val="0"/>
          <w:numId w:val="2"/>
        </w:numPr>
        <w:spacing w:after="50" w:before="50"/>
      </w:pPr>
      <w:r>
        <w:rPr>
          <w:rFonts w:ascii="Arial" w:cs="Arial" w:eastAsia="Arial" w:hAnsi="Arial"/>
          <w:color w:val="333333"/>
          <w:sz w:val="22"/>
          <w:szCs w:val="22"/>
        </w:rPr>
        <w:t xml:space="preserve">Lot size is 90 here vs 30 in the strangle files — the hedge legs reduce max loss but the overall position size is much larger</w:t>
      </w:r>
    </w:p>
    <w:p>
      <w:pPr>
        <w:pStyle w:val="ListParagraph"/>
        <w:numPr>
          <w:ilvl w:val="0"/>
          <w:numId w:val="2"/>
        </w:numPr>
        <w:spacing w:after="50" w:before="50"/>
      </w:pPr>
      <w:r>
        <w:rPr>
          <w:rFonts w:ascii="Arial" w:cs="Arial" w:eastAsia="Arial" w:hAnsi="Arial"/>
          <w:color w:val="333333"/>
          <w:sz w:val="22"/>
          <w:szCs w:val="22"/>
        </w:rPr>
        <w:t xml:space="preserve">The hedge legs (buy CE/PE) only close when the corresponding sell leg stops out — otherwise they're held to EOD and sold at low price</w:t>
      </w:r>
    </w:p>
    <w:p>
      <w:pPr>
        <w:pStyle w:val="ListParagraph"/>
        <w:numPr>
          <w:ilvl w:val="0"/>
          <w:numId w:val="2"/>
        </w:numPr>
        <w:spacing w:after="50" w:before="50"/>
      </w:pPr>
      <w:r>
        <w:rPr>
          <w:rFonts w:ascii="Arial" w:cs="Arial" w:eastAsia="Arial" w:hAnsi="Arial"/>
          <w:color w:val="333333"/>
          <w:sz w:val="22"/>
          <w:szCs w:val="22"/>
        </w:rPr>
        <w:t xml:space="preserve">MTM_loss is -₹14,500 vs -₹4,000 in strangle — higher threshold because the iron condor theoretically caps the loss but costs more in premium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2026-04-17T09:20:34.720Z</dcterms:created>
  <dcterms:modified xsi:type="dcterms:W3CDTF">2026-04-17T09:20:34.720Z</dcterms:modified>
</cp:coreProperties>
</file>

<file path=docProps/custom.xml><?xml version="1.0" encoding="utf-8"?>
<Properties xmlns="http://schemas.openxmlformats.org/officeDocument/2006/custom-properties" xmlns:vt="http://schemas.openxmlformats.org/officeDocument/2006/docPropsVTypes"/>
</file>