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8"/>
        </w:rPr>
        <w:t>Inkloom AI Brand Governance Platform</w:t>
      </w:r>
    </w:p>
    <w:p>
      <w:pPr>
        <w:spacing w:after="360"/>
        <w:jc w:val="center"/>
      </w:pPr>
      <w:r>
        <w:rPr>
          <w:rFonts w:ascii="Calibri" w:hAnsi="Calibri"/>
          <w:i/>
          <w:color w:val="335C67"/>
          <w:sz w:val="26"/>
        </w:rPr>
        <w:t>Round 1 Proposal &amp; Technical Architecture Document</w:t>
      </w:r>
    </w:p>
    <w:p>
      <w:pPr>
        <w:spacing w:after="360"/>
        <w:pBdr>
          <w:bottom w:val="single" w:sz="12" w:space="1" w:color="1B365D"/>
        </w:pBdr>
      </w:pPr>
    </w:p>
    <w:p>
      <w:pPr>
        <w:keepNext/>
        <w:spacing w:before="360" w:after="120"/>
      </w:pPr>
      <w:r>
        <w:rPr>
          <w:rFonts w:ascii="Arial" w:hAnsi="Arial"/>
          <w:b/>
          <w:color w:val="1B365D"/>
          <w:sz w:val="32"/>
        </w:rPr>
        <w:t>Section 1: Understanding of the Given Problem Statement</w:t>
      </w:r>
    </w:p>
    <w:p>
      <w:pPr>
        <w:keepNext/>
        <w:spacing w:before="280" w:after="80"/>
      </w:pPr>
      <w:r>
        <w:rPr>
          <w:rFonts w:ascii="Arial" w:hAnsi="Arial"/>
          <w:b/>
          <w:color w:val="335C67"/>
          <w:sz w:val="26"/>
        </w:rPr>
        <w:t>1.1 The Core Challenge: Velocity vs. Compliance</w:t>
      </w:r>
    </w:p>
    <w:p>
      <w:r>
        <w:t>Modern organizations operate in an ultra-fast publishing environment where digital content is generated simultaneously by internal employees, external marketing agencies, and generative AI platforms. While this decentralized production model enables rapid market reach, it creates an acute operational tension between content velocity and brand compliance.</w:t>
      </w:r>
    </w:p>
    <w:p>
      <w:r>
        <w:t>When publishing speed takes priority over systematic oversight, critical brand errors inevitably slip into public channels. These issues include:</w:t>
      </w:r>
    </w:p>
    <w:p>
      <w:pPr>
        <w:pStyle w:val="ListBullet"/>
        <w:spacing w:before="40" w:after="80"/>
        <w:ind w:left="360"/>
      </w:pPr>
      <w:r>
        <w:rPr>
          <w:b/>
          <w:color w:val="1E293B"/>
        </w:rPr>
        <w:t xml:space="preserve">• </w:t>
      </w:r>
      <w:r>
        <w:rPr>
          <w:color w:val="1E293B"/>
        </w:rPr>
        <w:t>Factual Inaccuracies &amp; Unsubstantiated Claims: Outdated product numbers, incorrect pricing, or illegal promotional statements that expose the organization to legal liability and brand erosion.</w:t>
      </w:r>
    </w:p>
    <w:p>
      <w:pPr>
        <w:pStyle w:val="ListBullet"/>
        <w:spacing w:before="40" w:after="80"/>
        <w:ind w:left="360"/>
      </w:pPr>
      <w:r>
        <w:rPr>
          <w:b/>
          <w:color w:val="1E293B"/>
        </w:rPr>
        <w:t xml:space="preserve">• </w:t>
      </w:r>
      <w:r>
        <w:rPr>
          <w:color w:val="1E293B"/>
        </w:rPr>
        <w:t>Inconsistent Messaging &amp; Tone: Disjointed voice across marketing touchpoints that dilutes corporate identity and confuses prospective customers.</w:t>
      </w:r>
    </w:p>
    <w:p>
      <w:pPr>
        <w:pStyle w:val="ListBullet"/>
        <w:spacing w:before="40" w:after="80"/>
        <w:ind w:left="360"/>
      </w:pPr>
      <w:r>
        <w:rPr>
          <w:b/>
          <w:color w:val="1E293B"/>
        </w:rPr>
        <w:t xml:space="preserve">• </w:t>
      </w:r>
      <w:r>
        <w:rPr>
          <w:color w:val="1E293B"/>
        </w:rPr>
        <w:t>Visual Non-Compliance: Off-brand color palettes, incorrect logo placements, improper aspect ratios, and poor visual accessibility compliance.</w:t>
      </w:r>
    </w:p>
    <w:p>
      <w:pPr>
        <w:keepNext/>
        <w:spacing w:before="280" w:after="80"/>
      </w:pPr>
      <w:r>
        <w:rPr>
          <w:rFonts w:ascii="Arial" w:hAnsi="Arial"/>
          <w:b/>
          <w:color w:val="335C67"/>
          <w:sz w:val="26"/>
        </w:rPr>
        <w:t>1.2 The Bottleneck of Traditional Governance</w:t>
      </w:r>
    </w:p>
    <w:p>
      <w:r>
        <w:t>Existing brand governance approaches fail because they rely on manual "gatekeeper" review models. Human compliance teams become severe operational bottlenecks, forcing creators to either bypass compliance protocols to hit tight deadlines or endure long review delays that destroy content momentum. Conversely, purely automated "pass/fail" filters alienate creators by blanket-rejecting drafts without context or actionable guidance.</w:t>
      </w:r>
    </w:p>
    <w:p>
      <w:pPr>
        <w:keepNext/>
        <w:spacing w:before="280" w:after="80"/>
      </w:pPr>
      <w:r>
        <w:rPr>
          <w:rFonts w:ascii="Arial" w:hAnsi="Arial"/>
          <w:b/>
          <w:color w:val="335C67"/>
          <w:sz w:val="26"/>
        </w:rPr>
        <w:t>1.3 Targeted Problem &amp; Objective</w:t>
      </w:r>
    </w:p>
    <w:p>
      <w:r>
        <w:t>The objective of this solution is to remove the friction between speed and governance by embedding intelligent, explainable brand checks directly into the creator's active workspace prior to publication. Rather than acting as a punitive blocker, the platform balances automated precision with human decision-making—detecting factual, tonal, and visual discrepancies, explaining why an issue was flagged with direct guideline citations, and providing actionable corrections that preserve the creator's original intent.</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1B365D"/>
              <w:bottom w:val="none"/>
              <w:right w:val="none"/>
            </w:tcBorders>
          </w:tcPr>
          <w:p>
            <w:pPr>
              <w:spacing w:before="120" w:after="120"/>
              <w:ind w:left="216" w:right="216"/>
            </w:pPr>
            <w:r>
              <w:rPr>
                <w:b/>
                <w:color w:val="1B365D"/>
              </w:rPr>
              <w:t xml:space="preserve">Core Operational Insight: </w:t>
            </w:r>
            <w:r>
              <w:rPr>
                <w:i/>
                <w:color w:val="1E293B"/>
              </w:rPr>
              <w:t>The platform transforms compliance from an external blocking gate into an in-context assistant, reducing turnaround times from days to seconds while eliminating off-brand risk.</w:t>
            </w:r>
          </w:p>
        </w:tc>
      </w:tr>
    </w:tbl>
    <w:p>
      <w:pPr>
        <w:spacing w:before="0" w:after="120"/>
      </w:pPr>
    </w:p>
    <w:p>
      <w:pPr>
        <w:keepNext/>
        <w:spacing w:before="360" w:after="120"/>
      </w:pPr>
      <w:r>
        <w:rPr>
          <w:rFonts w:ascii="Arial" w:hAnsi="Arial"/>
          <w:b/>
          <w:color w:val="1B365D"/>
          <w:sz w:val="32"/>
        </w:rPr>
        <w:t>Section 2: Target Users &amp; Organisational Setting</w:t>
      </w:r>
    </w:p>
    <w:p>
      <w:pPr>
        <w:keepNext/>
        <w:spacing w:before="280" w:after="80"/>
      </w:pPr>
      <w:r>
        <w:rPr>
          <w:rFonts w:ascii="Arial" w:hAnsi="Arial"/>
          <w:b/>
          <w:color w:val="335C67"/>
          <w:sz w:val="26"/>
        </w:rPr>
        <w:t>2.1 Organisational Setting</w:t>
      </w:r>
    </w:p>
    <w:p>
      <w:r>
        <w:t>The platform is designed for mid-to-large enterprise marketing operations, fast-growing multi-product brands, and decentralized teams publishing across web, social media, email, and digital advertising channels. These settings involve multiple content contributors, frequent brand policy updates, and zero tolerance for public-facing brand errors.</w:t>
      </w:r>
    </w:p>
    <w:p>
      <w:pPr>
        <w:keepNext/>
        <w:spacing w:before="280" w:after="80"/>
      </w:pPr>
      <w:r>
        <w:rPr>
          <w:rFonts w:ascii="Arial" w:hAnsi="Arial"/>
          <w:b/>
          <w:color w:val="335C67"/>
          <w:sz w:val="26"/>
        </w:rPr>
        <w:t>2.2 Target User Profiles &amp; Needs</w:t>
      </w:r>
    </w:p>
    <w:p>
      <w:r>
        <w:t>To address the diverse stakeholders involved in brand stewardship, the platform specifies three distinct user profiles: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B365D"/>
          </w:tcPr>
          <w:p>
            <w:pPr>
              <w:spacing w:before="80" w:after="80"/>
            </w:pPr>
            <w:r>
              <w:rPr>
                <w:b/>
                <w:color w:val="FFFFFF"/>
              </w:rPr>
              <w:t>User Role</w:t>
            </w:r>
          </w:p>
        </w:tc>
        <w:tc>
          <w:tcPr>
            <w:tcW w:type="dxa" w:w="2592"/>
            <w:shd w:fill="1B365D"/>
          </w:tcPr>
          <w:p>
            <w:pPr>
              <w:spacing w:before="80" w:after="80"/>
            </w:pPr>
            <w:r>
              <w:rPr>
                <w:b/>
                <w:color w:val="FFFFFF"/>
              </w:rPr>
              <w:t>Primary Needs</w:t>
            </w:r>
          </w:p>
        </w:tc>
        <w:tc>
          <w:tcPr>
            <w:tcW w:type="dxa" w:w="2448"/>
            <w:shd w:fill="1B365D"/>
          </w:tcPr>
          <w:p>
            <w:pPr>
              <w:spacing w:before="80" w:after="80"/>
            </w:pPr>
            <w:r>
              <w:rPr>
                <w:b/>
                <w:color w:val="FFFFFF"/>
              </w:rPr>
              <w:t>Pain Points Addressed</w:t>
            </w:r>
          </w:p>
        </w:tc>
        <w:tc>
          <w:tcPr>
            <w:tcW w:type="dxa" w:w="2160"/>
            <w:shd w:fill="1B365D"/>
          </w:tcPr>
          <w:p>
            <w:pPr>
              <w:spacing w:before="80" w:after="80"/>
            </w:pPr>
            <w:r>
              <w:rPr>
                <w:b/>
                <w:color w:val="FFFFFF"/>
              </w:rPr>
              <w:t>System Interaction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Brand Managers &amp; Compliance Officers</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Centralized control over rules, rapid policy updates, clear enforcement metrics, and oversight of high-risk claims.</w:t>
            </w:r>
          </w:p>
        </w:tc>
        <w:tc>
          <w:tcPr>
            <w:tcW w:type="dxa" w:w="2448"/>
            <w:shd w:fill="F8FAFC"/>
            <w:tcBorders>
              <w:top w:val="single" w:sz="4" w:space="0" w:color="CBD5E1"/>
              <w:left w:val="single" w:sz="4" w:space="0" w:color="CBD5E1"/>
              <w:bottom w:val="single" w:sz="4" w:space="0" w:color="CBD5E1"/>
              <w:right w:val="single" w:sz="4" w:space="0" w:color="CBD5E1"/>
            </w:tcBorders>
          </w:tcPr>
          <w:p>
            <w:pPr>
              <w:spacing w:before="60" w:after="60"/>
            </w:pPr>
            <w:r>
              <w:t>Manual review burnout, lack of visibility into recurring mistakes across teams, outdated static PDF guidelines.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Admin Web Dashboard: Uploads "Golden Facts" (CSV/Excel), configures tone rules, manages visual assets, and monitors analytics.</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pPr>
            <w:r>
              <w:t>Content Creators (Marketers, Writers)</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Instant, real-time feedback within daily workflows without leaving native CMS workspaces.</w:t>
            </w:r>
          </w:p>
        </w:tc>
        <w:tc>
          <w:tcPr>
            <w:tcW w:type="dxa" w:w="2448"/>
            <w:shd w:fill="FFFFFF"/>
            <w:tcBorders>
              <w:top w:val="single" w:sz="4" w:space="0" w:color="CBD5E1"/>
              <w:left w:val="single" w:sz="4" w:space="0" w:color="CBD5E1"/>
              <w:bottom w:val="single" w:sz="4" w:space="0" w:color="CBD5E1"/>
              <w:right w:val="single" w:sz="4" w:space="0" w:color="CBD5E1"/>
            </w:tcBorders>
          </w:tcPr>
          <w:p>
            <w:pPr>
              <w:spacing w:before="60" w:after="60"/>
            </w:pPr>
            <w:r>
              <w:t>Disruptive context-switching, opaque rejections, uncertainty regarding current brand facts and visual standards.</w:t>
            </w:r>
          </w:p>
        </w:tc>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pPr>
            <w:r>
              <w:t>Chrome Extension: Triggers 1-click pre-publication evaluations in native CMS (WordPress, LinkedIn) and receives inline fixes.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Authorised Reviewers / Stakeholders</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Structured collaboration workspace for approving flagged content, managing revisions, and maintaining audit trails.</w:t>
            </w:r>
          </w:p>
        </w:tc>
        <w:tc>
          <w:tcPr>
            <w:tcW w:type="dxa" w:w="2448"/>
            <w:shd w:fill="F8FAFC"/>
            <w:tcBorders>
              <w:top w:val="single" w:sz="4" w:space="0" w:color="CBD5E1"/>
              <w:left w:val="single" w:sz="4" w:space="0" w:color="CBD5E1"/>
              <w:bottom w:val="single" w:sz="4" w:space="0" w:color="CBD5E1"/>
              <w:right w:val="single" w:sz="4" w:space="0" w:color="CBD5E1"/>
            </w:tcBorders>
          </w:tcPr>
          <w:p>
            <w:pPr>
              <w:spacing w:before="60" w:after="60"/>
            </w:pPr>
            <w:r>
              <w:t>Unorganized email threads for approval, uncoordinated updates, lack of revision history.</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Collaborative Review Module: Reviews escalated content, inspects flagged citations, adds comments, and logs final approvals.</w:t>
            </w:r>
          </w:p>
        </w:tc>
      </w:tr>
    </w:tbl>
    <w:p>
      <w:pPr>
        <w:spacing w:before="0" w:after="120"/>
      </w:pPr>
    </w:p>
    <w:p>
      <w:pPr>
        <w:keepNext/>
        <w:spacing w:before="360" w:after="120"/>
      </w:pPr>
      <w:r>
        <w:rPr>
          <w:rFonts w:ascii="Arial" w:hAnsi="Arial"/>
          <w:b/>
          <w:color w:val="1B365D"/>
          <w:sz w:val="32"/>
        </w:rPr>
        <w:t>Section 3: Proposed Solution &amp; Value Proposition</w:t>
      </w:r>
    </w:p>
    <w:p>
      <w:pPr>
        <w:keepNext/>
        <w:spacing w:before="280" w:after="80"/>
      </w:pPr>
      <w:r>
        <w:rPr>
          <w:rFonts w:ascii="Arial" w:hAnsi="Arial"/>
          <w:b/>
          <w:color w:val="335C67"/>
          <w:sz w:val="26"/>
        </w:rPr>
        <w:t>3.1 Solution Concept</w:t>
      </w:r>
    </w:p>
    <w:p>
      <w:r>
        <w:t>The proposed platform is a dual-workflow AI brand governance architecture that separates administrative rule management from decentralized creator checks. By uniting a centralized Admin Web Dashboard with a lightweight Browser Extension, the platform establishes a seamless loop between brand policy definition and real-time content enforcement.</w:t>
      </w:r>
    </w:p>
    <w:p>
      <w:pPr>
        <w:keepNext/>
        <w:spacing w:before="280" w:after="80"/>
      </w:pPr>
      <w:r>
        <w:rPr>
          <w:rFonts w:ascii="Arial" w:hAnsi="Arial"/>
          <w:b/>
          <w:color w:val="335C67"/>
          <w:sz w:val="26"/>
        </w:rPr>
        <w:t>3.2 Core Value Proposition</w:t>
      </w:r>
    </w:p>
    <w:p>
      <w:pPr>
        <w:pStyle w:val="ListBullet"/>
        <w:spacing w:before="40" w:after="80"/>
        <w:ind w:left="360"/>
      </w:pPr>
      <w:r>
        <w:rPr>
          <w:b/>
          <w:color w:val="1E293B"/>
        </w:rPr>
        <w:t xml:space="preserve">• </w:t>
      </w:r>
      <w:r>
        <w:rPr>
          <w:color w:val="1E293B"/>
        </w:rPr>
        <w:t>Velocity Without Risk: Enables creators to publish faster while ensuring 100% adherence to factual claims, visual identity, and tone guidelines.</w:t>
      </w:r>
    </w:p>
    <w:p>
      <w:pPr>
        <w:pStyle w:val="ListBullet"/>
        <w:spacing w:before="40" w:after="80"/>
        <w:ind w:left="360"/>
      </w:pPr>
      <w:r>
        <w:rPr>
          <w:b/>
          <w:color w:val="1E293B"/>
        </w:rPr>
        <w:t xml:space="preserve">• </w:t>
      </w:r>
      <w:r>
        <w:rPr>
          <w:color w:val="1E293B"/>
        </w:rPr>
        <w:t>Explainable &amp; Prescriptive AI: Replaces silent rejections with clear citations to official guidelines and actionable fix suggestions that retain creator voice.</w:t>
      </w:r>
    </w:p>
    <w:p>
      <w:pPr>
        <w:pStyle w:val="ListBullet"/>
        <w:spacing w:before="40" w:after="80"/>
        <w:ind w:left="360"/>
      </w:pPr>
      <w:r>
        <w:rPr>
          <w:b/>
          <w:color w:val="1E293B"/>
        </w:rPr>
        <w:t xml:space="preserve">• </w:t>
      </w:r>
      <w:r>
        <w:rPr>
          <w:color w:val="1E293B"/>
        </w:rPr>
        <w:t>Dual-Engine Precision: Separates deterministic mathematical visual checks (hex colors, logo boundaries) from subjective creative evaluations (brand "vibe").</w:t>
      </w:r>
    </w:p>
    <w:p>
      <w:pPr>
        <w:keepNext/>
        <w:spacing w:before="280" w:after="80"/>
      </w:pPr>
      <w:r>
        <w:rPr>
          <w:rFonts w:ascii="Arial" w:hAnsi="Arial"/>
          <w:b/>
          <w:color w:val="335C67"/>
          <w:sz w:val="26"/>
        </w:rPr>
        <w:t>3.3 Key Differentiators &amp; Originality</w:t>
      </w:r>
    </w:p>
    <w:p>
      <w:pPr>
        <w:pStyle w:val="ListBullet"/>
        <w:spacing w:before="40" w:after="80"/>
        <w:ind w:left="360"/>
      </w:pPr>
      <w:r>
        <w:rPr>
          <w:b/>
          <w:color w:val="1E293B"/>
        </w:rPr>
        <w:t xml:space="preserve">1. </w:t>
      </w:r>
      <w:r>
        <w:rPr>
          <w:color w:val="1E293B"/>
        </w:rPr>
        <w:t>Zero Workflow Interruption: Integrates governance directly into the creator's browser-based publishing tool via a Chrome Extension.</w:t>
      </w:r>
    </w:p>
    <w:p>
      <w:pPr>
        <w:pStyle w:val="ListBullet"/>
        <w:spacing w:before="40" w:after="80"/>
        <w:ind w:left="360"/>
      </w:pPr>
      <w:r>
        <w:rPr>
          <w:b/>
          <w:color w:val="1E293B"/>
        </w:rPr>
        <w:t xml:space="preserve">2. </w:t>
      </w:r>
      <w:r>
        <w:rPr>
          <w:color w:val="1E293B"/>
        </w:rPr>
        <w:t>Split Vision Engine Architecture: Combines deterministic computer vision for hard visual compliance with vision LLMs for qualitative style checks.</w:t>
      </w:r>
    </w:p>
    <w:p>
      <w:pPr>
        <w:pStyle w:val="ListBullet"/>
        <w:spacing w:before="40" w:after="80"/>
        <w:ind w:left="360"/>
      </w:pPr>
      <w:r>
        <w:rPr>
          <w:b/>
          <w:color w:val="1E293B"/>
        </w:rPr>
        <w:t xml:space="preserve">3. </w:t>
      </w:r>
      <w:r>
        <w:rPr>
          <w:color w:val="1E293B"/>
        </w:rPr>
        <w:t>Enterprise Privacy Pivot: Features an explicit roadmap transitioning from standard APIs during hackathon MVP to Google Cloud Vertex AI in production to guarantee zero model-training on confidential enterprise data.</w:t>
      </w:r>
    </w:p>
    <w:p>
      <w:pPr>
        <w:keepNext/>
        <w:spacing w:before="360" w:after="120"/>
      </w:pPr>
      <w:r>
        <w:rPr>
          <w:rFonts w:ascii="Arial" w:hAnsi="Arial"/>
          <w:b/>
          <w:color w:val="1B365D"/>
          <w:sz w:val="32"/>
        </w:rPr>
        <w:t>Section 4: Complete Product Workflow</w:t>
      </w:r>
    </w:p>
    <w:p>
      <w:pPr>
        <w:keepNext/>
        <w:spacing w:before="280" w:after="80"/>
      </w:pPr>
      <w:r>
        <w:rPr>
          <w:rFonts w:ascii="Arial" w:hAnsi="Arial"/>
          <w:b/>
          <w:color w:val="335C67"/>
          <w:sz w:val="26"/>
        </w:rPr>
        <w:t>Step 1: Rule Ingestion &amp; Asset Indexing (Admin Dashboard)</w:t>
      </w:r>
    </w:p>
    <w:p>
      <w:r>
        <w:t>1. Fact &amp; Policy Setup: Brand Managers log into the Admin Dashboard and upload approved "Golden Facts" in structured formats (CSV/Excel) alongside written guidelines.</w:t>
      </w:r>
    </w:p>
    <w:p>
      <w:r>
        <w:t>2. Vector Indexing: The system processes text documents into a Vector Database (Pinecone / Qdrant) using Retrieval-Augmented Generation (RAG) embeddings.</w:t>
      </w:r>
    </w:p>
    <w:p>
      <w:r>
        <w:t>3. Visual Asset Upload: Managers upload approved logos, color swatches, and "Golden Assets" representing ideal brand aesthetics.</w:t>
      </w:r>
    </w:p>
    <w:p>
      <w:pPr>
        <w:keepNext/>
        <w:spacing w:before="280" w:after="80"/>
      </w:pPr>
      <w:r>
        <w:rPr>
          <w:rFonts w:ascii="Arial" w:hAnsi="Arial"/>
          <w:b/>
          <w:color w:val="335C67"/>
          <w:sz w:val="26"/>
        </w:rPr>
        <w:t>Step 2: Content Check Triggering (Chrome Extension)</w:t>
      </w:r>
    </w:p>
    <w:p>
      <w:r>
        <w:t>1. Draft Creation: The creator drafts text and visual media inside their CMS workspace (e.g., WordPress, Webflow, LinkedIn).</w:t>
      </w:r>
    </w:p>
    <w:p>
      <w:r>
        <w:t>2. In-Context Execution: The creator clicks the Chrome Extension to run a pre-publication audit without leaving the CMS interface.</w:t>
      </w:r>
    </w:p>
    <w:p>
      <w:pPr>
        <w:keepNext/>
        <w:spacing w:before="280" w:after="80"/>
      </w:pPr>
      <w:r>
        <w:rPr>
          <w:rFonts w:ascii="Arial" w:hAnsi="Arial"/>
          <w:b/>
          <w:color w:val="335C67"/>
          <w:sz w:val="26"/>
        </w:rPr>
        <w:t>Step 3: Multi-Modal Evaluation Engine</w:t>
      </w:r>
    </w:p>
    <w:p>
      <w:pPr>
        <w:keepNext/>
        <w:spacing w:before="200" w:after="40"/>
      </w:pPr>
      <w:r>
        <w:rPr>
          <w:rFonts w:ascii="Calibri" w:hAnsi="Calibri"/>
          <w:b/>
          <w:color w:val="1B365D"/>
          <w:sz w:val="23"/>
        </w:rPr>
        <w:t>Text Evaluation Pipeline (RAG + Gemini LLM):</w:t>
      </w:r>
    </w:p>
    <w:p>
      <w:r>
        <w:t>The draft text is passed to the vector search engine (Pinecone/Qdrant) to retrieve matching "Golden Facts" and tone rules. Gemini LLM analyzes the text against retrieved contexts, identifying inaccurate claims, tone mismatches, and improper terminology, outputting explicit citations pointing to the exact source rule alongside actionable rewrite suggestions.</w:t>
      </w:r>
    </w:p>
    <w:p>
      <w:pPr>
        <w:keepNext/>
        <w:spacing w:before="200" w:after="40"/>
      </w:pPr>
      <w:r>
        <w:rPr>
          <w:rFonts w:ascii="Calibri" w:hAnsi="Calibri"/>
          <w:b/>
          <w:color w:val="1B365D"/>
          <w:sz w:val="23"/>
        </w:rPr>
        <w:t>Visual Evaluation Pipeline (Split Vision Engine):</w:t>
      </w:r>
    </w:p>
    <w:p>
      <w:pPr>
        <w:pStyle w:val="ListBullet"/>
        <w:spacing w:before="40" w:after="80"/>
        <w:ind w:left="360"/>
      </w:pPr>
      <w:r>
        <w:rPr>
          <w:b/>
          <w:color w:val="1E293B"/>
        </w:rPr>
        <w:t xml:space="preserve">• </w:t>
      </w:r>
      <w:r>
        <w:rPr>
          <w:color w:val="1E293B"/>
        </w:rPr>
        <w:t>Hard Rules (Deterministic OpenCV): Python scripts extract exact hex color codes from draft visuals and perform template matching for logo placement, ensuring 100% mathematical accuracy.</w:t>
      </w:r>
    </w:p>
    <w:p>
      <w:pPr>
        <w:pStyle w:val="ListBullet"/>
        <w:spacing w:before="40" w:after="80"/>
        <w:ind w:left="360"/>
      </w:pPr>
      <w:r>
        <w:rPr>
          <w:b/>
          <w:color w:val="1E293B"/>
        </w:rPr>
        <w:t xml:space="preserve">• </w:t>
      </w:r>
      <w:r>
        <w:rPr>
          <w:color w:val="1E293B"/>
        </w:rPr>
        <w:t>Subjective Style (Gemini Pro Vision): Gemini Pro Vision evaluates image aesthetics against uploaded "Golden Assets" using few-shot prompting to judge brand "vibe" and qualitative consistency.</w:t>
      </w:r>
    </w:p>
    <w:p>
      <w:pPr>
        <w:keepNext/>
        <w:spacing w:before="280" w:after="80"/>
      </w:pPr>
      <w:r>
        <w:rPr>
          <w:rFonts w:ascii="Arial" w:hAnsi="Arial"/>
          <w:b/>
          <w:color w:val="335C67"/>
          <w:sz w:val="26"/>
        </w:rPr>
        <w:t>Step 4: Human-in-the-Loop Collaboration &amp; Governance</w:t>
      </w:r>
    </w:p>
    <w:p>
      <w:r>
        <w:t>1. Inline Review: The creator reviews flagged inline warnings directly within the Chrome Extension, accepting automated suggestions or making manual edits.</w:t>
      </w:r>
    </w:p>
    <w:p>
      <w:r>
        <w:t>2. Escalation &amp; Approval: If a check flags a high-risk policy variance, the draft is escalated to the Admin Dashboard review queue for manager sign-off.</w:t>
      </w:r>
    </w:p>
    <w:p>
      <w:r>
        <w:t>3. Continuous Governance Insights: Repeated mistakes or ambiguous guidelines are highlighted in the Admin Dashboard analytics, providing brand managers with data to refine rules over time.</w:t>
      </w:r>
    </w:p>
    <w:p>
      <w:pPr>
        <w:keepNext/>
        <w:spacing w:before="360" w:after="120"/>
      </w:pPr>
      <w:r>
        <w:rPr>
          <w:rFonts w:ascii="Arial" w:hAnsi="Arial"/>
          <w:b/>
          <w:color w:val="1B365D"/>
          <w:sz w:val="32"/>
        </w:rPr>
        <w:t>Section 5: Main Planned Features</w:t>
      </w:r>
    </w:p>
    <w:p>
      <w:pPr>
        <w:keepNext/>
        <w:spacing w:before="280" w:after="80"/>
      </w:pPr>
      <w:r>
        <w:rPr>
          <w:rFonts w:ascii="Arial" w:hAnsi="Arial"/>
          <w:b/>
          <w:color w:val="335C67"/>
          <w:sz w:val="26"/>
        </w:rPr>
        <w:t>5.1 Admin Dashboard Capabilities (Brand Managers &amp; Compliance Officers)</w:t>
      </w:r>
    </w:p>
    <w:p>
      <w:pPr>
        <w:pStyle w:val="ListBullet"/>
        <w:spacing w:before="40" w:after="80"/>
        <w:ind w:left="360"/>
      </w:pPr>
      <w:r>
        <w:rPr>
          <w:b/>
          <w:color w:val="1E293B"/>
        </w:rPr>
        <w:t xml:space="preserve">• </w:t>
      </w:r>
      <w:r>
        <w:rPr>
          <w:color w:val="1E293B"/>
        </w:rPr>
        <w:t>Golden Facts Ingestion: Allows managers to upload structured spreadsheets (CSV/Excel) containing approved facts, pricing, statistics, and product specifications, automatically indexed into a Vector DB.</w:t>
      </w:r>
    </w:p>
    <w:p>
      <w:pPr>
        <w:pStyle w:val="ListBullet"/>
        <w:spacing w:before="40" w:after="80"/>
        <w:ind w:left="360"/>
      </w:pPr>
      <w:r>
        <w:rPr>
          <w:b/>
          <w:color w:val="1E293B"/>
        </w:rPr>
        <w:t xml:space="preserve">• </w:t>
      </w:r>
      <w:r>
        <w:rPr>
          <w:color w:val="1E293B"/>
        </w:rPr>
        <w:t>Rule &amp; Policy Configuration: Enables custom definition of banned keywords, mandatory legal disclosures, and tone-of-voice parameters across different content channels.</w:t>
      </w:r>
    </w:p>
    <w:p>
      <w:pPr>
        <w:pStyle w:val="ListBullet"/>
        <w:spacing w:before="40" w:after="80"/>
        <w:ind w:left="360"/>
      </w:pPr>
      <w:r>
        <w:rPr>
          <w:b/>
          <w:color w:val="1E293B"/>
        </w:rPr>
        <w:t xml:space="preserve">• </w:t>
      </w:r>
      <w:r>
        <w:rPr>
          <w:color w:val="1E293B"/>
        </w:rPr>
        <w:t>Visual Golden Assets Repository: Centralized storage for approved logos, exact hex color swatches, typography rules, and reference images representing approved brand aesthetics.</w:t>
      </w:r>
    </w:p>
    <w:p>
      <w:pPr>
        <w:pStyle w:val="ListBullet"/>
        <w:spacing w:before="40" w:after="80"/>
        <w:ind w:left="360"/>
      </w:pPr>
      <w:r>
        <w:rPr>
          <w:b/>
          <w:color w:val="1E293B"/>
        </w:rPr>
        <w:t xml:space="preserve">• </w:t>
      </w:r>
      <w:r>
        <w:rPr>
          <w:color w:val="1E293B"/>
        </w:rPr>
        <w:t>Review Queue &amp; Escalation Management: A centralized workflow workspace where escalated high-risk drafts are reviewed, commented on, and approved or rejected with audit trails.</w:t>
      </w:r>
    </w:p>
    <w:p>
      <w:pPr>
        <w:pStyle w:val="ListBullet"/>
        <w:spacing w:before="40" w:after="80"/>
        <w:ind w:left="360"/>
      </w:pPr>
      <w:r>
        <w:rPr>
          <w:b/>
          <w:color w:val="1E293B"/>
        </w:rPr>
        <w:t xml:space="preserve">• </w:t>
      </w:r>
      <w:r>
        <w:rPr>
          <w:color w:val="1E293B"/>
        </w:rPr>
        <w:t>Governance Analytics &amp; Recurring Error Insights: Tracks system usage to identify frequently violated brand rules, flagging areas where guidelines may be unclear or misunderstood.</w:t>
      </w:r>
    </w:p>
    <w:p>
      <w:pPr>
        <w:keepNext/>
        <w:spacing w:before="280" w:after="80"/>
      </w:pPr>
      <w:r>
        <w:rPr>
          <w:rFonts w:ascii="Arial" w:hAnsi="Arial"/>
          <w:b/>
          <w:color w:val="335C67"/>
          <w:sz w:val="26"/>
        </w:rPr>
        <w:t>5.2 Creator Capabilities (Chrome Extension for Content Marketers)</w:t>
      </w:r>
    </w:p>
    <w:p>
      <w:pPr>
        <w:pStyle w:val="ListBullet"/>
        <w:spacing w:before="40" w:after="80"/>
        <w:ind w:left="360"/>
      </w:pPr>
      <w:r>
        <w:rPr>
          <w:b/>
          <w:color w:val="1E293B"/>
        </w:rPr>
        <w:t xml:space="preserve">• </w:t>
      </w:r>
      <w:r>
        <w:rPr>
          <w:color w:val="1E293B"/>
        </w:rPr>
        <w:t>Native Workspace Integration: Operates directly inside popular browser-based publishing platforms (WordPress, LinkedIn, Webflow, Canva) without requiring external context switching.</w:t>
      </w:r>
    </w:p>
    <w:p>
      <w:pPr>
        <w:pStyle w:val="ListBullet"/>
        <w:spacing w:before="40" w:after="80"/>
        <w:ind w:left="360"/>
      </w:pPr>
      <w:r>
        <w:rPr>
          <w:b/>
          <w:color w:val="1E293B"/>
        </w:rPr>
        <w:t xml:space="preserve">• </w:t>
      </w:r>
      <w:r>
        <w:rPr>
          <w:color w:val="1E293B"/>
        </w:rPr>
        <w:t>One-Click Pre-Publication Audit: Analyzes text copy and visual media directly from the active CMS page prior to publishing.</w:t>
      </w:r>
    </w:p>
    <w:p>
      <w:pPr>
        <w:pStyle w:val="ListBullet"/>
        <w:spacing w:before="40" w:after="80"/>
        <w:ind w:left="360"/>
      </w:pPr>
      <w:r>
        <w:rPr>
          <w:b/>
          <w:color w:val="1E293B"/>
        </w:rPr>
        <w:t xml:space="preserve">• </w:t>
      </w:r>
      <w:r>
        <w:rPr>
          <w:color w:val="1E293B"/>
        </w:rPr>
        <w:t>Inline Factual &amp; Claim Verification: Compares draft copy against stored Golden Facts, highlighting outdated numbers or unverified promotional claims alongside direct citations to official source documents.</w:t>
      </w:r>
    </w:p>
    <w:p>
      <w:pPr>
        <w:pStyle w:val="ListBullet"/>
        <w:spacing w:before="40" w:after="80"/>
        <w:ind w:left="360"/>
      </w:pPr>
      <w:r>
        <w:rPr>
          <w:b/>
          <w:color w:val="1E293B"/>
        </w:rPr>
        <w:t xml:space="preserve">• </w:t>
      </w:r>
      <w:r>
        <w:rPr>
          <w:color w:val="1E293B"/>
        </w:rPr>
        <w:t>Actionable Correction Engine: Replaces punitive rejections with prescriptive, AI-generated rewrites that preserve the creator's original tone while restoring factual accuracy.</w:t>
      </w:r>
    </w:p>
    <w:p>
      <w:pPr>
        <w:pStyle w:val="ListBullet"/>
        <w:spacing w:before="40" w:after="80"/>
        <w:ind w:left="360"/>
      </w:pPr>
      <w:r>
        <w:rPr>
          <w:b/>
          <w:color w:val="1E293B"/>
        </w:rPr>
        <w:t xml:space="preserve">• </w:t>
      </w:r>
      <w:r>
        <w:rPr>
          <w:color w:val="1E293B"/>
        </w:rPr>
        <w:t>Visual Identity Check: Evaluates uploaded visual assets for color palette accuracy, logo placement, aspect ratio compliance, and overall aesthetic alignment.</w:t>
      </w:r>
    </w:p>
    <w:p>
      <w:pPr>
        <w:pStyle w:val="ListBullet"/>
        <w:spacing w:before="40" w:after="80"/>
        <w:ind w:left="360"/>
      </w:pPr>
      <w:r>
        <w:rPr>
          <w:b/>
          <w:color w:val="1E293B"/>
        </w:rPr>
        <w:t xml:space="preserve">• </w:t>
      </w:r>
      <w:r>
        <w:rPr>
          <w:color w:val="1E293B"/>
        </w:rPr>
        <w:t>Human-in-the-Loop Feedback &amp; Escalation: Allows creators to accept suggested edits with a single click, provide explanatory notes for exceptions, or request manual review from a manager.</w:t>
      </w:r>
    </w:p>
    <w:p>
      <w:pPr>
        <w:keepNext/>
        <w:spacing w:before="360" w:after="120"/>
      </w:pPr>
      <w:r>
        <w:rPr>
          <w:rFonts w:ascii="Arial" w:hAnsi="Arial"/>
          <w:b/>
          <w:color w:val="1B365D"/>
          <w:sz w:val="32"/>
        </w:rPr>
        <w:t>Section 6: Technical Architecture &amp; Technology Stack</w:t>
      </w:r>
    </w:p>
    <w:p>
      <w:pPr>
        <w:keepNext/>
        <w:spacing w:before="280" w:after="80"/>
      </w:pPr>
      <w:r>
        <w:rPr>
          <w:rFonts w:ascii="Arial" w:hAnsi="Arial"/>
          <w:b/>
          <w:color w:val="335C67"/>
          <w:sz w:val="26"/>
        </w:rPr>
        <w:t>6.1 System Architecture Overview</w:t>
      </w:r>
    </w:p>
    <w:p>
      <w:r>
        <w:t>The architecture combines a scalable Retrieval-Augmented Generation (RAG) text pipeline with a specialized Split Vision Engine for multi-modal verification.</w:t>
      </w:r>
    </w:p>
    <w:p>
      <w:pPr>
        <w:keepNext/>
        <w:spacing w:before="280" w:after="80"/>
      </w:pPr>
      <w:r>
        <w:rPr>
          <w:rFonts w:ascii="Arial" w:hAnsi="Arial"/>
          <w:b/>
          <w:color w:val="335C67"/>
          <w:sz w:val="26"/>
        </w:rPr>
        <w:t>6.2 Technology Stack Breakdown</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592"/>
            <w:shd w:fill="1B365D"/>
          </w:tcPr>
          <w:p>
            <w:pPr>
              <w:spacing w:before="80" w:after="80"/>
            </w:pPr>
            <w:r>
              <w:rPr>
                <w:b/>
                <w:color w:val="FFFFFF"/>
              </w:rPr>
              <w:t>Layer</w:t>
            </w:r>
          </w:p>
        </w:tc>
        <w:tc>
          <w:tcPr>
            <w:tcW w:type="dxa" w:w="2592"/>
            <w:shd w:fill="1B365D"/>
          </w:tcPr>
          <w:p>
            <w:pPr>
              <w:spacing w:before="80" w:after="80"/>
            </w:pPr>
            <w:r>
              <w:rPr>
                <w:b/>
                <w:color w:val="FFFFFF"/>
              </w:rPr>
              <w:t>Component / Tool</w:t>
            </w:r>
          </w:p>
        </w:tc>
        <w:tc>
          <w:tcPr>
            <w:tcW w:type="dxa" w:w="4176"/>
            <w:shd w:fill="1B365D"/>
          </w:tcPr>
          <w:p>
            <w:pPr>
              <w:spacing w:before="80" w:after="80"/>
            </w:pPr>
            <w:r>
              <w:rPr>
                <w:b/>
                <w:color w:val="FFFFFF"/>
              </w:rPr>
              <w:t>Primary Function &amp; Rationale</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Frontend &amp; UI</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React / Tailwind CSS</w:t>
            </w:r>
          </w:p>
        </w:tc>
        <w:tc>
          <w:tcPr>
            <w:tcW w:type="dxa" w:w="4176"/>
            <w:shd w:fill="F8FAFC"/>
            <w:tcBorders>
              <w:top w:val="single" w:sz="4" w:space="0" w:color="CBD5E1"/>
              <w:left w:val="single" w:sz="4" w:space="0" w:color="CBD5E1"/>
              <w:bottom w:val="single" w:sz="4" w:space="0" w:color="CBD5E1"/>
              <w:right w:val="single" w:sz="4" w:space="0" w:color="CBD5E1"/>
            </w:tcBorders>
          </w:tcPr>
          <w:p>
            <w:pPr>
              <w:spacing w:before="60" w:after="60"/>
            </w:pPr>
            <w:r>
              <w:t>Powers the Admin Dashboard with a clean, responsive analytics and asset management UI.</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Browser Integration</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Chrome Extension Manifest V3</w:t>
            </w:r>
          </w:p>
        </w:tc>
        <w:tc>
          <w:tcPr>
            <w:tcW w:type="dxa" w:w="4176"/>
            <w:shd w:fill="FFFFFF"/>
            <w:tcBorders>
              <w:top w:val="single" w:sz="4" w:space="0" w:color="CBD5E1"/>
              <w:left w:val="single" w:sz="4" w:space="0" w:color="CBD5E1"/>
              <w:bottom w:val="single" w:sz="4" w:space="0" w:color="CBD5E1"/>
              <w:right w:val="single" w:sz="4" w:space="0" w:color="CBD5E1"/>
            </w:tcBorders>
          </w:tcPr>
          <w:p>
            <w:pPr>
              <w:spacing w:before="60" w:after="60"/>
            </w:pPr>
            <w:r>
              <w:t>Delivers lightweight, low-overhead DOM extraction and inline overlay rendering across any web CMS.</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Backend &amp; API</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FastAPI (Python)</w:t>
            </w:r>
          </w:p>
        </w:tc>
        <w:tc>
          <w:tcPr>
            <w:tcW w:type="dxa" w:w="4176"/>
            <w:shd w:fill="F8FAFC"/>
            <w:tcBorders>
              <w:top w:val="single" w:sz="4" w:space="0" w:color="CBD5E1"/>
              <w:left w:val="single" w:sz="4" w:space="0" w:color="CBD5E1"/>
              <w:bottom w:val="single" w:sz="4" w:space="0" w:color="CBD5E1"/>
              <w:right w:val="single" w:sz="4" w:space="0" w:color="CBD5E1"/>
            </w:tcBorders>
          </w:tcPr>
          <w:p>
            <w:pPr>
              <w:spacing w:before="60" w:after="60"/>
            </w:pPr>
            <w:r>
              <w:t>High-performance, asynchronous REST API for executing multi-modal evaluation pipelines.</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Vector Database &amp; RAG</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Pinecone / Qdrant</w:t>
            </w:r>
          </w:p>
        </w:tc>
        <w:tc>
          <w:tcPr>
            <w:tcW w:type="dxa" w:w="4176"/>
            <w:shd w:fill="FFFFFF"/>
            <w:tcBorders>
              <w:top w:val="single" w:sz="4" w:space="0" w:color="CBD5E1"/>
              <w:left w:val="single" w:sz="4" w:space="0" w:color="CBD5E1"/>
              <w:bottom w:val="single" w:sz="4" w:space="0" w:color="CBD5E1"/>
              <w:right w:val="single" w:sz="4" w:space="0" w:color="CBD5E1"/>
            </w:tcBorders>
          </w:tcPr>
          <w:p>
            <w:pPr>
              <w:spacing w:before="60" w:after="60"/>
            </w:pPr>
            <w:r>
              <w:t>Enables low-latency semantic vector search over uploaded Golden Facts and policy documents.</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Deterministic Computer Vision</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OpenCV (Python)</w:t>
            </w:r>
          </w:p>
        </w:tc>
        <w:tc>
          <w:tcPr>
            <w:tcW w:type="dxa" w:w="4176"/>
            <w:shd w:fill="F8FAFC"/>
            <w:tcBorders>
              <w:top w:val="single" w:sz="4" w:space="0" w:color="CBD5E1"/>
              <w:left w:val="single" w:sz="4" w:space="0" w:color="CBD5E1"/>
              <w:bottom w:val="single" w:sz="4" w:space="0" w:color="CBD5E1"/>
              <w:right w:val="single" w:sz="4" w:space="0" w:color="CBD5E1"/>
            </w:tcBorders>
          </w:tcPr>
          <w:p>
            <w:pPr>
              <w:spacing w:before="60" w:after="60"/>
            </w:pPr>
            <w:r>
              <w:t>Performs mathematical color extraction and template matching for strict visual compliance.</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Multi-Modal AI Engine</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Gemini Pro &amp; Gemini Pro Vision</w:t>
            </w:r>
          </w:p>
        </w:tc>
        <w:tc>
          <w:tcPr>
            <w:tcW w:type="dxa" w:w="4176"/>
            <w:shd w:fill="FFFFFF"/>
            <w:tcBorders>
              <w:top w:val="single" w:sz="4" w:space="0" w:color="CBD5E1"/>
              <w:left w:val="single" w:sz="4" w:space="0" w:color="CBD5E1"/>
              <w:bottom w:val="single" w:sz="4" w:space="0" w:color="CBD5E1"/>
              <w:right w:val="single" w:sz="4" w:space="0" w:color="CBD5E1"/>
            </w:tcBorders>
          </w:tcPr>
          <w:p>
            <w:pPr>
              <w:spacing w:before="60" w:after="60"/>
            </w:pPr>
            <w:r>
              <w:t>Handles complex textual RAG evaluations, tone analysis, and qualitative image style judging.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Enterprise Cloud Infrastructure</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Google Cloud Vertex AI</w:t>
            </w:r>
          </w:p>
        </w:tc>
        <w:tc>
          <w:tcPr>
            <w:tcW w:type="dxa" w:w="4176"/>
            <w:shd w:fill="F8FAFC"/>
            <w:tcBorders>
              <w:top w:val="single" w:sz="4" w:space="0" w:color="CBD5E1"/>
              <w:left w:val="single" w:sz="4" w:space="0" w:color="CBD5E1"/>
              <w:bottom w:val="single" w:sz="4" w:space="0" w:color="CBD5E1"/>
              <w:right w:val="single" w:sz="4" w:space="0" w:color="CBD5E1"/>
            </w:tcBorders>
          </w:tcPr>
          <w:p>
            <w:pPr>
              <w:spacing w:before="60" w:after="60"/>
            </w:pPr>
            <w:r>
              <w:t>Production platform ensuring data privacy, zero model training, and enterprise-grade security.</w:t>
            </w:r>
          </w:p>
        </w:tc>
      </w:tr>
    </w:tbl>
    <w:p>
      <w:pPr>
        <w:spacing w:before="0" w:after="120"/>
      </w:pPr>
    </w:p>
    <w:p>
      <w:pPr>
        <w:keepNext/>
        <w:spacing w:before="280" w:after="80"/>
      </w:pPr>
      <w:r>
        <w:rPr>
          <w:rFonts w:ascii="Arial" w:hAnsi="Arial"/>
          <w:b/>
          <w:color w:val="335C67"/>
          <w:sz w:val="26"/>
        </w:rPr>
        <w:t>6.3 Technical Highlight: The Split Vision Engine</w:t>
      </w:r>
    </w:p>
    <w:p>
      <w:r>
        <w:t>Visual brand compliance involves two fundamentally different challenges: objective mathematical rules and subjective aesthetic feel. A key architectural innovation is the Split Vision Engine, which decouples deterministic checks from generative AI evaluations.</w:t>
      </w:r>
    </w:p>
    <w:p>
      <w:pPr>
        <w:keepNext/>
        <w:spacing w:before="200" w:after="40"/>
      </w:pPr>
      <w:r>
        <w:rPr>
          <w:rFonts w:ascii="Calibri" w:hAnsi="Calibri"/>
          <w:b/>
          <w:color w:val="1B365D"/>
          <w:sz w:val="23"/>
        </w:rPr>
        <w:t>1. OpenCV for Deterministic Hard Rules (Why Not an LLM?):</w:t>
      </w:r>
    </w:p>
    <w:p>
      <w:pPr>
        <w:pStyle w:val="ListBullet"/>
        <w:spacing w:before="40" w:after="80"/>
        <w:ind w:left="360"/>
      </w:pPr>
      <w:r>
        <w:rPr>
          <w:b/>
          <w:color w:val="1E293B"/>
        </w:rPr>
        <w:t xml:space="preserve">• </w:t>
      </w:r>
      <w:r>
        <w:rPr>
          <w:color w:val="1E293B"/>
        </w:rPr>
        <w:t>100% Mathematical Precision: OpenCV extracts exact RGB and Hex values from pixel matrices. LLMs are probabilistic and cannot guarantee exact pixel-level color code accuracy.</w:t>
      </w:r>
    </w:p>
    <w:p>
      <w:pPr>
        <w:pStyle w:val="ListBullet"/>
        <w:spacing w:before="40" w:after="80"/>
        <w:ind w:left="360"/>
      </w:pPr>
      <w:r>
        <w:rPr>
          <w:b/>
          <w:color w:val="1E293B"/>
        </w:rPr>
        <w:t xml:space="preserve">• </w:t>
      </w:r>
      <w:r>
        <w:rPr>
          <w:color w:val="1E293B"/>
        </w:rPr>
        <w:t>Zero Hallucination Risk: Template matching algorithmically calculates exact bounding box coordinates and aspect ratios without risk of false positives.</w:t>
      </w:r>
    </w:p>
    <w:p>
      <w:pPr>
        <w:pStyle w:val="ListBullet"/>
        <w:spacing w:before="40" w:after="80"/>
        <w:ind w:left="360"/>
      </w:pPr>
      <w:r>
        <w:rPr>
          <w:b/>
          <w:color w:val="1E293B"/>
        </w:rPr>
        <w:t xml:space="preserve">• </w:t>
      </w:r>
      <w:r>
        <w:rPr>
          <w:color w:val="1E293B"/>
        </w:rPr>
        <w:t>Ultra-Low Latency &amp; Cost Efficiency: OpenCV executes in milliseconds locally on CPU without external API calls, significantly reducing infrastructure costs and response time.</w:t>
      </w:r>
    </w:p>
    <w:p>
      <w:pPr>
        <w:keepNext/>
        <w:spacing w:before="200" w:after="40"/>
      </w:pPr>
      <w:r>
        <w:rPr>
          <w:rFonts w:ascii="Calibri" w:hAnsi="Calibri"/>
          <w:b/>
          <w:color w:val="1B365D"/>
          <w:sz w:val="23"/>
        </w:rPr>
        <w:t>2. Gemini Pro Vision for Subjective Style &amp; Brand "Vibe":</w:t>
      </w:r>
    </w:p>
    <w:p>
      <w:pPr>
        <w:pStyle w:val="ListBullet"/>
        <w:spacing w:before="40" w:after="80"/>
        <w:ind w:left="360"/>
      </w:pPr>
      <w:r>
        <w:rPr>
          <w:b/>
          <w:color w:val="1E293B"/>
        </w:rPr>
        <w:t xml:space="preserve">• </w:t>
      </w:r>
      <w:r>
        <w:rPr>
          <w:color w:val="1E293B"/>
        </w:rPr>
        <w:t>Few-Shot Visual Prompting: Gemini Pro Vision is provided with uploaded Golden Assets as contextual reference examples.</w:t>
      </w:r>
    </w:p>
    <w:p>
      <w:pPr>
        <w:pStyle w:val="ListBullet"/>
        <w:spacing w:before="40" w:after="80"/>
        <w:ind w:left="360"/>
      </w:pPr>
      <w:r>
        <w:rPr>
          <w:b/>
          <w:color w:val="1E293B"/>
        </w:rPr>
        <w:t xml:space="preserve">• </w:t>
      </w:r>
      <w:r>
        <w:rPr>
          <w:color w:val="1E293B"/>
        </w:rPr>
        <w:t>Contextual Aesthetic Reasoning: The model evaluates nuanced criteria such as composition, mood, subject relevance, and visual clutter, producing human-readable qualitative explanations.</w:t>
      </w:r>
    </w:p>
    <w:p>
      <w:pPr>
        <w:keepNext/>
        <w:spacing w:before="280" w:after="80"/>
      </w:pPr>
      <w:r>
        <w:rPr>
          <w:rFonts w:ascii="Arial" w:hAnsi="Arial"/>
          <w:b/>
          <w:color w:val="335C67"/>
          <w:sz w:val="26"/>
        </w:rPr>
        <w:t>6.4 Enterprise Privacy &amp; Data Security Roadmap (Google Cloud Vertex AI)</w:t>
      </w:r>
    </w:p>
    <w:p>
      <w:r>
        <w:t>Protecting confidential corporate information—such as unreleased product specifications, financial claims, and proprietary design assets—is a critical governance requirement.</w:t>
      </w:r>
    </w:p>
    <w:p>
      <w:pPr>
        <w:pStyle w:val="ListBullet"/>
        <w:spacing w:before="40" w:after="80"/>
        <w:ind w:left="360"/>
      </w:pPr>
      <w:r>
        <w:rPr>
          <w:b/>
          <w:color w:val="1E293B"/>
        </w:rPr>
        <w:t xml:space="preserve">• </w:t>
      </w:r>
      <w:r>
        <w:rPr>
          <w:color w:val="1E293B"/>
        </w:rPr>
        <w:t>Hackathon MVP Architecture: The prototype utilizes the standard Gemini API to demonstrate core RAG and vision pipeline capabilities.</w:t>
      </w:r>
    </w:p>
    <w:p>
      <w:pPr>
        <w:pStyle w:val="ListBullet"/>
        <w:spacing w:before="40" w:after="80"/>
        <w:ind w:left="360"/>
      </w:pPr>
      <w:r>
        <w:rPr>
          <w:b/>
          <w:color w:val="1E293B"/>
        </w:rPr>
        <w:t xml:space="preserve">• </w:t>
      </w:r>
      <w:r>
        <w:rPr>
          <w:color w:val="1E293B"/>
        </w:rPr>
        <w:t>Production Deployment Roadmap (Vertex AI Pivot): For enterprise adoption, the backend will migrate entirely to Google Cloud Vertex AI.</w:t>
      </w:r>
    </w:p>
    <w:p>
      <w:pPr>
        <w:pStyle w:val="ListBullet"/>
        <w:spacing w:before="40" w:after="80"/>
        <w:ind w:left="360"/>
      </w:pPr>
      <w:r>
        <w:rPr>
          <w:b/>
          <w:color w:val="1E293B"/>
        </w:rPr>
        <w:t xml:space="preserve">• </w:t>
      </w:r>
      <w:r>
        <w:rPr>
          <w:color w:val="1E293B"/>
        </w:rPr>
        <w:t>Zero Model-Training Guarantee: Deploying via Vertex AI ensures customer data, uploaded Golden Facts, and proprietary visual assets are never logged, stored, or used to train public foundation models.</w:t>
      </w:r>
    </w:p>
    <w:p>
      <w:pPr>
        <w:pStyle w:val="ListBullet"/>
        <w:spacing w:before="40" w:after="80"/>
        <w:ind w:left="360"/>
      </w:pPr>
      <w:r>
        <w:rPr>
          <w:b/>
          <w:color w:val="1E293B"/>
        </w:rPr>
        <w:t xml:space="preserve">• </w:t>
      </w:r>
      <w:r>
        <w:rPr>
          <w:color w:val="1E293B"/>
        </w:rPr>
        <w:t>Enterprise Control &amp; Compliance: Guarantees customer data isolation within private cloud VPC boundaries, supporting HIPAA/SOC2 compliance and strict access controls.</w:t>
      </w:r>
    </w:p>
    <w:p>
      <w:pPr>
        <w:keepNext/>
        <w:spacing w:before="360" w:after="120"/>
      </w:pPr>
      <w:r>
        <w:rPr>
          <w:rFonts w:ascii="Arial" w:hAnsi="Arial"/>
          <w:b/>
          <w:color w:val="1B365D"/>
          <w:sz w:val="32"/>
        </w:rPr>
        <w:t>Section 7: Team Responsibilities &amp; Role Allocation</w:t>
      </w:r>
    </w:p>
    <w:p>
      <w:r>
        <w:t>To ensure clear accountability, rapid development, and individual contribution tracking, team responsibilities are divided across specialized technical and domain areas: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B365D"/>
          </w:tcPr>
          <w:p>
            <w:pPr>
              <w:spacing w:before="80" w:after="80"/>
            </w:pPr>
            <w:r>
              <w:rPr>
                <w:b/>
                <w:color w:val="FFFFFF"/>
              </w:rPr>
              <w:t>Role</w:t>
            </w:r>
          </w:p>
        </w:tc>
        <w:tc>
          <w:tcPr>
            <w:tcW w:type="dxa" w:w="1440"/>
            <w:shd w:fill="1B365D"/>
          </w:tcPr>
          <w:p>
            <w:pPr>
              <w:spacing w:before="80" w:after="80"/>
            </w:pPr>
            <w:r>
              <w:rPr>
                <w:b/>
                <w:color w:val="FFFFFF"/>
              </w:rPr>
              <w:t>Team Member</w:t>
            </w:r>
          </w:p>
        </w:tc>
        <w:tc>
          <w:tcPr>
            <w:tcW w:type="dxa" w:w="3168"/>
            <w:shd w:fill="1B365D"/>
          </w:tcPr>
          <w:p>
            <w:pPr>
              <w:spacing w:before="80" w:after="80"/>
            </w:pPr>
            <w:r>
              <w:rPr>
                <w:b/>
                <w:color w:val="FFFFFF"/>
              </w:rPr>
              <w:t>Primary Responsibilities</w:t>
            </w:r>
          </w:p>
        </w:tc>
        <w:tc>
          <w:tcPr>
            <w:tcW w:type="dxa" w:w="2592"/>
            <w:shd w:fill="1B365D"/>
          </w:tcPr>
          <w:p>
            <w:pPr>
              <w:spacing w:before="80" w:after="80"/>
            </w:pPr>
            <w:r>
              <w:rPr>
                <w:b/>
                <w:color w:val="FFFFFF"/>
              </w:rPr>
              <w:t>Key Deliverables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Full-Stack &amp; Chrome Extension Lead</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before="60" w:after="60"/>
            </w:pPr>
            <w:r>
              <w:t>[Name 1]</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before="60" w:after="60"/>
            </w:pPr>
            <w:r>
              <w:t>Lead developer for the browser extension and admin dashboard UI. Manages DOM extraction scripts, inline overlay components, and frontend-backend API integration.</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Manifest V3 Chrome Extension, React Admin UI, overlay notification components.</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pPr>
            <w:r>
              <w:t>AI / RAG Pipeline Engineer</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before="60" w:after="60"/>
            </w:pPr>
            <w:r>
              <w:t>[Name 2]</w:t>
            </w:r>
          </w:p>
        </w:tc>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pPr>
            <w:r>
              <w:t>Responsible for text processing, embedding generation, vector database setup, and Gemini LLM prompt engineering for factual claim verification.</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Pinecone/Qdrant vector index, FastAPI RAG endpoint, structured JSON response parser.</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Computer Vision &amp; Data Engineer</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before="60" w:after="60"/>
            </w:pPr>
            <w:r>
              <w:t>[Name 3]</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before="60" w:after="60"/>
            </w:pPr>
            <w:r>
              <w:t>Manages document parsing for Golden Facts and develops OpenCV python scripts for deterministic color extraction and visual brand checks.</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pPr>
            <w:r>
              <w:t>CSV/Excel ingestion parser, OpenCV color extraction module, visual audit pipeline.</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pPr>
            <w:r>
              <w:t>Product &amp; Compliance Lead</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before="60" w:after="60"/>
            </w:pPr>
            <w:r>
              <w:t>[Name 4]</w:t>
            </w:r>
          </w:p>
        </w:tc>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pPr>
            <w:r>
              <w:t>Oversees problem alignment, brand rule mapping, prompt validation, user testing, and submission documentation.</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pPr>
            <w:r>
              <w:t>Rule definitions, demo dataset, submission report, and end-to-end workflow validation.</w:t>
            </w:r>
          </w:p>
        </w:tc>
      </w:tr>
    </w:tbl>
    <w:p>
      <w:pPr>
        <w:spacing w:before="0" w:after="120"/>
      </w:pPr>
    </w:p>
    <w:p>
      <w:pPr>
        <w:keepNext/>
        <w:spacing w:before="360" w:after="120"/>
      </w:pPr>
      <w:r>
        <w:rPr>
          <w:rFonts w:ascii="Arial" w:hAnsi="Arial"/>
          <w:b/>
          <w:color w:val="1B365D"/>
          <w:sz w:val="32"/>
        </w:rPr>
        <w:t>Section 8: Development Plan &amp; Milestone Roadmap</w:t>
      </w:r>
    </w:p>
    <w:p>
      <w:r>
        <w:t>To maximize feasibility within the tight hackathon timeframe, the development plan prioritizes a tightly scoped, high-impact MVP during the event, followed by expanded enterprise capabilities in the post-event roadmap.</w:t>
      </w:r>
    </w:p>
    <w:p>
      <w:pPr>
        <w:keepNext/>
        <w:spacing w:before="280" w:after="80"/>
      </w:pPr>
      <w:r>
        <w:rPr>
          <w:rFonts w:ascii="Arial" w:hAnsi="Arial"/>
          <w:b/>
          <w:color w:val="335C67"/>
          <w:sz w:val="26"/>
        </w:rPr>
        <w:t>8.1 Phase 1: Hackathon MVP (Event Build Window)</w:t>
      </w:r>
    </w:p>
    <w:p>
      <w:pPr>
        <w:keepNext/>
        <w:spacing w:before="200" w:after="40"/>
      </w:pPr>
      <w:r>
        <w:rPr>
          <w:rFonts w:ascii="Calibri" w:hAnsi="Calibri"/>
          <w:b/>
          <w:color w:val="1B365D"/>
          <w:sz w:val="23"/>
        </w:rPr>
        <w:t>Stage 1: Ingestion &amp; Vector Index Setup (Days 1–2)</w:t>
      </w:r>
    </w:p>
    <w:p>
      <w:r>
        <w:t>Build FastAPI backend endpoints to parse uploaded Golden Facts (CSV/Excel) and generate vector embeddings stored in Pinecone/Qdrant. Implement RAG context retrieval pipelines using standard Gemini API.</w:t>
      </w:r>
    </w:p>
    <w:p>
      <w:pPr>
        <w:keepNext/>
        <w:spacing w:before="200" w:after="40"/>
      </w:pPr>
      <w:r>
        <w:rPr>
          <w:rFonts w:ascii="Calibri" w:hAnsi="Calibri"/>
          <w:b/>
          <w:color w:val="1B365D"/>
          <w:sz w:val="23"/>
        </w:rPr>
        <w:t>Stage 2: Core Chrome Extension &amp; Text Verification (Days 2–3)</w:t>
      </w:r>
    </w:p>
    <w:p>
      <w:r>
        <w:t>Construct a lightweight Manifest V3 Chrome Extension that extracts DOM text from active CMS text fields (e.g., WordPress, LinkedIn). Connect extension triggers to the RAG endpoint to perform real-time text analysis, returning inline claim verification, source citations, and suggested edits.</w:t>
      </w:r>
    </w:p>
    <w:p>
      <w:pPr>
        <w:keepNext/>
        <w:spacing w:before="200" w:after="40"/>
      </w:pPr>
      <w:r>
        <w:rPr>
          <w:rFonts w:ascii="Calibri" w:hAnsi="Calibri"/>
          <w:b/>
          <w:color w:val="1B365D"/>
          <w:sz w:val="23"/>
        </w:rPr>
        <w:t>Stage 3: Basic OpenCV Visual Check &amp; Admin UI (Days 3–4)</w:t>
      </w:r>
    </w:p>
    <w:p>
      <w:r>
        <w:t>Implement Python OpenCV scripts to sample uploaded image files and verify exact hex color palette alignment against defined brand swatches. Build a lightweight React Admin Dashboard for uploading brand rules, viewing Golden Facts, and inspecting audit logs.</w:t>
      </w:r>
    </w:p>
    <w:p>
      <w:pPr>
        <w:keepNext/>
        <w:spacing w:before="200" w:after="40"/>
      </w:pPr>
      <w:r>
        <w:rPr>
          <w:rFonts w:ascii="Calibri" w:hAnsi="Calibri"/>
          <w:b/>
          <w:color w:val="1B365D"/>
          <w:sz w:val="23"/>
        </w:rPr>
        <w:t>Stage 4: End-to-End Integration &amp; Refinement (Days 4–5)</w:t>
      </w:r>
    </w:p>
    <w:p>
      <w:r>
        <w:t>Connect extension UI overlays to render color pass/fail status and inline text corrections. Conduct internal testing across sample blog posts and marketing copy to ensure reliable execution within seconds.</w:t>
      </w:r>
    </w:p>
    <w:p>
      <w:pPr>
        <w:keepNext/>
        <w:spacing w:before="280" w:after="80"/>
      </w:pPr>
      <w:r>
        <w:rPr>
          <w:rFonts w:ascii="Arial" w:hAnsi="Arial"/>
          <w:b/>
          <w:color w:val="335C67"/>
          <w:sz w:val="26"/>
        </w:rPr>
        <w:t>8.2 Phase 2: Post-Event Production Roadmap</w:t>
      </w:r>
    </w:p>
    <w:p>
      <w:pPr>
        <w:pStyle w:val="ListBullet"/>
        <w:spacing w:before="40" w:after="80"/>
        <w:ind w:left="360"/>
      </w:pPr>
      <w:r>
        <w:rPr>
          <w:b/>
          <w:color w:val="1E293B"/>
        </w:rPr>
        <w:t xml:space="preserve">1. </w:t>
      </w:r>
      <w:r>
        <w:rPr>
          <w:color w:val="1E293B"/>
        </w:rPr>
        <w:t>Enterprise Privacy &amp; Security Pivot (Vertex AI): Migrate backend infrastructure from standard Gemini APIs to Google Cloud Vertex AI to guarantee private cloud tenant isolation and zero model-training.</w:t>
      </w:r>
    </w:p>
    <w:p>
      <w:pPr>
        <w:pStyle w:val="ListBullet"/>
        <w:spacing w:before="40" w:after="80"/>
        <w:ind w:left="360"/>
      </w:pPr>
      <w:r>
        <w:rPr>
          <w:b/>
          <w:color w:val="1E293B"/>
        </w:rPr>
        <w:t xml:space="preserve">2. </w:t>
      </w:r>
      <w:r>
        <w:rPr>
          <w:color w:val="1E293B"/>
        </w:rPr>
        <w:t>Full Split Vision Engine: Expand OpenCV capabilities to include multi-scale template matching for logo boundary verification and deploy Gemini Pro Vision for qualitative visual brand vibe judging.</w:t>
      </w:r>
    </w:p>
    <w:p>
      <w:pPr>
        <w:pStyle w:val="ListBullet"/>
        <w:spacing w:before="40" w:after="80"/>
        <w:ind w:left="360"/>
      </w:pPr>
      <w:r>
        <w:rPr>
          <w:b/>
          <w:color w:val="1E293B"/>
        </w:rPr>
        <w:t xml:space="preserve">3. </w:t>
      </w:r>
      <w:r>
        <w:rPr>
          <w:color w:val="1E293B"/>
        </w:rPr>
        <w:t>Governance Analytics &amp; Multi-Tenant Support: Integrate role-based access control (RBAC), single sign-on (SSO), and predictive analytics tracking recurring compliance errors across departments.</w:t>
      </w:r>
    </w:p>
    <w:p>
      <w:pPr>
        <w:keepNext/>
        <w:spacing w:before="360" w:after="120"/>
      </w:pPr>
      <w:r>
        <w:rPr>
          <w:rFonts w:ascii="Arial" w:hAnsi="Arial"/>
          <w:b/>
          <w:color w:val="1B365D"/>
          <w:sz w:val="32"/>
        </w:rPr>
        <w:t>Section 9: Expected Impact</w:t>
      </w:r>
    </w:p>
    <w:p>
      <w:pPr>
        <w:keepNext/>
        <w:spacing w:before="280" w:after="80"/>
      </w:pPr>
      <w:r>
        <w:rPr>
          <w:rFonts w:ascii="Arial" w:hAnsi="Arial"/>
          <w:b/>
          <w:color w:val="335C67"/>
          <w:sz w:val="26"/>
        </w:rPr>
        <w:t>9.1 Eliminating Manual Review Bottlenecks</w:t>
      </w:r>
    </w:p>
    <w:p>
      <w:pPr>
        <w:pStyle w:val="ListBullet"/>
        <w:spacing w:before="40" w:after="80"/>
        <w:ind w:left="360"/>
      </w:pPr>
      <w:r>
        <w:rPr>
          <w:b/>
          <w:color w:val="1E293B"/>
        </w:rPr>
        <w:t xml:space="preserve">• </w:t>
      </w:r>
      <w:r>
        <w:rPr>
          <w:color w:val="1E293B"/>
        </w:rPr>
        <w:t>Instant In-Context Feedback: By embedding evaluations directly within the creator's native CMS via a Chrome Extension, compliance checks take seconds rather than days, eliminating long review queues.</w:t>
      </w:r>
    </w:p>
    <w:p>
      <w:pPr>
        <w:pStyle w:val="ListBullet"/>
        <w:spacing w:before="40" w:after="80"/>
        <w:ind w:left="360"/>
      </w:pPr>
      <w:r>
        <w:rPr>
          <w:b/>
          <w:color w:val="1E293B"/>
        </w:rPr>
        <w:t xml:space="preserve">• </w:t>
      </w:r>
      <w:r>
        <w:rPr>
          <w:color w:val="1E293B"/>
        </w:rPr>
        <w:t>Human-in-the-Loop Efficiency: Replaces ambiguous pass/fail rejections with actionable, AI-suggested rewrites and explicit source citations, allowing creators to resolve 90%+ of minor compliance issues independently.</w:t>
      </w:r>
    </w:p>
    <w:p>
      <w:pPr>
        <w:pStyle w:val="ListBullet"/>
        <w:spacing w:before="40" w:after="80"/>
        <w:ind w:left="360"/>
      </w:pPr>
      <w:r>
        <w:rPr>
          <w:b/>
          <w:color w:val="1E293B"/>
        </w:rPr>
        <w:t xml:space="preserve">• </w:t>
      </w:r>
      <w:r>
        <w:rPr>
          <w:color w:val="1E293B"/>
        </w:rPr>
        <w:t>Scalable Marketing Operations: Compliance officers shift from reviewing every single piece of content to overseeing high-risk policy escalations and analyzing system-wide governance metrics.</w:t>
      </w:r>
    </w:p>
    <w:p>
      <w:pPr>
        <w:keepNext/>
        <w:spacing w:before="280" w:after="80"/>
      </w:pPr>
      <w:r>
        <w:rPr>
          <w:rFonts w:ascii="Arial" w:hAnsi="Arial"/>
          <w:b/>
          <w:color w:val="335C67"/>
          <w:sz w:val="26"/>
        </w:rPr>
        <w:t>9.2 Preventing Brand &amp; Credibility Damage</w:t>
      </w:r>
    </w:p>
    <w:p>
      <w:pPr>
        <w:pStyle w:val="ListBullet"/>
        <w:spacing w:before="40" w:after="80"/>
        <w:ind w:left="360"/>
      </w:pPr>
      <w:r>
        <w:rPr>
          <w:b/>
          <w:color w:val="1E293B"/>
        </w:rPr>
        <w:t xml:space="preserve">• </w:t>
      </w:r>
      <w:r>
        <w:rPr>
          <w:color w:val="1E293B"/>
        </w:rPr>
        <w:t>Factual &amp; Legal Safeguards: RAG-based verification against Golden Facts stops outdated statistics, illegal promotional statements, and unverified claims before publication.</w:t>
      </w:r>
    </w:p>
    <w:p>
      <w:pPr>
        <w:pStyle w:val="ListBullet"/>
        <w:spacing w:before="40" w:after="80"/>
        <w:ind w:left="360"/>
      </w:pPr>
      <w:r>
        <w:rPr>
          <w:b/>
          <w:color w:val="1E293B"/>
        </w:rPr>
        <w:t xml:space="preserve">• </w:t>
      </w:r>
      <w:r>
        <w:rPr>
          <w:color w:val="1E293B"/>
        </w:rPr>
        <w:t>Mathematical Visual Accuracy: Deterministic OpenCV algorithms guarantee 100% precision for exact brand hex colors and logo placements, preventing off-brand visual degradation.</w:t>
      </w:r>
    </w:p>
    <w:p>
      <w:pPr>
        <w:pStyle w:val="ListBullet"/>
        <w:spacing w:before="40" w:after="80"/>
        <w:ind w:left="360"/>
      </w:pPr>
      <w:r>
        <w:rPr>
          <w:b/>
          <w:color w:val="1E293B"/>
        </w:rPr>
        <w:t xml:space="preserve">• </w:t>
      </w:r>
      <w:r>
        <w:rPr>
          <w:color w:val="1E293B"/>
        </w:rPr>
        <w:t>Brand Voice Consistency: Guarantees a unified corporate identity across all publishing channels, protecting brand equity across internal, agency, and AI-generated copy.</w:t>
      </w:r>
    </w:p>
    <w:p>
      <w:pPr>
        <w:keepNext/>
        <w:spacing w:before="360" w:after="120"/>
      </w:pPr>
      <w:r>
        <w:rPr>
          <w:rFonts w:ascii="Arial" w:hAnsi="Arial"/>
          <w:b/>
          <w:color w:val="1B365D"/>
          <w:sz w:val="32"/>
        </w:rPr>
        <w:t>Section 10: Future Scope &amp; Post-Event Roadmap</w:t>
      </w:r>
    </w:p>
    <w:p>
      <w:pPr>
        <w:keepNext/>
        <w:spacing w:before="280" w:after="80"/>
      </w:pPr>
      <w:r>
        <w:rPr>
          <w:rFonts w:ascii="Arial" w:hAnsi="Arial"/>
          <w:b/>
          <w:color w:val="335C67"/>
          <w:sz w:val="26"/>
        </w:rPr>
        <w:t>10.1 Enterprise Data Privacy Migration (Google Cloud Vertex AI)</w:t>
      </w:r>
    </w:p>
    <w:p>
      <w:pPr>
        <w:pStyle w:val="ListBullet"/>
        <w:spacing w:before="40" w:after="80"/>
        <w:ind w:left="360"/>
      </w:pPr>
      <w:r>
        <w:rPr>
          <w:b/>
          <w:color w:val="1E293B"/>
        </w:rPr>
        <w:t xml:space="preserve">• </w:t>
      </w:r>
      <w:r>
        <w:rPr>
          <w:color w:val="1E293B"/>
        </w:rPr>
        <w:t>Private Tenant Isolation: Transitioning backend processing from standard APIs to Google Cloud Vertex AI ensures customer data remains fully isolated within enterprise cloud boundaries.</w:t>
      </w:r>
    </w:p>
    <w:p>
      <w:pPr>
        <w:pStyle w:val="ListBullet"/>
        <w:spacing w:before="40" w:after="80"/>
        <w:ind w:left="360"/>
      </w:pPr>
      <w:r>
        <w:rPr>
          <w:b/>
          <w:color w:val="1E293B"/>
        </w:rPr>
        <w:t xml:space="preserve">• </w:t>
      </w:r>
      <w:r>
        <w:rPr>
          <w:color w:val="1E293B"/>
        </w:rPr>
        <w:t>Zero Model Training: Guarantees that uploaded Golden Facts, confidential product specs, and proprietary media assets are never logged or used to train public models.</w:t>
      </w:r>
    </w:p>
    <w:p>
      <w:pPr>
        <w:keepNext/>
        <w:spacing w:before="280" w:after="80"/>
      </w:pPr>
      <w:r>
        <w:rPr>
          <w:rFonts w:ascii="Arial" w:hAnsi="Arial"/>
          <w:b/>
          <w:color w:val="335C67"/>
          <w:sz w:val="26"/>
        </w:rPr>
        <w:t>10.2 Expanded Split Vision Engine</w:t>
      </w:r>
    </w:p>
    <w:p>
      <w:pPr>
        <w:pStyle w:val="ListBullet"/>
        <w:spacing w:before="40" w:after="80"/>
        <w:ind w:left="360"/>
      </w:pPr>
      <w:r>
        <w:rPr>
          <w:b/>
          <w:color w:val="1E293B"/>
        </w:rPr>
        <w:t xml:space="preserve">• </w:t>
      </w:r>
      <w:r>
        <w:rPr>
          <w:color w:val="1E293B"/>
        </w:rPr>
        <w:t>Advanced Computer Vision: Enhancing the OpenCV pipeline with multi-scale template matching and spatial bounding box detection for precise logo spacing and layout hierarchy.</w:t>
      </w:r>
    </w:p>
    <w:p>
      <w:pPr>
        <w:pStyle w:val="ListBullet"/>
        <w:spacing w:before="40" w:after="80"/>
        <w:ind w:left="360"/>
      </w:pPr>
      <w:r>
        <w:rPr>
          <w:b/>
          <w:color w:val="1E293B"/>
        </w:rPr>
        <w:t xml:space="preserve">• </w:t>
      </w:r>
      <w:r>
        <w:rPr>
          <w:color w:val="1E293B"/>
        </w:rPr>
        <w:t>Few-Shot Aesthetic Judging: Scaling Gemini Pro Vision with custom few-shot asset banks to evaluate complex visual criteria, including image lighting, composition, and visual clutter.</w:t>
      </w:r>
    </w:p>
    <w:p>
      <w:pPr>
        <w:keepNext/>
        <w:spacing w:before="280" w:after="80"/>
      </w:pPr>
      <w:r>
        <w:rPr>
          <w:rFonts w:ascii="Arial" w:hAnsi="Arial"/>
          <w:b/>
          <w:color w:val="335C67"/>
          <w:sz w:val="26"/>
        </w:rPr>
        <w:t>10.3 Native Ecosystem Integrations</w:t>
      </w:r>
    </w:p>
    <w:p>
      <w:pPr>
        <w:pStyle w:val="ListBullet"/>
        <w:spacing w:before="40" w:after="80"/>
        <w:ind w:left="360"/>
      </w:pPr>
      <w:r>
        <w:rPr>
          <w:b/>
          <w:color w:val="1E293B"/>
        </w:rPr>
        <w:t xml:space="preserve">• </w:t>
      </w:r>
      <w:r>
        <w:rPr>
          <w:color w:val="1E293B"/>
        </w:rPr>
        <w:t>Creative Tool Plugins: Extending beyond browser CMS platforms to launch native plugins for Figma, Adobe Creative Cloud (Photoshop, InDesign), and Canva.</w:t>
      </w:r>
    </w:p>
    <w:p>
      <w:pPr>
        <w:pStyle w:val="ListBullet"/>
        <w:spacing w:before="40" w:after="80"/>
        <w:ind w:left="360"/>
      </w:pPr>
      <w:r>
        <w:rPr>
          <w:b/>
          <w:color w:val="1E293B"/>
        </w:rPr>
        <w:t xml:space="preserve">• </w:t>
      </w:r>
      <w:r>
        <w:rPr>
          <w:color w:val="1E293B"/>
        </w:rPr>
        <w:t>Omnichannel Publishing Pipelines: Building direct API integrations with social media management tools (Hootsuite, Buffer) and enterprise marketing clouds (Salesforce, HubSpot).</w:t>
      </w:r>
    </w:p>
    <w:p>
      <w:pPr>
        <w:keepNext/>
        <w:spacing w:before="360" w:after="120"/>
      </w:pPr>
      <w:r>
        <w:rPr>
          <w:rFonts w:ascii="Arial" w:hAnsi="Arial"/>
          <w:b/>
          <w:color w:val="1B365D"/>
          <w:sz w:val="32"/>
        </w:rPr>
        <w:t>Section 11: Participant &amp; Team Details</w:t>
      </w:r>
    </w:p>
    <w:p>
      <w:pPr>
        <w:keepNext/>
        <w:spacing w:before="280" w:after="80"/>
      </w:pPr>
      <w:r>
        <w:rPr>
          <w:rFonts w:ascii="Arial" w:hAnsi="Arial"/>
          <w:b/>
          <w:color w:val="335C67"/>
          <w:sz w:val="26"/>
        </w:rPr>
        <w:t>11.1 Team Overview</w:t>
      </w:r>
    </w:p>
    <w:p>
      <w:pPr>
        <w:pStyle w:val="ListBullet"/>
        <w:spacing w:before="40" w:after="80"/>
        <w:ind w:left="360"/>
      </w:pPr>
      <w:r>
        <w:rPr>
          <w:b/>
          <w:color w:val="1E293B"/>
        </w:rPr>
        <w:t xml:space="preserve">• </w:t>
      </w:r>
      <w:r>
        <w:rPr>
          <w:color w:val="1E293B"/>
        </w:rPr>
        <w:t>Team Name: [Insert Team Name]</w:t>
      </w:r>
    </w:p>
    <w:p>
      <w:pPr>
        <w:pStyle w:val="ListBullet"/>
        <w:spacing w:before="40" w:after="80"/>
        <w:ind w:left="360"/>
      </w:pPr>
      <w:r>
        <w:rPr>
          <w:b/>
          <w:color w:val="1E293B"/>
        </w:rPr>
        <w:t xml:space="preserve">• </w:t>
      </w:r>
      <w:r>
        <w:rPr>
          <w:color w:val="1E293B"/>
        </w:rPr>
        <w:t>Project Name: Inkloom AI Brand Governance Platform</w:t>
      </w:r>
    </w:p>
    <w:p>
      <w:pPr>
        <w:pStyle w:val="ListBullet"/>
        <w:spacing w:before="40" w:after="80"/>
        <w:ind w:left="360"/>
      </w:pPr>
      <w:r>
        <w:rPr>
          <w:b/>
          <w:color w:val="1E293B"/>
        </w:rPr>
        <w:t xml:space="preserve">• </w:t>
      </w:r>
      <w:r>
        <w:rPr>
          <w:color w:val="1E293B"/>
        </w:rPr>
        <w:t>Target Track / Challenge: Inkloom AI Brand Governance Challenge</w:t>
      </w:r>
    </w:p>
    <w:p>
      <w:pPr>
        <w:keepNext/>
        <w:spacing w:before="280" w:after="80"/>
      </w:pPr>
      <w:r>
        <w:rPr>
          <w:rFonts w:ascii="Arial" w:hAnsi="Arial"/>
          <w:b/>
          <w:color w:val="335C67"/>
          <w:sz w:val="26"/>
        </w:rPr>
        <w:t>11.2 Team Member Roster &amp; Individual Contributions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B365D"/>
          </w:tcPr>
          <w:p>
            <w:pPr>
              <w:spacing w:before="80" w:after="80"/>
            </w:pPr>
            <w:r>
              <w:rPr>
                <w:b/>
                <w:color w:val="FFFFFF"/>
              </w:rPr>
              <w:t>Member Name</w:t>
            </w:r>
          </w:p>
        </w:tc>
        <w:tc>
          <w:tcPr>
            <w:tcW w:type="dxa" w:w="1728"/>
            <w:shd w:fill="1B365D"/>
          </w:tcPr>
          <w:p>
            <w:pPr>
              <w:spacing w:before="80" w:after="80"/>
            </w:pPr>
            <w:r>
              <w:rPr>
                <w:b/>
                <w:color w:val="FFFFFF"/>
              </w:rPr>
              <w:t>Email Address</w:t>
            </w:r>
          </w:p>
        </w:tc>
        <w:tc>
          <w:tcPr>
            <w:tcW w:type="dxa" w:w="2160"/>
            <w:shd w:fill="1B365D"/>
          </w:tcPr>
          <w:p>
            <w:pPr>
              <w:spacing w:before="80" w:after="80"/>
            </w:pPr>
            <w:r>
              <w:rPr>
                <w:b/>
                <w:color w:val="FFFFFF"/>
              </w:rPr>
              <w:t>Institution / Organization</w:t>
            </w:r>
          </w:p>
        </w:tc>
        <w:tc>
          <w:tcPr>
            <w:tcW w:type="dxa" w:w="3312"/>
            <w:shd w:fill="1B365D"/>
          </w:tcPr>
          <w:p>
            <w:pPr>
              <w:spacing w:before="80" w:after="80"/>
            </w:pPr>
            <w:r>
              <w:rPr>
                <w:b/>
                <w:color w:val="FFFFFF"/>
              </w:rPr>
              <w:t>Primary Role &amp; Contributions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[Member 1 Name] (Lead)</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60" w:after="60"/>
            </w:pPr>
            <w:r>
              <w:t>[Email Address]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[University / Organization]</w:t>
            </w:r>
          </w:p>
        </w:tc>
        <w:tc>
          <w:tcPr>
            <w:tcW w:type="dxa" w:w="3312"/>
            <w:shd w:fill="F8FAFC"/>
            <w:tcBorders>
              <w:top w:val="single" w:sz="4" w:space="0" w:color="CBD5E1"/>
              <w:left w:val="single" w:sz="4" w:space="0" w:color="CBD5E1"/>
              <w:bottom w:val="single" w:sz="4" w:space="0" w:color="CBD5E1"/>
              <w:right w:val="single" w:sz="4" w:space="0" w:color="CBD5E1"/>
            </w:tcBorders>
          </w:tcPr>
          <w:p>
            <w:pPr>
              <w:spacing w:before="60" w:after="60"/>
            </w:pPr>
            <w:r>
              <w:t>Full-Stack &amp; Chrome Extension Lead: Architecture design, Manifest V3 extension, React UI, and DOM extraction scripts.</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pPr>
            <w:r>
              <w:t>[Member 2 Name]</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pPr>
            <w:r>
              <w:t>[Email Address]</w:t>
            </w:r>
          </w:p>
        </w:tc>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pPr>
            <w:r>
              <w:t>[University / Organization]</w:t>
            </w:r>
          </w:p>
        </w:tc>
        <w:tc>
          <w:tcPr>
            <w:tcW w:type="dxa" w:w="3312"/>
            <w:shd w:fill="FFFFFF"/>
            <w:tcBorders>
              <w:top w:val="single" w:sz="4" w:space="0" w:color="CBD5E1"/>
              <w:left w:val="single" w:sz="4" w:space="0" w:color="CBD5E1"/>
              <w:bottom w:val="single" w:sz="4" w:space="0" w:color="CBD5E1"/>
              <w:right w:val="single" w:sz="4" w:space="0" w:color="CBD5E1"/>
            </w:tcBorders>
          </w:tcPr>
          <w:p>
            <w:pPr>
              <w:spacing w:before="60" w:after="60"/>
            </w:pPr>
            <w:r>
              <w:t>AI &amp; RAG Pipeline Engineer: Pinecone/Qdrant vector indexing, Gemini LLM prompt engineering, and RAG claim citation pipeline.</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[Member 3 Name]</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60" w:after="60"/>
            </w:pPr>
            <w:r>
              <w:t>[Email Address]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pPr>
            <w:r>
              <w:t>[University / Organization]</w:t>
            </w:r>
          </w:p>
        </w:tc>
        <w:tc>
          <w:tcPr>
            <w:tcW w:type="dxa" w:w="3312"/>
            <w:shd w:fill="F8FAFC"/>
            <w:tcBorders>
              <w:top w:val="single" w:sz="4" w:space="0" w:color="CBD5E1"/>
              <w:left w:val="single" w:sz="4" w:space="0" w:color="CBD5E1"/>
              <w:bottom w:val="single" w:sz="4" w:space="0" w:color="CBD5E1"/>
              <w:right w:val="single" w:sz="4" w:space="0" w:color="CBD5E1"/>
            </w:tcBorders>
          </w:tcPr>
          <w:p>
            <w:pPr>
              <w:spacing w:before="60" w:after="60"/>
            </w:pPr>
            <w:r>
              <w:t>Computer Vision &amp; Backend Engineer: OpenCV deterministic color extraction scripts, document parser, and FastAPI endpoints.</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pPr>
            <w:r>
              <w:t>[Member 4 Name]</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pPr>
            <w:r>
              <w:t>[Email Address]</w:t>
            </w:r>
          </w:p>
        </w:tc>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pPr>
            <w:r>
              <w:t>[University / Organization]</w:t>
            </w:r>
          </w:p>
        </w:tc>
        <w:tc>
          <w:tcPr>
            <w:tcW w:type="dxa" w:w="3312"/>
            <w:shd w:fill="FFFFFF"/>
            <w:tcBorders>
              <w:top w:val="single" w:sz="4" w:space="0" w:color="CBD5E1"/>
              <w:left w:val="single" w:sz="4" w:space="0" w:color="CBD5E1"/>
              <w:bottom w:val="single" w:sz="4" w:space="0" w:color="CBD5E1"/>
              <w:right w:val="single" w:sz="4" w:space="0" w:color="CBD5E1"/>
            </w:tcBorders>
          </w:tcPr>
          <w:p>
            <w:pPr>
              <w:spacing w:before="60" w:after="60"/>
            </w:pPr>
            <w:r>
              <w:t>Product &amp; Compliance Lead: User workflow design, dataset preparation, compliance testing, and submission documentation.</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5C67"/>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35C67"/>
        <w:sz w:val="17"/>
      </w:rPr>
      <w:t>Inkloom AI Brand Governance Platform | Round 1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