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E5B" w:rsidRDefault="00D070DB">
      <w:pPr>
        <w:rPr>
          <w:rFonts w:ascii="Arial" w:hAnsi="Arial" w:cs="Arial"/>
          <w:sz w:val="48"/>
          <w:szCs w:val="48"/>
        </w:rPr>
      </w:pPr>
      <w:r>
        <w:rPr>
          <w:sz w:val="48"/>
          <w:szCs w:val="48"/>
        </w:rPr>
        <w:t xml:space="preserve">              </w:t>
      </w:r>
      <w:r w:rsidR="00A24920" w:rsidRPr="001B2364">
        <w:rPr>
          <w:rFonts w:ascii="Arial" w:hAnsi="Arial" w:cs="Arial"/>
          <w:sz w:val="48"/>
          <w:szCs w:val="48"/>
        </w:rPr>
        <w:t>Back Pressure Turbo-Generator</w:t>
      </w:r>
      <w:r w:rsidR="001B2364">
        <w:rPr>
          <w:rFonts w:ascii="Arial" w:hAnsi="Arial" w:cs="Arial"/>
          <w:sz w:val="48"/>
          <w:szCs w:val="48"/>
        </w:rPr>
        <w:t xml:space="preserve"> (BPTG)</w:t>
      </w:r>
    </w:p>
    <w:p w:rsidR="009502C7" w:rsidRPr="009502C7" w:rsidRDefault="009502C7" w:rsidP="009502C7">
      <w:pPr>
        <w:shd w:val="clear" w:color="auto" w:fill="FFFFFF"/>
        <w:spacing w:before="100" w:beforeAutospacing="1" w:after="100" w:afterAutospacing="1" w:line="240" w:lineRule="auto"/>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Steam is a major energy user and many industrial processes end up wasting some of it; especially if it is produced at higher pressures than what is needed. The conventional approach is to install pressure-reducing valves (PRVs) at various locations to reduce the steam pressure, exhausting the steam to the atmosphere. However, a non-condensing or backpressure turbine, also called a backpressure turbogenerator, can reduce the pressure while simultaneously converting the exhaust steam into electricity.</w:t>
      </w:r>
    </w:p>
    <w:p w:rsidR="009502C7" w:rsidRPr="009502C7" w:rsidRDefault="009502C7" w:rsidP="009502C7">
      <w:pPr>
        <w:shd w:val="clear" w:color="auto" w:fill="FFFFFF"/>
        <w:spacing w:before="100" w:beforeAutospacing="1" w:after="100" w:afterAutospacing="1" w:line="240" w:lineRule="auto"/>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The steam is expanded until it reaches a pressure that the facility can use. While the steam expands, part of its thermal energy is converted into mechanical energy to be used by pumps, fans, compressors, and other equipment. The lower pressure steam is exhausted into the process header from the steam turbine, where a nozzle directs jets of high-pressure steam against the turbine's rotor blades. These blades are attached to a shaft, which rotates to produce power for the electrical generator. Because the exhaust steam temperature is lower compared with a PRV, the boiler steam throughput must be increased by 5% to 7%.</w:t>
      </w:r>
    </w:p>
    <w:p w:rsidR="009502C7" w:rsidRPr="009502C7" w:rsidRDefault="009502C7" w:rsidP="009502C7">
      <w:pPr>
        <w:shd w:val="clear" w:color="auto" w:fill="FFFFFF"/>
        <w:spacing w:before="100" w:beforeAutospacing="1" w:after="100" w:afterAutospacing="1" w:line="240" w:lineRule="auto"/>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A backpressure steam turbine has a power generation efficiency ranging from 15% to 35% and requires steam of 20 to 100 lb/h per kilowatt (kW). The turbine operates with an exhaust equal to or in excess of atmospheric pressure. In general, installed cost ranges from $400/kW to $800/kW. Not all plants are candidates for backpressure turbines, as the following table shows:</w:t>
      </w:r>
    </w:p>
    <w:tbl>
      <w:tblPr>
        <w:tblW w:w="7980" w:type="dxa"/>
        <w:tblBorders>
          <w:top w:val="single" w:sz="6" w:space="0" w:color="333333"/>
          <w:left w:val="single" w:sz="6" w:space="0" w:color="333333"/>
          <w:bottom w:val="single" w:sz="6" w:space="0" w:color="333333"/>
          <w:right w:val="single" w:sz="6" w:space="0" w:color="333333"/>
        </w:tblBorders>
        <w:shd w:val="clear" w:color="auto" w:fill="FFFFFF"/>
        <w:tblCellMar>
          <w:top w:w="30" w:type="dxa"/>
          <w:left w:w="30" w:type="dxa"/>
          <w:bottom w:w="30" w:type="dxa"/>
          <w:right w:w="30" w:type="dxa"/>
        </w:tblCellMar>
        <w:tblLook w:val="04A0" w:firstRow="1" w:lastRow="0" w:firstColumn="1" w:lastColumn="0" w:noHBand="0" w:noVBand="1"/>
      </w:tblPr>
      <w:tblGrid>
        <w:gridCol w:w="1989"/>
        <w:gridCol w:w="1896"/>
        <w:gridCol w:w="2063"/>
        <w:gridCol w:w="2032"/>
      </w:tblGrid>
      <w:tr w:rsidR="009502C7" w:rsidRPr="009502C7" w:rsidTr="009502C7">
        <w:tc>
          <w:tcPr>
            <w:tcW w:w="0" w:type="auto"/>
            <w:gridSpan w:val="4"/>
            <w:tcBorders>
              <w:top w:val="single" w:sz="6" w:space="0" w:color="333333"/>
              <w:left w:val="single" w:sz="6" w:space="0" w:color="333333"/>
              <w:bottom w:val="single" w:sz="6" w:space="0" w:color="333333"/>
              <w:right w:val="single" w:sz="6" w:space="0" w:color="333333"/>
            </w:tcBorders>
            <w:shd w:val="clear" w:color="auto" w:fill="000000"/>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FFFFFF"/>
                <w:sz w:val="19"/>
                <w:szCs w:val="19"/>
                <w:lang w:eastAsia="en-IN"/>
              </w:rPr>
            </w:pPr>
            <w:r w:rsidRPr="009502C7">
              <w:rPr>
                <w:rFonts w:ascii="Verdana" w:eastAsia="Times New Roman" w:hAnsi="Verdana" w:cs="Times New Roman"/>
                <w:b/>
                <w:bCs/>
                <w:color w:val="FFFFFF"/>
                <w:sz w:val="19"/>
                <w:szCs w:val="19"/>
                <w:lang w:eastAsia="en-IN"/>
              </w:rPr>
              <w:t>Required Conditions for a Backpressure Steam Turbine</w:t>
            </w:r>
          </w:p>
        </w:tc>
      </w:tr>
      <w:tr w:rsidR="009502C7" w:rsidRPr="009502C7" w:rsidTr="009502C7">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Parameter</w:t>
            </w: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Best for Pressure Reducing Valve</w:t>
            </w: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Good for Backpressure Turbine</w:t>
            </w: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Best for Backpressure Turbine</w:t>
            </w:r>
          </w:p>
        </w:tc>
      </w:tr>
      <w:tr w:rsidR="009502C7" w:rsidRPr="009502C7" w:rsidTr="009502C7">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before="100" w:beforeAutospacing="1" w:after="100" w:afterAutospacing="1" w:line="250" w:lineRule="atLeast"/>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Steam Flow Rate (lbm/h)</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&lt;4,000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&gt;4,000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&gt;10,000 </w:t>
            </w:r>
          </w:p>
        </w:tc>
      </w:tr>
      <w:tr w:rsidR="009502C7" w:rsidRPr="009502C7" w:rsidTr="009502C7">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before="100" w:beforeAutospacing="1" w:after="100" w:afterAutospacing="1" w:line="250" w:lineRule="atLeast"/>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Inlet Pressure (psig)</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&lt;125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&gt;125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&gt;150</w:t>
            </w:r>
          </w:p>
        </w:tc>
      </w:tr>
      <w:tr w:rsidR="009502C7" w:rsidRPr="009502C7" w:rsidTr="009502C7">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before="100" w:beforeAutospacing="1" w:after="100" w:afterAutospacing="1" w:line="250" w:lineRule="atLeast"/>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Pressure Drop (psi)</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&lt;100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&gt;100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&gt;150 </w:t>
            </w:r>
          </w:p>
        </w:tc>
      </w:tr>
      <w:tr w:rsidR="009502C7" w:rsidRPr="009502C7" w:rsidTr="009502C7">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before="100" w:beforeAutospacing="1" w:after="100" w:afterAutospacing="1" w:line="250" w:lineRule="atLeast"/>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Cost of Electricity (cents/kWh)</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&lt;1.5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&gt;1.5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&gt;6.0 </w:t>
            </w:r>
          </w:p>
        </w:tc>
      </w:tr>
      <w:tr w:rsidR="009502C7" w:rsidRPr="009502C7" w:rsidTr="009502C7">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before="100" w:beforeAutospacing="1" w:after="100" w:afterAutospacing="1" w:line="250" w:lineRule="atLeast"/>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Capacity Factor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&lt;25</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&gt;25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after="0" w:line="250" w:lineRule="atLeast"/>
              <w:jc w:val="center"/>
              <w:rPr>
                <w:rFonts w:ascii="Verdana" w:eastAsia="Times New Roman" w:hAnsi="Verdana" w:cs="Times New Roman"/>
                <w:color w:val="333333"/>
                <w:sz w:val="19"/>
                <w:szCs w:val="19"/>
                <w:lang w:eastAsia="en-IN"/>
              </w:rPr>
            </w:pPr>
            <w:r w:rsidRPr="009502C7">
              <w:rPr>
                <w:rFonts w:ascii="Verdana" w:eastAsia="Times New Roman" w:hAnsi="Verdana" w:cs="Times New Roman"/>
                <w:color w:val="333333"/>
                <w:sz w:val="19"/>
                <w:szCs w:val="19"/>
                <w:lang w:eastAsia="en-IN"/>
              </w:rPr>
              <w:t> &gt;50</w:t>
            </w:r>
          </w:p>
        </w:tc>
      </w:tr>
      <w:tr w:rsidR="009502C7" w:rsidRPr="009502C7" w:rsidTr="009502C7">
        <w:tc>
          <w:tcPr>
            <w:tcW w:w="0" w:type="auto"/>
            <w:gridSpan w:val="4"/>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502C7" w:rsidRPr="009502C7" w:rsidRDefault="009502C7" w:rsidP="009502C7">
            <w:pPr>
              <w:spacing w:before="100" w:beforeAutospacing="1" w:after="100" w:afterAutospacing="1" w:line="250" w:lineRule="atLeast"/>
              <w:rPr>
                <w:rFonts w:ascii="Verdana" w:eastAsia="Times New Roman" w:hAnsi="Verdana" w:cs="Times New Roman"/>
                <w:color w:val="333333"/>
                <w:sz w:val="19"/>
                <w:szCs w:val="19"/>
                <w:lang w:eastAsia="en-IN"/>
              </w:rPr>
            </w:pPr>
            <w:r w:rsidRPr="009502C7">
              <w:rPr>
                <w:rFonts w:ascii="Verdana" w:eastAsia="Times New Roman" w:hAnsi="Verdana" w:cs="Times New Roman"/>
                <w:i/>
                <w:iCs/>
                <w:color w:val="333333"/>
                <w:sz w:val="19"/>
                <w:szCs w:val="19"/>
                <w:lang w:eastAsia="en-IN"/>
              </w:rPr>
              <w:t>Source: TurboSteam. </w:t>
            </w:r>
            <w:r w:rsidRPr="009502C7">
              <w:rPr>
                <w:rFonts w:ascii="Verdana" w:eastAsia="Times New Roman" w:hAnsi="Verdana" w:cs="Times New Roman"/>
                <w:i/>
                <w:iCs/>
                <w:color w:val="333333"/>
                <w:sz w:val="19"/>
                <w:szCs w:val="19"/>
                <w:lang w:eastAsia="en-IN"/>
              </w:rPr>
              <w:br/>
              <w:t>Note: lbm/h=pound mass per hour, psig=pounds per square inch gauge</w:t>
            </w:r>
          </w:p>
        </w:tc>
      </w:tr>
    </w:tbl>
    <w:p w:rsidR="00912D5A" w:rsidRPr="00912D5A" w:rsidRDefault="00912D5A" w:rsidP="00912D5A">
      <w:pPr>
        <w:shd w:val="clear" w:color="auto" w:fill="FFFFFF"/>
        <w:spacing w:before="100" w:beforeAutospacing="1" w:after="100" w:afterAutospacing="1" w:line="240" w:lineRule="auto"/>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Maintenance is minimal for these turbines, as long as both the steam and oil are of good quality. Changing the oil and checking the bearings should be done periodically. Service life is typically 20 years, with some turbines lasting as long as 50 years, when properly maintained. At one chemical plant, a 450-kW system using 110-psi steam operates 24 hours a day, five days per week, with few problems.</w:t>
      </w:r>
    </w:p>
    <w:p w:rsidR="00912D5A" w:rsidRPr="00912D5A" w:rsidRDefault="00912D5A" w:rsidP="00912D5A">
      <w:pPr>
        <w:shd w:val="clear" w:color="auto" w:fill="FFFFFF"/>
        <w:spacing w:before="90" w:after="0" w:line="240" w:lineRule="auto"/>
        <w:outlineLvl w:val="1"/>
        <w:rPr>
          <w:rFonts w:ascii="Verdana" w:eastAsia="Times New Roman" w:hAnsi="Verdana" w:cs="Times New Roman"/>
          <w:b/>
          <w:bCs/>
          <w:color w:val="333333"/>
          <w:sz w:val="26"/>
          <w:szCs w:val="26"/>
          <w:lang w:eastAsia="en-IN"/>
        </w:rPr>
      </w:pPr>
      <w:r w:rsidRPr="00912D5A">
        <w:rPr>
          <w:rFonts w:ascii="Verdana" w:eastAsia="Times New Roman" w:hAnsi="Verdana" w:cs="Times New Roman"/>
          <w:b/>
          <w:bCs/>
          <w:color w:val="333333"/>
          <w:sz w:val="26"/>
          <w:szCs w:val="26"/>
          <w:lang w:eastAsia="en-IN"/>
        </w:rPr>
        <w:t>Reduce Costs and Lower Emissions</w:t>
      </w:r>
    </w:p>
    <w:p w:rsidR="00912D5A" w:rsidRPr="00912D5A" w:rsidRDefault="00912D5A" w:rsidP="00912D5A">
      <w:pPr>
        <w:shd w:val="clear" w:color="auto" w:fill="FFFFFF"/>
        <w:spacing w:before="100" w:beforeAutospacing="1" w:after="100" w:afterAutospacing="1" w:line="240" w:lineRule="auto"/>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According to the U.S. Department of Energy (DOE), electricity produced by backpressure turbines can cost less than 3 cents/kWh. Payback can be under two years. After a new clinical research center at the National Institutes of Health installed backpressure turbines, the building generated about 5% of its own electricity, saving more than $170,000 annually in electricity costs. When combined with a high-efficiency boiler (80%), effective electrical efficiencies can reach as high as 78%. The following table compares the economics of two different systems:</w:t>
      </w:r>
    </w:p>
    <w:tbl>
      <w:tblPr>
        <w:tblW w:w="7500" w:type="dxa"/>
        <w:tblBorders>
          <w:top w:val="single" w:sz="6" w:space="0" w:color="333333"/>
          <w:left w:val="single" w:sz="6" w:space="0" w:color="333333"/>
          <w:bottom w:val="single" w:sz="6" w:space="0" w:color="333333"/>
          <w:right w:val="single" w:sz="6" w:space="0" w:color="333333"/>
        </w:tblBorders>
        <w:shd w:val="clear" w:color="auto" w:fill="FFFFFF"/>
        <w:tblCellMar>
          <w:top w:w="30" w:type="dxa"/>
          <w:left w:w="30" w:type="dxa"/>
          <w:bottom w:w="30" w:type="dxa"/>
          <w:right w:w="30" w:type="dxa"/>
        </w:tblCellMar>
        <w:tblLook w:val="04A0" w:firstRow="1" w:lastRow="0" w:firstColumn="1" w:lastColumn="0" w:noHBand="0" w:noVBand="1"/>
      </w:tblPr>
      <w:tblGrid>
        <w:gridCol w:w="3446"/>
        <w:gridCol w:w="2030"/>
        <w:gridCol w:w="2024"/>
      </w:tblGrid>
      <w:tr w:rsidR="00912D5A" w:rsidRPr="00912D5A" w:rsidTr="00912D5A">
        <w:tc>
          <w:tcPr>
            <w:tcW w:w="0" w:type="auto"/>
            <w:gridSpan w:val="3"/>
            <w:tcBorders>
              <w:top w:val="single" w:sz="6" w:space="0" w:color="333333"/>
              <w:left w:val="single" w:sz="6" w:space="0" w:color="333333"/>
              <w:bottom w:val="single" w:sz="6" w:space="0" w:color="333333"/>
              <w:right w:val="single" w:sz="6" w:space="0" w:color="333333"/>
            </w:tcBorders>
            <w:shd w:val="clear" w:color="auto" w:fill="00000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b/>
                <w:bCs/>
                <w:color w:val="FFFFFF"/>
                <w:sz w:val="19"/>
                <w:szCs w:val="19"/>
                <w:lang w:eastAsia="en-IN"/>
              </w:rPr>
              <w:t>Economics of Two Backpressure Turbine Systems</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Parameter</w:t>
            </w: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240-psig Exhaust, 1,371 kW</w:t>
            </w: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150-psig Exhaust, 1,986 kW</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Annual Generation, kWh/yr</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9,342,349  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13,965,000</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Electrical Energy Produced, $/yr</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355,009</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530,670 </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lastRenderedPageBreak/>
              <w:t>Increase in Natural Gas Usage, $/yr</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209,107</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312,580</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Estimated Annual Operating and Maintenance Costs, $/yr</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16,000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16,000 </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Net Annual Benefits, $/yr</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129,902</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202,090 </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Base Equipment Costs</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521,690</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568,000 </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jc w:val="righ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Total Installed Cost</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1,258,700 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1,380,700 </w:t>
            </w:r>
          </w:p>
        </w:tc>
      </w:tr>
      <w:tr w:rsidR="00912D5A" w:rsidRPr="00912D5A" w:rsidTr="00912D5A">
        <w:tc>
          <w:tcPr>
            <w:tcW w:w="0" w:type="auto"/>
            <w:gridSpan w:val="3"/>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i/>
                <w:iCs/>
                <w:color w:val="333333"/>
                <w:sz w:val="19"/>
                <w:szCs w:val="19"/>
                <w:lang w:eastAsia="en-IN"/>
              </w:rPr>
              <w:t>Note: electricity = $0.038/kWh, natural gas = $5.29/MMBtu. </w:t>
            </w:r>
            <w:r w:rsidRPr="00912D5A">
              <w:rPr>
                <w:rFonts w:ascii="Verdana" w:eastAsia="Times New Roman" w:hAnsi="Verdana" w:cs="Times New Roman"/>
                <w:i/>
                <w:iCs/>
                <w:color w:val="333333"/>
                <w:sz w:val="19"/>
                <w:szCs w:val="19"/>
                <w:lang w:eastAsia="en-IN"/>
              </w:rPr>
              <w:br/>
              <w:t>Source: Washington State University</w:t>
            </w:r>
          </w:p>
        </w:tc>
      </w:tr>
    </w:tbl>
    <w:p w:rsidR="00912D5A" w:rsidRPr="00912D5A" w:rsidRDefault="00912D5A" w:rsidP="00912D5A">
      <w:pPr>
        <w:shd w:val="clear" w:color="auto" w:fill="FFFFFF"/>
        <w:spacing w:before="100" w:beforeAutospacing="1" w:after="100" w:afterAutospacing="1" w:line="240" w:lineRule="auto"/>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Although backpressure steam turbines do not generate any emissions, the steam generator or boiler does. Emissions will depend on the type of boiler fuel, and as shown in the following table, natural gas generates the fewest </w:t>
      </w:r>
      <w:r w:rsidRPr="00912D5A">
        <w:rPr>
          <w:rFonts w:ascii="Verdana" w:eastAsia="Times New Roman" w:hAnsi="Verdana" w:cs="Times New Roman"/>
          <w:i/>
          <w:iCs/>
          <w:color w:val="333333"/>
          <w:sz w:val="19"/>
          <w:szCs w:val="19"/>
          <w:lang w:eastAsia="en-IN"/>
        </w:rPr>
        <w:t>total </w:t>
      </w:r>
      <w:r w:rsidRPr="00912D5A">
        <w:rPr>
          <w:rFonts w:ascii="Verdana" w:eastAsia="Times New Roman" w:hAnsi="Verdana" w:cs="Times New Roman"/>
          <w:color w:val="333333"/>
          <w:sz w:val="19"/>
          <w:szCs w:val="19"/>
          <w:lang w:eastAsia="en-IN"/>
        </w:rPr>
        <w:t>emissions:</w:t>
      </w:r>
    </w:p>
    <w:tbl>
      <w:tblPr>
        <w:tblW w:w="9180" w:type="dxa"/>
        <w:tblBorders>
          <w:top w:val="single" w:sz="6" w:space="0" w:color="333333"/>
          <w:left w:val="single" w:sz="6" w:space="0" w:color="333333"/>
          <w:bottom w:val="single" w:sz="6" w:space="0" w:color="333333"/>
          <w:right w:val="single" w:sz="6" w:space="0" w:color="333333"/>
        </w:tblBorders>
        <w:shd w:val="clear" w:color="auto" w:fill="FFFFFF"/>
        <w:tblCellMar>
          <w:top w:w="30" w:type="dxa"/>
          <w:left w:w="30" w:type="dxa"/>
          <w:bottom w:w="30" w:type="dxa"/>
          <w:right w:w="30" w:type="dxa"/>
        </w:tblCellMar>
        <w:tblLook w:val="04A0" w:firstRow="1" w:lastRow="0" w:firstColumn="1" w:lastColumn="0" w:noHBand="0" w:noVBand="1"/>
      </w:tblPr>
      <w:tblGrid>
        <w:gridCol w:w="1693"/>
        <w:gridCol w:w="1364"/>
        <w:gridCol w:w="795"/>
        <w:gridCol w:w="1364"/>
        <w:gridCol w:w="1364"/>
        <w:gridCol w:w="1221"/>
        <w:gridCol w:w="1379"/>
      </w:tblGrid>
      <w:tr w:rsidR="00912D5A" w:rsidRPr="00912D5A" w:rsidTr="00912D5A">
        <w:tc>
          <w:tcPr>
            <w:tcW w:w="0" w:type="auto"/>
            <w:gridSpan w:val="7"/>
            <w:tcBorders>
              <w:top w:val="single" w:sz="6" w:space="0" w:color="333333"/>
              <w:left w:val="single" w:sz="6" w:space="0" w:color="333333"/>
              <w:bottom w:val="single" w:sz="6" w:space="0" w:color="333333"/>
              <w:right w:val="single" w:sz="6" w:space="0" w:color="333333"/>
            </w:tcBorders>
            <w:shd w:val="clear" w:color="auto" w:fill="00000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FFFFFF"/>
                <w:sz w:val="19"/>
                <w:szCs w:val="19"/>
                <w:lang w:eastAsia="en-IN"/>
              </w:rPr>
            </w:pPr>
            <w:r w:rsidRPr="00912D5A">
              <w:rPr>
                <w:rFonts w:ascii="Verdana" w:eastAsia="Times New Roman" w:hAnsi="Verdana" w:cs="Times New Roman"/>
                <w:b/>
                <w:bCs/>
                <w:color w:val="FFFFFF"/>
                <w:sz w:val="19"/>
                <w:szCs w:val="19"/>
                <w:lang w:eastAsia="en-IN"/>
              </w:rPr>
              <w:t>Comparison of Boiler Emissions, lbs/MMBtu</w:t>
            </w:r>
          </w:p>
        </w:tc>
      </w:tr>
      <w:tr w:rsidR="00912D5A" w:rsidRPr="00912D5A" w:rsidTr="00912D5A">
        <w:tc>
          <w:tcPr>
            <w:tcW w:w="0" w:type="auto"/>
            <w:vMerge w:val="restart"/>
            <w:tcBorders>
              <w:top w:val="single" w:sz="6" w:space="0" w:color="333333"/>
              <w:left w:val="single" w:sz="6" w:space="0" w:color="333333"/>
              <w:bottom w:val="single" w:sz="6" w:space="0" w:color="333333"/>
              <w:right w:val="single" w:sz="6" w:space="0" w:color="333333"/>
            </w:tcBorders>
            <w:shd w:val="clear" w:color="auto" w:fill="999999"/>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b/>
                <w:bCs/>
                <w:color w:val="333333"/>
                <w:sz w:val="19"/>
                <w:szCs w:val="19"/>
                <w:lang w:eastAsia="en-IN"/>
              </w:rPr>
              <w:t>Type of Fuel</w:t>
            </w:r>
          </w:p>
        </w:tc>
        <w:tc>
          <w:tcPr>
            <w:tcW w:w="0" w:type="auto"/>
            <w:gridSpan w:val="3"/>
            <w:tcBorders>
              <w:top w:val="single" w:sz="6" w:space="0" w:color="333333"/>
              <w:left w:val="single" w:sz="6" w:space="0" w:color="333333"/>
              <w:bottom w:val="single" w:sz="6" w:space="0" w:color="333333"/>
              <w:right w:val="single" w:sz="6" w:space="0" w:color="333333"/>
            </w:tcBorders>
            <w:shd w:val="clear" w:color="auto" w:fill="999999"/>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b/>
                <w:bCs/>
                <w:color w:val="333333"/>
                <w:sz w:val="19"/>
                <w:szCs w:val="19"/>
                <w:lang w:eastAsia="en-IN"/>
              </w:rPr>
              <w:t>500 kW System</w:t>
            </w:r>
          </w:p>
        </w:tc>
        <w:tc>
          <w:tcPr>
            <w:tcW w:w="0" w:type="auto"/>
            <w:gridSpan w:val="3"/>
            <w:tcBorders>
              <w:top w:val="single" w:sz="6" w:space="0" w:color="333333"/>
              <w:left w:val="single" w:sz="6" w:space="0" w:color="333333"/>
              <w:bottom w:val="single" w:sz="6" w:space="0" w:color="333333"/>
              <w:right w:val="single" w:sz="6" w:space="0" w:color="333333"/>
            </w:tcBorders>
            <w:shd w:val="clear" w:color="auto" w:fill="999999"/>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b/>
                <w:bCs/>
                <w:color w:val="333333"/>
                <w:sz w:val="19"/>
                <w:szCs w:val="19"/>
                <w:lang w:eastAsia="en-IN"/>
              </w:rPr>
              <w:t> 3 MW or 15 MW System</w:t>
            </w:r>
          </w:p>
        </w:tc>
      </w:tr>
      <w:tr w:rsidR="00912D5A" w:rsidRPr="00912D5A" w:rsidTr="00912D5A">
        <w:tc>
          <w:tcPr>
            <w:tcW w:w="0" w:type="auto"/>
            <w:vMerge/>
            <w:tcBorders>
              <w:top w:val="single" w:sz="6" w:space="0" w:color="333333"/>
              <w:left w:val="single" w:sz="6" w:space="0" w:color="333333"/>
              <w:bottom w:val="single" w:sz="6" w:space="0" w:color="333333"/>
              <w:right w:val="single" w:sz="6" w:space="0" w:color="333333"/>
            </w:tcBorders>
            <w:shd w:val="clear" w:color="auto" w:fill="C0C0C0"/>
            <w:vAlign w:val="center"/>
            <w:hideMark/>
          </w:tcPr>
          <w:p w:rsidR="00912D5A" w:rsidRPr="00912D5A" w:rsidRDefault="00912D5A" w:rsidP="00912D5A">
            <w:pPr>
              <w:spacing w:after="0" w:line="240" w:lineRule="auto"/>
              <w:rPr>
                <w:rFonts w:ascii="Verdana" w:eastAsia="Times New Roman" w:hAnsi="Verdana" w:cs="Times New Roman"/>
                <w:color w:val="333333"/>
                <w:sz w:val="19"/>
                <w:szCs w:val="19"/>
                <w:lang w:eastAsia="en-IN"/>
              </w:rPr>
            </w:pP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NOx</w:t>
            </w: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CO</w:t>
            </w: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PM</w:t>
            </w: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NOx </w:t>
            </w: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CO</w:t>
            </w:r>
          </w:p>
        </w:tc>
        <w:tc>
          <w:tcPr>
            <w:tcW w:w="0" w:type="auto"/>
            <w:tcBorders>
              <w:top w:val="single" w:sz="6" w:space="0" w:color="333333"/>
              <w:left w:val="single" w:sz="6" w:space="0" w:color="333333"/>
              <w:bottom w:val="single" w:sz="6" w:space="0" w:color="333333"/>
              <w:right w:val="single" w:sz="6" w:space="0" w:color="333333"/>
            </w:tcBorders>
            <w:shd w:val="clear" w:color="auto" w:fill="C0C0C0"/>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PM</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Coal</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NA</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NA</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NA</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0.20-1.24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0.02-0.7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&lt;0.30 </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Wood</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0.22-0.49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0.6</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0.33-0.56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0.22-0.49</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0.06 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0.33-0.56 </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Fuel Oil</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0.15-0.37</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0.03</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0.01-0.08</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0.07-0.31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0.03</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0.01-0.08</w:t>
            </w:r>
          </w:p>
        </w:tc>
      </w:tr>
      <w:tr w:rsidR="00912D5A" w:rsidRPr="00912D5A" w:rsidTr="00912D5A">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before="100" w:beforeAutospacing="1" w:after="100" w:afterAutospacing="1"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Natural Gas</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0.03-0.1</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0.08</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0.1-0.28</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0.08</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jc w:val="center"/>
              <w:rPr>
                <w:rFonts w:ascii="Verdana" w:eastAsia="Times New Roman" w:hAnsi="Verdana" w:cs="Times New Roman"/>
                <w:color w:val="333333"/>
                <w:sz w:val="19"/>
                <w:szCs w:val="19"/>
                <w:lang w:eastAsia="en-IN"/>
              </w:rPr>
            </w:pPr>
            <w:r w:rsidRPr="00912D5A">
              <w:rPr>
                <w:rFonts w:ascii="Verdana" w:eastAsia="Times New Roman" w:hAnsi="Verdana" w:cs="Times New Roman"/>
                <w:color w:val="333333"/>
                <w:sz w:val="19"/>
                <w:szCs w:val="19"/>
                <w:lang w:eastAsia="en-IN"/>
              </w:rPr>
              <w:t>-- </w:t>
            </w:r>
          </w:p>
        </w:tc>
      </w:tr>
      <w:tr w:rsidR="00912D5A" w:rsidRPr="00912D5A" w:rsidTr="00912D5A">
        <w:tc>
          <w:tcPr>
            <w:tcW w:w="0" w:type="auto"/>
            <w:gridSpan w:val="7"/>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hideMark/>
          </w:tcPr>
          <w:p w:rsidR="00912D5A" w:rsidRPr="00912D5A" w:rsidRDefault="00912D5A" w:rsidP="00912D5A">
            <w:pPr>
              <w:spacing w:after="0" w:line="250" w:lineRule="atLeast"/>
              <w:rPr>
                <w:rFonts w:ascii="Verdana" w:eastAsia="Times New Roman" w:hAnsi="Verdana" w:cs="Times New Roman"/>
                <w:color w:val="333333"/>
                <w:sz w:val="19"/>
                <w:szCs w:val="19"/>
                <w:lang w:eastAsia="en-IN"/>
              </w:rPr>
            </w:pPr>
            <w:r w:rsidRPr="00912D5A">
              <w:rPr>
                <w:rFonts w:ascii="Verdana" w:eastAsia="Times New Roman" w:hAnsi="Verdana" w:cs="Times New Roman"/>
                <w:i/>
                <w:iCs/>
                <w:color w:val="333333"/>
                <w:sz w:val="19"/>
                <w:szCs w:val="19"/>
                <w:lang w:eastAsia="en-IN"/>
              </w:rPr>
              <w:t>Note: All emissions are without post-combustion treatment. Source: U.S. Environmental Protection Agency</w:t>
            </w:r>
          </w:p>
        </w:tc>
      </w:tr>
    </w:tbl>
    <w:p w:rsidR="00F544FC" w:rsidRDefault="00F544FC">
      <w:pPr>
        <w:rPr>
          <w:sz w:val="48"/>
          <w:szCs w:val="48"/>
        </w:rPr>
      </w:pPr>
      <w:bookmarkStart w:id="0" w:name="_GoBack"/>
      <w:bookmarkEnd w:id="0"/>
    </w:p>
    <w:p w:rsidR="00F544FC" w:rsidRDefault="00F544FC" w:rsidP="000E74F2">
      <w:pPr>
        <w:spacing w:after="0" w:line="240" w:lineRule="auto"/>
        <w:rPr>
          <w:rFonts w:eastAsiaTheme="minorEastAsia" w:hAnsi="Calibri"/>
          <w:color w:val="000000" w:themeColor="text1"/>
          <w:kern w:val="24"/>
          <w:sz w:val="36"/>
          <w:szCs w:val="36"/>
          <w:lang w:val="en-US" w:eastAsia="en-IN"/>
        </w:rPr>
      </w:pPr>
    </w:p>
    <w:p w:rsidR="000E74F2" w:rsidRDefault="000E74F2" w:rsidP="000E74F2">
      <w:pPr>
        <w:spacing w:after="0" w:line="240" w:lineRule="auto"/>
        <w:rPr>
          <w:noProof/>
        </w:rPr>
      </w:pPr>
      <w:r>
        <w:rPr>
          <w:rFonts w:eastAsiaTheme="minorEastAsia" w:hAnsi="Calibri"/>
          <w:color w:val="000000" w:themeColor="text1"/>
          <w:kern w:val="24"/>
          <w:sz w:val="36"/>
          <w:szCs w:val="36"/>
          <w:lang w:val="en-US" w:eastAsia="en-IN"/>
        </w:rPr>
        <w:t xml:space="preserve">                                </w:t>
      </w:r>
      <w:r w:rsidRPr="000E74F2">
        <w:rPr>
          <w:rFonts w:eastAsiaTheme="minorEastAsia" w:hAnsi="Calibri"/>
          <w:color w:val="000000" w:themeColor="text1"/>
          <w:kern w:val="24"/>
          <w:sz w:val="48"/>
          <w:szCs w:val="48"/>
          <w:lang w:val="en-US" w:eastAsia="en-IN"/>
        </w:rPr>
        <w:t>Flow Diagram of Steam in BPTG</w:t>
      </w:r>
      <w:r>
        <w:rPr>
          <w:noProof/>
        </w:rPr>
        <w:t xml:space="preserve">    </w:t>
      </w:r>
      <w:r>
        <w:rPr>
          <w:noProof/>
        </w:rPr>
        <w:drawing>
          <wp:inline distT="0" distB="0" distL="0" distR="0" wp14:anchorId="3A9D22E1" wp14:editId="1FD6678E">
            <wp:extent cx="7199630" cy="3632835"/>
            <wp:effectExtent l="0" t="0" r="127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7199630" cy="3632835"/>
                    </a:xfrm>
                    <a:prstGeom prst="rect">
                      <a:avLst/>
                    </a:prstGeom>
                  </pic:spPr>
                </pic:pic>
              </a:graphicData>
            </a:graphic>
          </wp:inline>
        </w:drawing>
      </w:r>
    </w:p>
    <w:p w:rsidR="007B4D74" w:rsidRDefault="007B4D74" w:rsidP="000E74F2">
      <w:pPr>
        <w:spacing w:after="0" w:line="240" w:lineRule="auto"/>
        <w:rPr>
          <w:noProof/>
        </w:rPr>
      </w:pPr>
    </w:p>
    <w:p w:rsidR="007B4D74" w:rsidRDefault="007B4D74" w:rsidP="007B4D74">
      <w:pPr>
        <w:spacing w:after="0" w:line="240" w:lineRule="auto"/>
        <w:rPr>
          <w:rFonts w:eastAsiaTheme="minorEastAsia" w:hAnsi="Calibri"/>
          <w:color w:val="000000" w:themeColor="text1"/>
          <w:kern w:val="24"/>
          <w:sz w:val="48"/>
          <w:szCs w:val="48"/>
          <w:lang w:val="en-US" w:eastAsia="en-IN"/>
        </w:rPr>
      </w:pPr>
      <w:r>
        <w:rPr>
          <w:rFonts w:eastAsiaTheme="minorEastAsia" w:hAnsi="Calibri"/>
          <w:color w:val="000000" w:themeColor="text1"/>
          <w:kern w:val="24"/>
          <w:sz w:val="48"/>
          <w:szCs w:val="48"/>
          <w:lang w:val="en-US" w:eastAsia="en-IN"/>
        </w:rPr>
        <w:lastRenderedPageBreak/>
        <w:t xml:space="preserve">                                        </w:t>
      </w:r>
      <w:r w:rsidRPr="007B4D74">
        <w:rPr>
          <w:rFonts w:eastAsiaTheme="minorEastAsia" w:hAnsi="Calibri"/>
          <w:color w:val="000000" w:themeColor="text1"/>
          <w:kern w:val="24"/>
          <w:sz w:val="48"/>
          <w:szCs w:val="48"/>
          <w:lang w:val="en-US" w:eastAsia="en-IN"/>
        </w:rPr>
        <w:t>Deaerator in BPTG</w:t>
      </w:r>
    </w:p>
    <w:p w:rsidR="007B4D74" w:rsidRPr="007B4D74" w:rsidRDefault="007B4D74" w:rsidP="007B4D74">
      <w:pPr>
        <w:spacing w:after="0" w:line="240" w:lineRule="auto"/>
        <w:rPr>
          <w:rFonts w:ascii="Times New Roman" w:eastAsia="Times New Roman" w:hAnsi="Times New Roman" w:cs="Times New Roman"/>
          <w:sz w:val="48"/>
          <w:szCs w:val="48"/>
          <w:lang w:eastAsia="en-IN"/>
        </w:rPr>
      </w:pPr>
      <w:r>
        <w:rPr>
          <w:noProof/>
        </w:rPr>
        <w:drawing>
          <wp:inline distT="0" distB="0" distL="0" distR="0" wp14:anchorId="57ECBAFE" wp14:editId="41E086DE">
            <wp:extent cx="7199630" cy="4158615"/>
            <wp:effectExtent l="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7199630" cy="4158615"/>
                    </a:xfrm>
                    <a:prstGeom prst="rect">
                      <a:avLst/>
                    </a:prstGeom>
                  </pic:spPr>
                </pic:pic>
              </a:graphicData>
            </a:graphic>
          </wp:inline>
        </w:drawing>
      </w:r>
    </w:p>
    <w:p w:rsidR="007B4D74" w:rsidRDefault="007B4D74" w:rsidP="000E74F2">
      <w:pPr>
        <w:spacing w:after="0" w:line="240" w:lineRule="auto"/>
        <w:rPr>
          <w:rFonts w:ascii="Times New Roman" w:eastAsia="Times New Roman" w:hAnsi="Times New Roman" w:cs="Times New Roman"/>
          <w:sz w:val="24"/>
          <w:szCs w:val="24"/>
          <w:lang w:eastAsia="en-IN"/>
        </w:rPr>
      </w:pPr>
    </w:p>
    <w:p w:rsidR="002829F6" w:rsidRDefault="002829F6" w:rsidP="000E74F2">
      <w:pPr>
        <w:spacing w:after="0" w:line="240" w:lineRule="auto"/>
        <w:rPr>
          <w:rFonts w:ascii="Times New Roman" w:eastAsia="Times New Roman" w:hAnsi="Times New Roman" w:cs="Times New Roman"/>
          <w:sz w:val="24"/>
          <w:szCs w:val="24"/>
          <w:lang w:eastAsia="en-IN"/>
        </w:rPr>
      </w:pPr>
    </w:p>
    <w:p w:rsidR="002829F6" w:rsidRDefault="002829F6" w:rsidP="000E74F2">
      <w:pPr>
        <w:spacing w:after="0" w:line="240" w:lineRule="auto"/>
        <w:rPr>
          <w:rFonts w:ascii="Times New Roman" w:eastAsia="Times New Roman" w:hAnsi="Times New Roman" w:cs="Times New Roman"/>
          <w:sz w:val="24"/>
          <w:szCs w:val="24"/>
          <w:lang w:eastAsia="en-IN"/>
        </w:rPr>
      </w:pPr>
    </w:p>
    <w:p w:rsidR="002829F6" w:rsidRDefault="002829F6" w:rsidP="000E74F2">
      <w:pPr>
        <w:spacing w:after="0" w:line="240" w:lineRule="auto"/>
        <w:rPr>
          <w:rFonts w:ascii="Times New Roman" w:eastAsia="Times New Roman" w:hAnsi="Times New Roman" w:cs="Times New Roman"/>
          <w:sz w:val="24"/>
          <w:szCs w:val="24"/>
          <w:lang w:eastAsia="en-IN"/>
        </w:rPr>
      </w:pPr>
    </w:p>
    <w:p w:rsidR="002829F6" w:rsidRPr="000E74F2" w:rsidRDefault="002829F6" w:rsidP="000E74F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48"/>
          <w:szCs w:val="48"/>
          <w:lang w:eastAsia="en-IN"/>
        </w:rPr>
        <w:t>BPTG Load Calculations</w:t>
      </w:r>
    </w:p>
    <w:p w:rsidR="000B4E5B" w:rsidRPr="00D070DB" w:rsidRDefault="002829F6">
      <w:pPr>
        <w:rPr>
          <w:sz w:val="48"/>
          <w:szCs w:val="48"/>
        </w:rPr>
      </w:pPr>
      <w:r w:rsidRPr="002829F6">
        <w:drawing>
          <wp:anchor distT="0" distB="0" distL="114300" distR="114300" simplePos="0" relativeHeight="251658240" behindDoc="0" locked="0" layoutInCell="1" allowOverlap="1">
            <wp:simplePos x="180975" y="714375"/>
            <wp:positionH relativeFrom="column">
              <wp:align>left</wp:align>
            </wp:positionH>
            <wp:positionV relativeFrom="paragraph">
              <wp:align>top</wp:align>
            </wp:positionV>
            <wp:extent cx="4501273" cy="28289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1273" cy="2828925"/>
                    </a:xfrm>
                    <a:prstGeom prst="rect">
                      <a:avLst/>
                    </a:prstGeom>
                    <a:noFill/>
                    <a:ln>
                      <a:noFill/>
                    </a:ln>
                  </pic:spPr>
                </pic:pic>
              </a:graphicData>
            </a:graphic>
          </wp:anchor>
        </w:drawing>
      </w:r>
      <w:r w:rsidR="00B45177">
        <w:rPr>
          <w:sz w:val="48"/>
          <w:szCs w:val="48"/>
        </w:rPr>
        <w:br w:type="textWrapping" w:clear="all"/>
      </w:r>
    </w:p>
    <w:sectPr w:rsidR="000B4E5B" w:rsidRPr="00D070DB" w:rsidSect="00D070DB">
      <w:pgSz w:w="11906" w:h="16838"/>
      <w:pgMar w:top="567" w:right="284" w:bottom="56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DB"/>
    <w:rsid w:val="000B4E5B"/>
    <w:rsid w:val="000E74F2"/>
    <w:rsid w:val="001757A9"/>
    <w:rsid w:val="001B2364"/>
    <w:rsid w:val="002829F6"/>
    <w:rsid w:val="003128C9"/>
    <w:rsid w:val="004B559D"/>
    <w:rsid w:val="004E79C8"/>
    <w:rsid w:val="007B4D74"/>
    <w:rsid w:val="00912D5A"/>
    <w:rsid w:val="009502C7"/>
    <w:rsid w:val="00A24920"/>
    <w:rsid w:val="00B45177"/>
    <w:rsid w:val="00C374B0"/>
    <w:rsid w:val="00D070DB"/>
    <w:rsid w:val="00F54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6C8E"/>
  <w15:chartTrackingRefBased/>
  <w15:docId w15:val="{EF27B43E-344C-431D-B105-6A60F6CC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E5B"/>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99294">
      <w:bodyDiv w:val="1"/>
      <w:marLeft w:val="0"/>
      <w:marRight w:val="0"/>
      <w:marTop w:val="0"/>
      <w:marBottom w:val="0"/>
      <w:divBdr>
        <w:top w:val="none" w:sz="0" w:space="0" w:color="auto"/>
        <w:left w:val="none" w:sz="0" w:space="0" w:color="auto"/>
        <w:bottom w:val="none" w:sz="0" w:space="0" w:color="auto"/>
        <w:right w:val="none" w:sz="0" w:space="0" w:color="auto"/>
      </w:divBdr>
    </w:div>
    <w:div w:id="192766915">
      <w:bodyDiv w:val="1"/>
      <w:marLeft w:val="0"/>
      <w:marRight w:val="0"/>
      <w:marTop w:val="0"/>
      <w:marBottom w:val="0"/>
      <w:divBdr>
        <w:top w:val="none" w:sz="0" w:space="0" w:color="auto"/>
        <w:left w:val="none" w:sz="0" w:space="0" w:color="auto"/>
        <w:bottom w:val="none" w:sz="0" w:space="0" w:color="auto"/>
        <w:right w:val="none" w:sz="0" w:space="0" w:color="auto"/>
      </w:divBdr>
    </w:div>
    <w:div w:id="656617103">
      <w:bodyDiv w:val="1"/>
      <w:marLeft w:val="0"/>
      <w:marRight w:val="0"/>
      <w:marTop w:val="0"/>
      <w:marBottom w:val="0"/>
      <w:divBdr>
        <w:top w:val="none" w:sz="0" w:space="0" w:color="auto"/>
        <w:left w:val="none" w:sz="0" w:space="0" w:color="auto"/>
        <w:bottom w:val="none" w:sz="0" w:space="0" w:color="auto"/>
        <w:right w:val="none" w:sz="0" w:space="0" w:color="auto"/>
      </w:divBdr>
    </w:div>
    <w:div w:id="183980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Kumar</dc:creator>
  <cp:keywords/>
  <dc:description/>
  <cp:lastModifiedBy>Mihir Kumar</cp:lastModifiedBy>
  <cp:revision>53</cp:revision>
  <dcterms:created xsi:type="dcterms:W3CDTF">2017-07-06T11:52:00Z</dcterms:created>
  <dcterms:modified xsi:type="dcterms:W3CDTF">2017-07-06T14:30:00Z</dcterms:modified>
</cp:coreProperties>
</file>