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Arial" w:cs="Arial" w:eastAsia="Arial" w:hAnsi="Arial"/>
          <w:b/>
          <w:bCs/>
          <w:sz w:val="44"/>
          <w:szCs w:val="44"/>
        </w:rPr>
        <w:t xml:space="preserve">TurboTax Virtual Expert Platform</w:t>
      </w:r>
    </w:p>
    <w:p>
      <w:pPr>
        <w:spacing w:after="200"/>
        <w:jc w:val="center"/>
      </w:pPr>
      <w:r>
        <w:rPr>
          <w:rFonts w:ascii="Arial" w:cs="Arial" w:eastAsia="Arial" w:hAnsi="Arial"/>
          <w:color w:val="555555"/>
          <w:sz w:val="32"/>
          <w:szCs w:val="32"/>
        </w:rPr>
        <w:t xml:space="preserve">Product Requirements Document</w:t>
      </w:r>
    </w:p>
    <w:p>
      <w:pPr>
        <w:spacing w:before="600"/>
        <w:jc w:val="center"/>
      </w:pPr>
      <w:r>
        <w:rPr>
          <w:rFonts w:ascii="Arial" w:cs="Arial" w:eastAsia="Arial" w:hAnsi="Arial"/>
          <w:i/>
          <w:iCs/>
          <w:color w:val="555555"/>
          <w:sz w:val="22"/>
          <w:szCs w:val="22"/>
        </w:rPr>
        <w:t xml:space="preserve">Independent product review and proposed redesign of the TurboTax Virtual Expert Platform, the layer that powers TurboTax Live Assisted, TurboTax Live Full Service, and Expert Full Service.</w:t>
      </w:r>
    </w:p>
    <w:p>
      <w:pPr>
        <w:spacing w:before="1200"/>
        <w:jc w:val="center"/>
      </w:pPr>
      <w:r>
        <w:rPr>
          <w:rFonts w:ascii="Arial" w:cs="Arial" w:eastAsia="Arial" w:hAnsi="Arial"/>
          <w:color w:val="2E75B6"/>
          <w:sz w:val="20"/>
          <w:szCs w:val="20"/>
        </w:rPr>
        <w:t xml:space="preserve">Live Prototype: https://turbotax-vep.vercel.app</w:t>
      </w:r>
    </w:p>
    <w:p>
      <w:r>
        <w:br w:type="page"/>
      </w:r>
    </w:p>
    <w:p>
      <w:pPr>
        <w:sectPr>
          <w:pgSz w:w="12240" w:h="15840" w:orient="portrait"/>
          <w:pgMar w:top="1440" w:right="1440" w:bottom="1440" w:left="1440" w:header="708" w:footer="708" w:gutter="0"/>
          <w:pgNumType/>
          <w:docGrid w:linePitch="360"/>
        </w:sectPr>
      </w:pPr>
    </w:p>
    <w:p>
      <w:pPr>
        <w:pStyle w:val="Heading1"/>
        <w:spacing w:after="120" w:before="240"/>
      </w:pPr>
      <w:r>
        <w:rPr>
          <w:rFonts w:ascii="Arial" w:cs="Arial" w:eastAsia="Arial" w:hAnsi="Arial"/>
          <w:b/>
          <w:bCs/>
          <w:sz w:val="32"/>
          <w:szCs w:val="32"/>
        </w:rPr>
        <w:t xml:space="preserve">1. Context</w:t>
      </w:r>
    </w:p>
    <w:p>
      <w:pPr>
        <w:spacing w:after="120"/>
      </w:pPr>
      <w:r>
        <w:rPr>
          <w:rFonts w:ascii="Arial" w:cs="Arial" w:eastAsia="Arial" w:hAnsi="Arial"/>
          <w:sz w:val="22"/>
          <w:szCs w:val="22"/>
        </w:rPr>
        <w:t xml:space="preserve">This is an independent product review of the TurboTax Virtual Expert Platform, built entirely on publicly available data: Intuit investor disclosures and earnings transcripts (FY2024 and FY2025), Intuit recruitment FAQs for tax experts, 88 verbatim customer quotes sampled across Trustpilot (1,166 reviews), BBB (3,720 complaints), the TurboTax community forum, ComplaintsBoard, the Apple App Store, Glassdoor, Indeed, NerdWallet’s 2026 review, Washington Post and Futurism investigative reporting, FTC filings, and class action filings.</w:t>
      </w:r>
    </w:p>
    <w:p>
      <w:pPr>
        <w:pStyle w:val="Heading1"/>
        <w:spacing w:after="120" w:before="240"/>
      </w:pPr>
      <w:r>
        <w:rPr>
          <w:rFonts w:ascii="Arial" w:cs="Arial" w:eastAsia="Arial" w:hAnsi="Arial"/>
          <w:b/>
          <w:bCs/>
          <w:sz w:val="32"/>
          <w:szCs w:val="32"/>
        </w:rPr>
        <w:t xml:space="preserve">2. Strategic Stakes (Top 5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800"/>
        <w:gridCol w:w="3440"/>
      </w:tblGrid>
      <w:tr>
        <w:tc>
          <w:tcPr>
            <w:tcW w:type="dxa" w:w="312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Value</w:t>
            </w:r>
          </w:p>
        </w:tc>
        <w:tc>
          <w:tcPr>
            <w:tcW w:type="dxa" w:w="34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Why it matters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TurboTax Live revenue, FY2025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$2.0B (+47% YoY)</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Live is Intuit’s largest growth engine.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Live as % of Consumer Group revenue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41%</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 franchise is structurally dependent on the expert experience.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headcount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13,000 (Nov 2025)</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 capacity layer the workbench touches.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AI driven expert time reduction, TY2025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Intuit’s stated AI productivity baseline this PRD proposes to extend.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 trust gap</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Trustpilot 1.2/5; BBB 1.07/5; 3,720 complaints</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 single most important credibility input to any growth forecast.</w:t>
            </w:r>
          </w:p>
        </w:tc>
      </w:tr>
    </w:tbl>
    <w:p>
      <w:pPr>
        <w:pStyle w:val="Heading1"/>
        <w:spacing w:after="120" w:before="240"/>
      </w:pPr>
      <w:r>
        <w:rPr>
          <w:rFonts w:ascii="Arial" w:cs="Arial" w:eastAsia="Arial" w:hAnsi="Arial"/>
          <w:b/>
          <w:bCs/>
          <w:sz w:val="32"/>
          <w:szCs w:val="32"/>
        </w:rPr>
        <w:t xml:space="preserve">3. The Core Insight</w:t>
      </w:r>
    </w:p>
    <w:p>
      <w:pPr>
        <w:spacing w:after="120"/>
      </w:pPr>
      <w:r>
        <w:rPr>
          <w:rFonts w:ascii="Arial" w:cs="Arial" w:eastAsia="Arial" w:hAnsi="Arial"/>
          <w:sz w:val="22"/>
          <w:szCs w:val="22"/>
        </w:rPr>
        <w:t xml:space="preserve">Two findings from the research drive every recommendation in this document.</w:t>
      </w:r>
    </w:p>
    <w:p>
      <w:pPr>
        <w:spacing w:after="120"/>
      </w:pPr>
      <w:r>
        <w:rPr>
          <w:rFonts w:ascii="Arial" w:cs="Arial" w:eastAsia="Arial" w:hAnsi="Arial"/>
          <w:b/>
          <w:bCs/>
          <w:sz w:val="22"/>
          <w:szCs w:val="22"/>
        </w:rPr>
        <w:t xml:space="preserve">Finding 1, mechanical errors are common everywhere. </w:t>
      </w:r>
      <w:r>
        <w:rPr>
          <w:rFonts w:ascii="Arial" w:cs="Arial" w:eastAsia="Arial" w:hAnsi="Arial"/>
          <w:sz w:val="22"/>
          <w:szCs w:val="22"/>
        </w:rPr>
        <w:t xml:space="preserve">Audits of independently prepared returns and the public TurboTax record consistently surface the same mechanically detectable errors: missed depreciation allocation on rental property, missing wash sale Code W on Form 8949, Form 8889 HSA contribution mismatches, RSU income double counting between W-2 Box 1 and 1099-B, and a Washington Post test of Intuit Assist that found it wrong on more than half of 16 tax questions reviewed by credentialed pros.</w:t>
      </w:r>
    </w:p>
    <w:p>
      <w:pPr>
        <w:spacing w:after="120"/>
      </w:pPr>
      <w:r>
        <w:rPr>
          <w:rFonts w:ascii="Arial" w:cs="Arial" w:eastAsia="Arial" w:hAnsi="Arial"/>
          <w:b/>
          <w:bCs/>
          <w:sz w:val="22"/>
          <w:szCs w:val="22"/>
        </w:rPr>
        <w:t xml:space="preserve">Finding 2, the expert layer is misaligned with what customers actually want. </w:t>
      </w:r>
      <w:r>
        <w:rPr>
          <w:rFonts w:ascii="Arial" w:cs="Arial" w:eastAsia="Arial" w:hAnsi="Arial"/>
          <w:sz w:val="22"/>
          <w:szCs w:val="22"/>
        </w:rPr>
        <w:t xml:space="preserve">Customers do not hire an expert to “fill out the return correctly.” They hire an expert to deliver against a goal: maximize my refund, do not get me audited, plan my life event, simplify next year. The current TurboTax Live model has no place to capture those goals, no recommendation engine that ranks suggestions by goal fit, and an evaluation system that grades experts on customer surveys and a 23 minute average handle time rather than goal outcomes.</w:t>
      </w:r>
    </w:p>
    <w:p>
      <w:pPr>
        <w:pStyle w:val="Heading1"/>
        <w:spacing w:after="120" w:before="240"/>
      </w:pPr>
      <w:r>
        <w:rPr>
          <w:rFonts w:ascii="Arial" w:cs="Arial" w:eastAsia="Arial" w:hAnsi="Arial"/>
          <w:b/>
          <w:bCs/>
          <w:sz w:val="32"/>
          <w:szCs w:val="32"/>
        </w:rPr>
        <w:t xml:space="preserve">4. Customer Friction (Top Five)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900"/>
        <w:gridCol w:w="1000"/>
        <w:gridCol w:w="436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 theme</w:t>
            </w:r>
          </w:p>
        </w:tc>
        <w:tc>
          <w:tcPr>
            <w:tcW w:type="dxa" w:w="9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Severity</w:t>
            </w:r>
          </w:p>
        </w:tc>
        <w:tc>
          <w:tcPr>
            <w:tcW w:type="dxa" w:w="1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 of sample</w:t>
            </w:r>
          </w:p>
        </w:tc>
        <w:tc>
          <w:tcPr>
            <w:tcW w:type="dxa" w:w="4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Representative example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quality and accuracy errors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18%</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$12K ISO bug; RSU double count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Communication breakdowns / auto closure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34 day case auto closed 7 days before deadline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Generalist routed to complex return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Cross border 95K CAD case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Hand off and continuity loss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Structurally impossible to reach last year’s expert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Long wait times and queue pain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11%</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4.5 hours after six callback attempts</w:t>
            </w:r>
          </w:p>
        </w:tc>
      </w:tr>
    </w:tbl>
    <w:p>
      <w:pPr>
        <w:pStyle w:val="Heading1"/>
        <w:spacing w:after="120" w:before="240"/>
      </w:pPr>
      <w:r>
        <w:rPr>
          <w:rFonts w:ascii="Arial" w:cs="Arial" w:eastAsia="Arial" w:hAnsi="Arial"/>
          <w:b/>
          <w:bCs/>
          <w:sz w:val="32"/>
          <w:szCs w:val="32"/>
        </w:rPr>
        <w:t xml:space="preserve">5. Expert Pain Points (Top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60"/>
        <w:gridCol w:w="1200"/>
        <w:gridCol w:w="380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3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Pain point</w:t>
            </w:r>
          </w:p>
        </w:tc>
        <w:tc>
          <w:tcPr>
            <w:tcW w:type="dxa" w:w="1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Themes</w:t>
            </w:r>
          </w:p>
        </w:tc>
        <w:tc>
          <w:tcPr>
            <w:tcW w:type="dxa" w:w="3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Evidence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 return surface, no anomaly flags, no risk register. Tooling is a knowledge base search box.</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1, 4</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 recruitment FAQ</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Routing is a queue. No specialty, complexity, or continuity matching.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3, 4, 5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 recruitment FAQ</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Performance graded on surveys and 23 min AHT. Accuracy not measured.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Washington Post test</w:t>
            </w:r>
          </w:p>
        </w:tc>
      </w:tr>
    </w:tbl>
    <w:p>
      <w:r>
        <w:br w:type="page"/>
      </w:r>
    </w:p>
    <w:p>
      <w:pPr>
        <w:pStyle w:val="Heading1"/>
        <w:spacing w:after="120" w:before="240"/>
      </w:pPr>
      <w:r>
        <w:rPr>
          <w:rFonts w:ascii="Arial" w:cs="Arial" w:eastAsia="Arial" w:hAnsi="Arial"/>
          <w:b/>
          <w:bCs/>
          <w:sz w:val="32"/>
          <w:szCs w:val="32"/>
        </w:rPr>
        <w:t xml:space="preserve">6. Financial Model</w:t>
      </w:r>
    </w:p>
    <w:p>
      <w:pPr>
        <w:pStyle w:val="Heading3"/>
        <w:spacing w:after="120" w:before="240"/>
      </w:pPr>
      <w:r>
        <w:rPr>
          <w:rFonts w:ascii="Arial" w:cs="Arial" w:eastAsia="Arial" w:hAnsi="Arial"/>
          <w:b/>
          <w:bCs/>
          <w:sz w:val="22"/>
          <w:szCs w:val="22"/>
        </w:rPr>
        <w:t xml:space="preserve">Cost of inaction</w:t>
      </w:r>
    </w:p>
    <w:p>
      <w:pPr>
        <w:spacing w:after="120"/>
      </w:pPr>
      <w:r>
        <w:rPr>
          <w:rFonts w:ascii="Arial" w:cs="Arial" w:eastAsia="Arial" w:hAnsi="Arial"/>
          <w:sz w:val="22"/>
          <w:szCs w:val="22"/>
        </w:rPr>
        <w:t xml:space="preserve">TurboTax Live generated $2.0B in FY2025 revenue. The customer trust gap is the single largest threat to sustained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Risk vector</w:t>
            </w:r>
          </w:p>
        </w:tc>
        <w:tc>
          <w:tcPr>
            <w:tcW w:type="dxa" w:w="2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Estimate</w:t>
            </w:r>
          </w:p>
        </w:tc>
        <w:tc>
          <w:tcPr>
            <w:tcW w:type="dxa" w:w="37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Basis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Churn from accuracy errors (theme 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$100M–$200M annual revenue at risk</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18% of complaints cite accuracy. 5–10% churn on $2.0B base.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Churn from communication breakdown (theme 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$80M–$160M annual revenue at risk</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 of complaints. Auto closure before deadline is the most charged failure.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Misrouted complex returns (theme 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$30M–$60M remediation cost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 frequency × ~2M Live returns × $250 avg remediation.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Competitive displacement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Structural</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H&amp;R Block, AI tax tools benefit from every negative review. 1.2 Trustpilot is a public barrier.</w:t>
            </w:r>
          </w:p>
        </w:tc>
      </w:tr>
    </w:tbl>
    <w:p>
      <w:pPr>
        <w:spacing w:after="120"/>
      </w:pPr>
      <w:r>
        <w:rPr>
          <w:rFonts w:ascii="Arial" w:cs="Arial" w:eastAsia="Arial" w:hAnsi="Arial"/>
          <w:b/>
          <w:bCs/>
          <w:sz w:val="22"/>
          <w:szCs w:val="22"/>
        </w:rPr>
        <w:t xml:space="preserve">Conservative total cost of inaction: </w:t>
      </w:r>
      <w:r>
        <w:rPr>
          <w:rFonts w:ascii="Arial" w:cs="Arial" w:eastAsia="Arial" w:hAnsi="Arial"/>
          <w:sz w:val="22"/>
          <w:szCs w:val="22"/>
        </w:rPr>
        <w:t xml:space="preserve">$200M–$400M in annual revenue at risk, before accounting for brand damage and competitive displacement.</w:t>
      </w:r>
    </w:p>
    <w:p>
      <w:pPr>
        <w:spacing w:after="120"/>
      </w:pPr>
      <w:r>
        <w:rPr>
          <w:rFonts w:ascii="Arial" w:cs="Arial" w:eastAsia="Arial" w:hAnsi="Arial"/>
          <w:sz w:val="22"/>
          <w:szCs w:val="22"/>
        </w:rPr>
        <w:t xml:space="preserve"/>
      </w:r>
    </w:p>
    <w:p>
      <w:pPr>
        <w:pStyle w:val="Heading3"/>
        <w:spacing w:after="120" w:before="240"/>
      </w:pPr>
      <w:r>
        <w:rPr>
          <w:rFonts w:ascii="Arial" w:cs="Arial" w:eastAsia="Arial" w:hAnsi="Arial"/>
          <w:b/>
          <w:bCs/>
          <w:sz w:val="22"/>
          <w:szCs w:val="22"/>
        </w:rPr>
        <w:t xml:space="preserve">Revenue impact per bet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60"/>
        <w:gridCol w:w="2700"/>
        <w:gridCol w:w="1800"/>
      </w:tblGrid>
      <w:tr>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Bet</w:t>
            </w:r>
          </w:p>
        </w:tc>
        <w:tc>
          <w:tcPr>
            <w:tcW w:type="dxa" w:w="30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Primary lever</w:t>
            </w:r>
          </w:p>
        </w:tc>
        <w:tc>
          <w:tcPr>
            <w:tcW w:type="dxa" w:w="2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Estimated annual impact (Year 2+)</w:t>
            </w:r>
          </w:p>
        </w:tc>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Confidence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B1 — Goal Aligned Recs</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Retention lift from goal fulfillment + upsell to Full Service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$80M–$150M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Medium</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B2 — Multi Year Co Pilot</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TAM expansion: filers → optimizers. Subscription revenue.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$200M–$500M (3–5yr horizon)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B3 — Autonomous Pre Work</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throughput increase. Fewer seasonal hires.</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$40M–$80M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High</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B4 — Expert as Trainer</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Compounding accuracy → lower remediation + IRS notices</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$20M Y1 → $60M+ Y3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Medium</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B5 — Specialty Routing</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Eliminates misrouting cost vector</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$30M–$60M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High</w:t>
            </w:r>
          </w:p>
        </w:tc>
      </w:tr>
    </w:tbl>
    <w:p>
      <w:pPr>
        <w:spacing w:after="120"/>
      </w:pPr>
      <w:r>
        <w:rPr>
          <w:rFonts w:ascii="Arial" w:cs="Arial" w:eastAsia="Arial" w:hAnsi="Arial"/>
          <w:sz w:val="22"/>
          <w:szCs w:val="22"/>
        </w:rPr>
        <w:t xml:space="preserve"/>
      </w:r>
    </w:p>
    <w:p>
      <w:pPr>
        <w:pStyle w:val="Heading3"/>
        <w:spacing w:after="120" w:before="240"/>
      </w:pPr>
      <w:r>
        <w:rPr>
          <w:rFonts w:ascii="Arial" w:cs="Arial" w:eastAsia="Arial" w:hAnsi="Arial"/>
          <w:b/>
          <w:bCs/>
          <w:sz w:val="22"/>
          <w:szCs w:val="22"/>
        </w:rPr>
        <w:t xml:space="preserve">Build cost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60"/>
        <w:gridCol w:w="1600"/>
        <w:gridCol w:w="1800"/>
        <w:gridCol w:w="2200"/>
      </w:tblGrid>
      <w:tr>
        <w:tc>
          <w:tcPr>
            <w:tcW w:type="dxa" w:w="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Bet</w:t>
            </w:r>
          </w:p>
        </w:tc>
        <w:tc>
          <w:tcPr>
            <w:tcW w:type="dxa" w:w="30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Team</w:t>
            </w:r>
          </w:p>
        </w:tc>
        <w:tc>
          <w:tcPr>
            <w:tcW w:type="dxa" w:w="1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MVP</w:t>
            </w:r>
          </w:p>
        </w:tc>
        <w:tc>
          <w:tcPr>
            <w:tcW w:type="dxa" w:w="1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Full rollout</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Annual cost</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B1</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Sr PM + 4 Eng + 1 Design</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quarter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 quarters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$2M–$3M</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B2</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Sr PM + 6 Eng + 1 Design + 1 Data</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 quarters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 quarters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$4M–$6M</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B3</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PM + 5 Eng + 1 ML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quarter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 quarters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$3M–$4M</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B4</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PM + 3 Eng + 1 ML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quarter (capture)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Ongoing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$2M–$3M</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B5</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PM + 3 Eng</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quarter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 quarters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$1.5M–$2.5M</w:t>
            </w:r>
          </w:p>
        </w:tc>
      </w:tr>
    </w:tbl>
    <w:p>
      <w:pPr>
        <w:spacing w:after="120"/>
      </w:pPr>
      <w:r>
        <w:rPr>
          <w:rFonts w:ascii="Arial" w:cs="Arial" w:eastAsia="Arial" w:hAnsi="Arial"/>
          <w:b/>
          <w:bCs/>
          <w:sz w:val="22"/>
          <w:szCs w:val="22"/>
        </w:rPr>
        <w:t xml:space="preserve">Year 1 investment for B1 + B3 + B5 (highest confidence bets): </w:t>
      </w:r>
      <w:r>
        <w:rPr>
          <w:rFonts w:ascii="Arial" w:cs="Arial" w:eastAsia="Arial" w:hAnsi="Arial"/>
          <w:sz w:val="22"/>
          <w:szCs w:val="22"/>
        </w:rPr>
        <w:t xml:space="preserve">$6.5M–$9.5M against $150M–$290M in estimated revenue impact. ROI: 15–30x.</w:t>
      </w:r>
    </w:p>
    <w:p>
      <w:r>
        <w:br w:type="page"/>
      </w:r>
    </w:p>
    <w:p>
      <w:pPr>
        <w:spacing w:after="200" w:before="600"/>
        <w:jc w:val="center"/>
      </w:pPr>
      <w:r>
        <w:rPr>
          <w:rFonts w:ascii="Arial" w:cs="Arial" w:eastAsia="Arial" w:hAnsi="Arial"/>
          <w:b/>
          <w:bCs/>
          <w:sz w:val="36"/>
          <w:szCs w:val="36"/>
        </w:rPr>
        <w:t xml:space="preserve">Part I — Big Bets</w:t>
      </w:r>
    </w:p>
    <w:p>
      <w:pPr>
        <w:spacing w:after="120"/>
      </w:pPr>
      <w:r>
        <w:rPr>
          <w:rFonts w:ascii="Arial" w:cs="Arial" w:eastAsia="Arial" w:hAnsi="Arial"/>
          <w:sz w:val="22"/>
          <w:szCs w:val="22"/>
        </w:rPr>
        <w:t xml:space="preserve">The big bets share one thesis: the Virtual Expert Platform should optimize for customer outcomes against stated goals, not for return throughput.</w:t>
      </w:r>
    </w:p>
    <w:p>
      <w:pPr>
        <w:pStyle w:val="Heading2"/>
        <w:spacing w:after="120" w:before="240"/>
      </w:pPr>
      <w:r>
        <w:rPr>
          <w:rFonts w:ascii="Arial" w:cs="Arial" w:eastAsia="Arial" w:hAnsi="Arial"/>
          <w:b/>
          <w:bCs/>
          <w:sz w:val="26"/>
          <w:szCs w:val="26"/>
        </w:rPr>
        <w:t xml:space="preserve">B1. Goal Aligned Recommendation System (anchor bet)</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At intake, the customer states their goals. A recommendation engine generates a ranked list of suggestions, each tagged with dollar impact, confidence, goal fit score, evidence (IRC citation), audit risk delta, and multi year impact. The expert workbench shows a goal dashboard that tracks progress against each stated goal in real time.</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reframes the expert’s job from “fill out the form correctly” to “deliver outcomes against the customer’s stated goals.”</w:t>
      </w:r>
    </w:p>
    <w:p>
      <w:pPr>
        <w:spacing w:after="120"/>
      </w:pPr>
      <w:r>
        <w:rPr>
          <w:rFonts w:ascii="Arial" w:cs="Arial" w:eastAsia="Arial" w:hAnsi="Arial"/>
          <w:b/>
          <w:bCs/>
          <w:sz w:val="22"/>
          <w:szCs w:val="22"/>
        </w:rPr>
        <w:t xml:space="preserve">What is built. </w:t>
      </w:r>
      <w:r>
        <w:rPr>
          <w:rFonts w:ascii="Arial" w:cs="Arial" w:eastAsia="Arial" w:hAnsi="Arial"/>
          <w:sz w:val="22"/>
          <w:szCs w:val="22"/>
        </w:rPr>
        <w:t xml:space="preserve">Goal taxonomy (10 canonical goals + free text), goal capture intake flow, recommendation engine (deterministic rules corpus + LLM scoring pass), goal dashboard, goal aligned audit trail, and a reporting layer.</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Themes 1, 3, and 4.</w:t>
      </w:r>
    </w:p>
    <w:p>
      <w:pPr>
        <w:pStyle w:val="Heading2"/>
        <w:spacing w:after="120" w:before="240"/>
      </w:pPr>
      <w:r>
        <w:rPr>
          <w:rFonts w:ascii="Arial" w:cs="Arial" w:eastAsia="Arial" w:hAnsi="Arial"/>
          <w:b/>
          <w:bCs/>
          <w:sz w:val="26"/>
          <w:szCs w:val="26"/>
        </w:rPr>
        <w:t xml:space="preserve">B2. Multi Year Tax Co Pilot (always on advisory)</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Turn TurboTax Live from an annual transaction into a continuous subscription with a year round AI co pilot and periodic expert touch points. The co pilot watches connected accounts, tracks tax law changes, runs forward looking simulations, and triggers expert outreach proactively.</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The TAM expands from “people who file” to “people who optimize.”</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Themes 4, 1, and the core complaint that experts are “just data entry.”</w:t>
      </w:r>
    </w:p>
    <w:p>
      <w:pPr>
        <w:pStyle w:val="Heading2"/>
        <w:spacing w:after="120" w:before="240"/>
      </w:pPr>
      <w:r>
        <w:rPr>
          <w:rFonts w:ascii="Arial" w:cs="Arial" w:eastAsia="Arial" w:hAnsi="Arial"/>
          <w:b/>
          <w:bCs/>
          <w:sz w:val="26"/>
          <w:szCs w:val="26"/>
        </w:rPr>
        <w:t xml:space="preserve">B3. Autonomous AI Pre Work and Living Risk Register</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Before the expert opens the return, an autonomous AI pre work step ingests every document, populates the return with line level provenance, runs year over year deltas, runs a mechanically detectable error sweep against a deterministic rules corpus, and outputs a complexity score, a ranked risk register, and an AI suggested question list.</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Removes the most error prone, lowest judgment work from the expert’s plate entirely.</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 1 directly. Themes 2 and 5 indirectly.</w:t>
      </w:r>
    </w:p>
    <w:p>
      <w:pPr>
        <w:pStyle w:val="Heading2"/>
        <w:spacing w:after="120" w:before="240"/>
      </w:pPr>
      <w:r>
        <w:rPr>
          <w:rFonts w:ascii="Arial" w:cs="Arial" w:eastAsia="Arial" w:hAnsi="Arial"/>
          <w:b/>
          <w:bCs/>
          <w:sz w:val="26"/>
          <w:szCs w:val="26"/>
        </w:rPr>
        <w:t xml:space="preserve">B4. Expert as Trainer Learning Loop (compounding moat)</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Every expert edit, accept, reject, and override on an AI suggestion becomes labeled training data. The system gets measurably smarter every season. Intuit’s competitive moat shifts from “we have 13,000 experts” to “we have 13,000 experts whose judgment is encoded in the system every season.”</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is the only big bet that compounds over time without proportional capital investment. After three seasons, ~10 million labeled expert decisions, which no competitor can replicate.</w:t>
      </w:r>
    </w:p>
    <w:p>
      <w:pPr>
        <w:pStyle w:val="Heading3"/>
        <w:spacing w:after="120" w:before="240"/>
      </w:pPr>
      <w:r>
        <w:rPr>
          <w:rFonts w:ascii="Arial" w:cs="Arial" w:eastAsia="Arial" w:hAnsi="Arial"/>
          <w:b/>
          <w:bCs/>
          <w:sz w:val="22"/>
          <w:szCs w:val="22"/>
        </w:rPr>
        <w:t xml:space="preserve">Moat compounding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680"/>
        <w:gridCol w:w="2680"/>
      </w:tblGrid>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Season</w:t>
            </w:r>
          </w:p>
        </w:tc>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Labeled decisions</w:t>
            </w:r>
          </w:p>
        </w:tc>
        <w:tc>
          <w:tcPr>
            <w:tcW w:type="dxa" w:w="268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Accuracy lift</w:t>
            </w:r>
          </w:p>
        </w:tc>
        <w:tc>
          <w:tcPr>
            <w:tcW w:type="dxa" w:w="268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Moat status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Season 1 (TY2026)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~500K</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Baseline. Capture only.</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 moat. Data collection.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Season 2 (TY2027)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~1.5M cumulative</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5–8% improvement. First fine tuned model.</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Early moat. 1 season + 13K experts to replicate.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Season 3 (TY2028)</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~3.5M cumulative</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10–15% cumulative. Goal fit expert-validated.</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Defensible moat. 3 seasons of credentialed data.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Season 5+ (TY2030)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~10M cumulative</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Breadth increases to edge cases.</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Structural moat. Impossible to recreate from public data.</w:t>
            </w:r>
          </w:p>
        </w:tc>
      </w:tr>
    </w:tbl>
    <w:p>
      <w:pPr>
        <w:spacing w:after="120"/>
      </w:pPr>
      <w:r>
        <w:rPr>
          <w:rFonts w:ascii="Arial" w:cs="Arial" w:eastAsia="Arial" w:hAnsi="Arial"/>
          <w:sz w:val="22"/>
          <w:szCs w:val="22"/>
        </w:rPr>
        <w:t xml:space="preserve">Minimum viable moat is Season 2: one fine tuned model that measurably outperforms the base model on recommendation ranking.</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 1 over time. Also addresses Expert Pain Point 3.</w:t>
      </w:r>
    </w:p>
    <w:p>
      <w:pPr>
        <w:pStyle w:val="Heading2"/>
        <w:spacing w:after="120" w:before="240"/>
      </w:pPr>
      <w:r>
        <w:rPr>
          <w:rFonts w:ascii="Arial" w:cs="Arial" w:eastAsia="Arial" w:hAnsi="Arial"/>
          <w:b/>
          <w:bCs/>
          <w:sz w:val="26"/>
          <w:szCs w:val="26"/>
        </w:rPr>
        <w:t xml:space="preserve">B5. Specialty Match Routing Marketplace</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Replace queue based routing with a marketplace style matchmaking engine that considers specialty, complexity, jurisdiction, language, capacity, goals, and prior year continuity.</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turns 13,000 experts from a queue into a marketplace. The only way to grow headcount and improve quality simultaneously.</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Themes 3, 4, and 5.</w:t>
      </w:r>
    </w:p>
    <w:p>
      <w:r>
        <w:br w:type="page"/>
      </w:r>
    </w:p>
    <w:p>
      <w:pPr>
        <w:spacing w:after="200" w:before="600"/>
        <w:jc w:val="center"/>
      </w:pPr>
      <w:r>
        <w:rPr>
          <w:rFonts w:ascii="Arial" w:cs="Arial" w:eastAsia="Arial" w:hAnsi="Arial"/>
          <w:b/>
          <w:bCs/>
          <w:sz w:val="36"/>
          <w:szCs w:val="36"/>
        </w:rPr>
        <w:t xml:space="preserve">Part II — Incremental Improvements</w:t>
      </w:r>
    </w:p>
    <w:p>
      <w:pPr>
        <w:spacing w:after="120"/>
      </w:pPr>
      <w:r>
        <w:rPr>
          <w:rFonts w:ascii="Arial" w:cs="Arial" w:eastAsia="Arial" w:hAnsi="Arial"/>
          <w:sz w:val="22"/>
          <w:szCs w:val="22"/>
        </w:rPr>
        <w:t xml:space="preserve">Prioritized friction fixes that fit cleanly inside the four layer architecture.</w:t>
      </w:r>
    </w:p>
    <w:p>
      <w:pPr>
        <w:pStyle w:val="Heading2"/>
        <w:spacing w:after="120" w:before="240"/>
      </w:pPr>
      <w:r>
        <w:rPr>
          <w:rFonts w:ascii="Arial" w:cs="Arial" w:eastAsia="Arial" w:hAnsi="Arial"/>
          <w:b/>
          <w:bCs/>
          <w:sz w:val="26"/>
          <w:szCs w:val="26"/>
        </w:rPr>
        <w:t xml:space="preserve">I1. Expert Workbench (Layer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 context header with prior expert notes, prior year return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Anomaly risk register panel (top 10 red flags)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Confidence score per line with source document click through</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Live quality co pilot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AI suggested question list ranked by dollar impact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Escalation panel (auto close countdown, document completeness)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“What AI saw” panel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 + trust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minutes counter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Productivity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bl>
    <w:p>
      <w:pPr>
        <w:pStyle w:val="Heading2"/>
        <w:spacing w:after="120" w:before="240"/>
      </w:pPr>
      <w:r>
        <w:rPr>
          <w:rFonts w:ascii="Arial" w:cs="Arial" w:eastAsia="Arial" w:hAnsi="Arial"/>
          <w:b/>
          <w:bCs/>
          <w:sz w:val="26"/>
          <w:szCs w:val="26"/>
        </w:rPr>
        <w:t xml:space="preserve">I2. Smart Routing (Layer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Routing rationale chip</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Hard complexity flag preventing queue routing without peer reviewer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Same expert as last year preference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Capacity dashboard for leads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bl>
    <w:p>
      <w:pPr>
        <w:pStyle w:val="Heading2"/>
        <w:spacing w:after="120" w:before="240"/>
      </w:pPr>
      <w:r>
        <w:rPr>
          <w:rFonts w:ascii="Arial" w:cs="Arial" w:eastAsia="Arial" w:hAnsi="Arial"/>
          <w:b/>
          <w:bCs/>
          <w:sz w:val="26"/>
          <w:szCs w:val="26"/>
        </w:rPr>
        <w:t xml:space="preserve">I3. Trust and Learning (Layer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on every LLM call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Audit trail (model, context, expert action, IRS outcome)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 + accuracy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Composite expert performance metric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Pain point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“Told customer no” tracking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Pain point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bl>
    <w:p>
      <w:pPr>
        <w:pStyle w:val="Heading2"/>
        <w:spacing w:after="120" w:before="240"/>
      </w:pPr>
      <w:r>
        <w:rPr>
          <w:rFonts w:ascii="Arial" w:cs="Arial" w:eastAsia="Arial" w:hAnsi="Arial"/>
          <w:b/>
          <w:bCs/>
          <w:sz w:val="26"/>
          <w:szCs w:val="26"/>
        </w:rPr>
        <w:t xml:space="preserve">I4. Pre Work (Layer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Document ingestion via OCR + partner structured feeds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Year over year delta engine with plain language explanations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 + 4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Initial 50 rule deterministic safety net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bl>
    <w:p>
      <w:r>
        <w:br w:type="page"/>
      </w:r>
    </w:p>
    <w:p>
      <w:pPr>
        <w:pStyle w:val="Heading1"/>
        <w:spacing w:after="120" w:before="240"/>
      </w:pPr>
      <w:r>
        <w:rPr>
          <w:rFonts w:ascii="Arial" w:cs="Arial" w:eastAsia="Arial" w:hAnsi="Arial"/>
          <w:b/>
          <w:bCs/>
          <w:sz w:val="32"/>
          <w:szCs w:val="32"/>
        </w:rPr>
        <w:t xml:space="preserve">7. Solution Architecture</w:t>
      </w:r>
    </w:p>
    <w:p>
      <w:pPr>
        <w:spacing w:after="120"/>
      </w:pPr>
      <w:r>
        <w:rPr>
          <w:rFonts w:ascii="Arial" w:cs="Arial" w:eastAsia="Arial" w:hAnsi="Arial"/>
          <w:b/>
          <w:bCs/>
          <w:sz w:val="22"/>
          <w:szCs w:val="22"/>
        </w:rPr>
        <w:t xml:space="preserve">Layer 1, AI Pre Work. </w:t>
      </w:r>
      <w:r>
        <w:rPr>
          <w:rFonts w:ascii="Arial" w:cs="Arial" w:eastAsia="Arial" w:hAnsi="Arial"/>
          <w:sz w:val="22"/>
          <w:szCs w:val="22"/>
        </w:rPr>
        <w:t xml:space="preserve">Document ingestion, YoY delta, deterministic rules sweep, complexity score, risk register. Hosts B3 and I4.</w:t>
      </w:r>
    </w:p>
    <w:p>
      <w:pPr>
        <w:spacing w:after="120"/>
      </w:pPr>
      <w:r>
        <w:rPr>
          <w:rFonts w:ascii="Arial" w:cs="Arial" w:eastAsia="Arial" w:hAnsi="Arial"/>
          <w:b/>
          <w:bCs/>
          <w:sz w:val="22"/>
          <w:szCs w:val="22"/>
        </w:rPr>
        <w:t xml:space="preserve">Layer 2, Smart Routing. </w:t>
      </w:r>
      <w:r>
        <w:rPr>
          <w:rFonts w:ascii="Arial" w:cs="Arial" w:eastAsia="Arial" w:hAnsi="Arial"/>
          <w:sz w:val="22"/>
          <w:szCs w:val="22"/>
        </w:rPr>
        <w:t xml:space="preserve">Specialty, complexity, jurisdiction, language, capacity, continuity, and goal aware matching. Hosts B5 and I2.</w:t>
      </w:r>
    </w:p>
    <w:p>
      <w:pPr>
        <w:spacing w:after="120"/>
      </w:pPr>
      <w:r>
        <w:rPr>
          <w:rFonts w:ascii="Arial" w:cs="Arial" w:eastAsia="Arial" w:hAnsi="Arial"/>
          <w:b/>
          <w:bCs/>
          <w:sz w:val="22"/>
          <w:szCs w:val="22"/>
        </w:rPr>
        <w:t xml:space="preserve">Layer 3, Expert Workbench. </w:t>
      </w:r>
      <w:r>
        <w:rPr>
          <w:rFonts w:ascii="Arial" w:cs="Arial" w:eastAsia="Arial" w:hAnsi="Arial"/>
          <w:sz w:val="22"/>
          <w:szCs w:val="22"/>
        </w:rPr>
        <w:t xml:space="preserve">Goal dashboard, return surface, risk register, prior year side by side, customer context, AI suggested questions, live co pilot, “what AI saw” panel, expert minutes counter. Hosts B1, B2, and I1.</w:t>
      </w:r>
    </w:p>
    <w:p>
      <w:pPr>
        <w:spacing w:after="120"/>
      </w:pPr>
      <w:r>
        <w:rPr>
          <w:rFonts w:ascii="Arial" w:cs="Arial" w:eastAsia="Arial" w:hAnsi="Arial"/>
          <w:b/>
          <w:bCs/>
          <w:sz w:val="22"/>
          <w:szCs w:val="22"/>
        </w:rPr>
        <w:t xml:space="preserve">Layer 4, Trust and Learning. </w:t>
      </w:r>
      <w:r>
        <w:rPr>
          <w:rFonts w:ascii="Arial" w:cs="Arial" w:eastAsia="Arial" w:hAnsi="Arial"/>
          <w:sz w:val="22"/>
          <w:szCs w:val="22"/>
        </w:rPr>
        <w:t xml:space="preserve">PII redaction, audit trails, calibrated confidence, expert edits as labeled training data, composite metric. Hosts B4 and I3.</w:t>
      </w:r>
    </w:p>
    <w:p>
      <w:pPr>
        <w:pStyle w:val="Heading1"/>
        <w:spacing w:after="120" w:before="240"/>
      </w:pPr>
      <w:r>
        <w:rPr>
          <w:rFonts w:ascii="Arial" w:cs="Arial" w:eastAsia="Arial" w:hAnsi="Arial"/>
          <w:b/>
          <w:bCs/>
          <w:sz w:val="32"/>
          <w:szCs w:val="32"/>
        </w:rPr>
        <w:t xml:space="preserve">8. MVP Prototype Scope</w:t>
      </w:r>
    </w:p>
    <w:p>
      <w:pPr>
        <w:spacing w:after="120"/>
      </w:pPr>
      <w:r>
        <w:rPr>
          <w:rFonts w:ascii="Arial" w:cs="Arial" w:eastAsia="Arial" w:hAnsi="Arial"/>
          <w:sz w:val="22"/>
          <w:szCs w:val="22"/>
        </w:rPr>
        <w:t xml:space="preserve">The MVP demonstrates Big Bet B1 (Goal Aligned Recommendation System) end to end on the Layer 3 Workbench, against the synthetic “Olivia and Ryan Mitchell” return (married filing jointly, AGI ~$326K, RSU vesting, K-1, rental property, HSA, wash sales, multi state IL+CA).</w:t>
      </w:r>
    </w:p>
    <w:p>
      <w:pPr>
        <w:pStyle w:val="Heading3"/>
        <w:spacing w:after="120" w:before="240"/>
      </w:pPr>
      <w:r>
        <w:rPr>
          <w:rFonts w:ascii="Arial" w:cs="Arial" w:eastAsia="Arial" w:hAnsi="Arial"/>
          <w:b/>
          <w:bCs/>
          <w:sz w:val="22"/>
          <w:szCs w:val="22"/>
        </w:rPr>
        <w:t xml:space="preserve">Strategically deferred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Deferral</w:t>
            </w:r>
          </w:p>
        </w:tc>
        <w:tc>
          <w:tcPr>
            <w:tcW w:type="dxa" w:w="6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Rationale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Real routing engine (B5)</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Requires complexity scoring from B3 + expert competency profiles. Ship B1 first.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Full B2 connected accounts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Largest engineering investment. Requires B1 retention data to justify TAM thesis. Year 2.</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Full B4 training pipeline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Capture is live. Fine tuning requires 1+ season of production data. Season 2.</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Multi expert collaboration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Low frequency. Relevant only after B5 routing introduces peer review.</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IRS notice / audit defense workflow</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Phase 2. Depends on post-filing outcome data (6–12 month lag).</w:t>
            </w:r>
          </w:p>
        </w:tc>
      </w:tr>
    </w:tbl>
    <w:p>
      <w:pPr>
        <w:pStyle w:val="Heading3"/>
        <w:spacing w:after="120" w:before="240"/>
      </w:pPr>
      <w:r>
        <w:rPr>
          <w:rFonts w:ascii="Arial" w:cs="Arial" w:eastAsia="Arial" w:hAnsi="Arial"/>
          <w:b/>
          <w:bCs/>
          <w:sz w:val="22"/>
          <w:szCs w:val="22"/>
        </w:rPr>
        <w:t xml:space="preserve">Production table stakes (required before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1500"/>
        <w:gridCol w:w="2500"/>
      </w:tblGrid>
      <w:tr>
        <w:tc>
          <w:tcPr>
            <w:tcW w:type="dxa" w:w="5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Requirement</w:t>
            </w:r>
          </w:p>
        </w:tc>
        <w:tc>
          <w:tcPr>
            <w:tcW w:type="dxa" w:w="1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c>
          <w:tcPr>
            <w:tcW w:type="dxa" w:w="2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When</w:t>
            </w:r>
          </w:p>
        </w:tc>
      </w:tr>
      <w:tr>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Real authentication (SSO via Intuit Identity)</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Pre-pilot</w:t>
            </w:r>
          </w:p>
        </w:tc>
      </w:tr>
      <w:tr>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Real OCR / document ingestion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Pre-pilot (existing Intuit OCR pipeline)</w:t>
            </w:r>
          </w:p>
        </w:tc>
      </w:tr>
      <w:tr>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Billing integration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Pre-GA</w:t>
            </w:r>
          </w:p>
        </w:tc>
      </w:tr>
      <w:tr>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HIPAA / SOX compliance review</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Pre-pilot</w:t>
            </w:r>
          </w:p>
        </w:tc>
      </w:tr>
      <w:tr>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Load testing at 1,000+ concurrent experts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Pre-GA</w:t>
            </w:r>
          </w:p>
        </w:tc>
      </w:tr>
    </w:tbl>
    <w:p>
      <w:r>
        <w:br w:type="page"/>
      </w:r>
    </w:p>
    <w:p>
      <w:pPr>
        <w:pStyle w:val="Heading1"/>
        <w:spacing w:after="120" w:before="240"/>
      </w:pPr>
      <w:r>
        <w:rPr>
          <w:rFonts w:ascii="Arial" w:cs="Arial" w:eastAsia="Arial" w:hAnsi="Arial"/>
          <w:b/>
          <w:bCs/>
          <w:sz w:val="32"/>
          <w:szCs w:val="32"/>
        </w:rPr>
        <w:t xml:space="preserve">9. Success Metrics</w:t>
      </w:r>
    </w:p>
    <w:p>
      <w:pPr>
        <w:pStyle w:val="Heading3"/>
        <w:spacing w:after="120" w:before="240"/>
      </w:pPr>
      <w:r>
        <w:rPr>
          <w:rFonts w:ascii="Arial" w:cs="Arial" w:eastAsia="Arial" w:hAnsi="Arial"/>
          <w:b/>
          <w:bCs/>
          <w:sz w:val="22"/>
          <w:szCs w:val="22"/>
        </w:rPr>
        <w:t xml:space="preserve">Prototype validation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430"/>
        <w:gridCol w:w="2430"/>
      </w:tblGrid>
      <w:tr>
        <w:tc>
          <w:tcPr>
            <w:tcW w:type="dxa" w:w="3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343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Target</w:t>
            </w:r>
          </w:p>
        </w:tc>
        <w:tc>
          <w:tcPr>
            <w:tcW w:type="dxa" w:w="243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Status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dashboard end to end</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Every rec carries goal fit score + label</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Mechanically detectable errors caught</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 of 5 with rule citation</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 (27 recs, 13 categories)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minutes on synthetic 1040</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Under 10 min vs 25–35 min legacy</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Confidence calibration</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Within 5 points across deciles</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Zero leakage in model prompts</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Routing rationale chip</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 dimensions</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Audit trail capture</w:t>
            </w:r>
          </w:p>
        </w:tc>
        <w:tc>
          <w:tcPr>
            <w:tcW w:type="dxa" w:w="3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100% of interactions</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Demonstrated</w:t>
            </w:r>
          </w:p>
        </w:tc>
      </w:tr>
    </w:tbl>
    <w:p>
      <w:pPr>
        <w:pStyle w:val="Heading3"/>
        <w:spacing w:after="120" w:before="240"/>
      </w:pPr>
      <w:r>
        <w:rPr>
          <w:rFonts w:ascii="Arial" w:cs="Arial" w:eastAsia="Arial" w:hAnsi="Arial"/>
          <w:b/>
          <w:bCs/>
          <w:sz w:val="22"/>
          <w:szCs w:val="22"/>
        </w:rPr>
        <w:t xml:space="preserve">Business metrics (production pilot and beyond)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100"/>
        <w:gridCol w:w="3060"/>
      </w:tblGrid>
      <w:tr>
        <w:tc>
          <w:tcPr>
            <w:tcW w:type="dxa" w:w="21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1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Pilot target (50 experts)</w:t>
            </w:r>
          </w:p>
        </w:tc>
        <w:tc>
          <w:tcPr>
            <w:tcW w:type="dxa" w:w="21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GA target (TY2026)</w:t>
            </w:r>
          </w:p>
        </w:tc>
        <w:tc>
          <w:tcPr>
            <w:tcW w:type="dxa" w:w="30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Measurement</w:t>
            </w:r>
          </w:p>
        </w:tc>
      </w:tr>
      <w:tr>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 retention lift</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point NPS vs control</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+2–4 point retention lift</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A/B test: goal-aligned vs current workbench. 90-day retention.</w:t>
            </w:r>
          </w:p>
        </w:tc>
      </w:tr>
      <w:tr>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Revenue per customer</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 higher upsell rate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 conversion uplift</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Funnel: goal complexity &gt; threshold → upsell → conversion.</w:t>
            </w:r>
          </w:p>
        </w:tc>
      </w:tr>
      <w:tr>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First touch return accuracy</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 IRS notice reduction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25% reduction</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Post-filing IRS notice rate. 6–12 month lag.</w:t>
            </w:r>
          </w:p>
        </w:tc>
      </w:tr>
      <w:tr>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throughput</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 returns/day with pre-work</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15–20% improvement</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Returns per expert per day, complexity-adjusted.</w:t>
            </w:r>
          </w:p>
        </w:tc>
      </w:tr>
      <w:tr>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fulfillment rate (new)</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70% of goals addressed</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85% fulfillment</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Goals stated vs recs accepted, scored by goal-fit.</w:t>
            </w:r>
          </w:p>
        </w:tc>
      </w:tr>
      <w:tr>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Rec acceptance rate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60% accepted or edited</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75% acceptance</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action: accept / edit / reject per rec.</w:t>
            </w:r>
          </w:p>
        </w:tc>
      </w:tr>
    </w:tbl>
    <w:p>
      <w:pPr>
        <w:pStyle w:val="Heading1"/>
        <w:spacing w:after="120" w:before="240"/>
      </w:pPr>
      <w:r>
        <w:rPr>
          <w:rFonts w:ascii="Arial" w:cs="Arial" w:eastAsia="Arial" w:hAnsi="Arial"/>
          <w:b/>
          <w:bCs/>
          <w:sz w:val="32"/>
          <w:szCs w:val="32"/>
        </w:rPr>
        <w:t xml:space="preserve">10. Build Orchestration</w:t>
      </w:r>
    </w:p>
    <w:p>
      <w:pPr>
        <w:spacing w:after="120"/>
      </w:pPr>
      <w:r>
        <w:rPr>
          <w:rFonts w:ascii="Arial" w:cs="Arial" w:eastAsia="Arial" w:hAnsi="Arial"/>
          <w:sz w:val="22"/>
          <w:szCs w:val="22"/>
        </w:rPr>
        <w:t xml:space="preserve">Six specialized agents running in parallel. Each owns a vertical slice; integration points are TypeScript interface contracts in src/contracts/.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80"/>
        <w:gridCol w:w="2980"/>
      </w:tblGrid>
      <w:tr>
        <w:tc>
          <w:tcPr>
            <w:tcW w:type="dxa" w:w="2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Agent</w:t>
            </w:r>
          </w:p>
        </w:tc>
        <w:tc>
          <w:tcPr>
            <w:tcW w:type="dxa" w:w="358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Slice</w:t>
            </w:r>
          </w:p>
        </w:tc>
        <w:tc>
          <w:tcPr>
            <w:tcW w:type="dxa" w:w="298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Outputs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1, Domain &amp; Data</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Synthetic data + 50-rule corpus + golden recs</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src/data/, src/lib/rules/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2, Recommendation Engine</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taxonomy, intake, rule-first / LLM-second engine</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src/lib/goals/, src/lib/recommendations/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3, Pre-Work Engine</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Mocked OCR, YoY delta, complexity, risk register</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src/lib/prework/</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4, Workbench UI</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Next.js shell + dark theme + all panels</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app/(workbench)/, components/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5, Trust Layer</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audit trail, calibration eval</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src/lib/pii/, src/lib/audit/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6, Quality &amp; Tests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Integration tests, demo script, success metrics</w:t>
            </w:r>
          </w:p>
        </w:tc>
        <w:tc>
          <w:tcPr>
            <w:tcW w:type="dxa" w:w="29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tests/, docs/demo-script.md</w:t>
            </w:r>
          </w:p>
        </w:tc>
      </w:tr>
    </w:tbl>
    <w:p>
      <w:pPr>
        <w:pStyle w:val="Heading1"/>
        <w:spacing w:after="120" w:before="240"/>
      </w:pPr>
      <w:r>
        <w:rPr>
          <w:rFonts w:ascii="Arial" w:cs="Arial" w:eastAsia="Arial" w:hAnsi="Arial"/>
          <w:b/>
          <w:bCs/>
          <w:sz w:val="32"/>
          <w:szCs w:val="32"/>
        </w:rPr>
        <w:t xml:space="preserve">12. Architecture Decision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7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Title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ADR-001</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Tech stack</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ADR-002</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Synthetic only data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ADR-003</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Deterministic rules as safety net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ADR-004</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Serverless Postgres for audit trail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ADR-005</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taxonomy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ADR-006</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strategy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ADR-007</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Confidence calibration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ADR-008</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Multi-agent build orchestration</w:t>
            </w:r>
          </w:p>
        </w:tc>
      </w:tr>
    </w:tbl>
    <w:p>
      <w:pPr>
        <w:pStyle w:val="Heading1"/>
        <w:spacing w:after="120" w:before="240"/>
      </w:pPr>
      <w:r>
        <w:rPr>
          <w:rFonts w:ascii="Arial" w:cs="Arial" w:eastAsia="Arial" w:hAnsi="Arial"/>
          <w:b/>
          <w:bCs/>
          <w:sz w:val="32"/>
          <w:szCs w:val="32"/>
        </w:rPr>
        <w:t xml:space="preserve">13. Risks and Open Questions</w:t>
      </w:r>
    </w:p>
    <w:p>
      <w:pPr>
        <w:spacing w:after="120"/>
      </w:pPr>
      <w:r>
        <w:rPr>
          <w:rFonts w:ascii="Arial" w:cs="Arial" w:eastAsia="Arial" w:hAnsi="Arial"/>
          <w:sz w:val="22"/>
          <w:szCs w:val="22"/>
        </w:rPr>
        <w:t xml:space="preserve">Full risk register and open questions are in docs/appendices/risks.md. Headline risks: AI quality bar (mitigated by deterministic rules safety net), expert resistance to monitoring (mitigated by co-designed metrics), senior expert friction (mitigated by collapsible UI density), competency profile bootstrap (mitigated by self-assessment + admin validation), PII redaction at scale (mitigated by phased entity resolution), CSAT vs accuracy tradeoff (mitigated by composite metric with “told customer no” tracking), and goal capture quality (mitigated by guided taxonomy + AI suggested goals).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2026-04-13T02:29:02.377Z</dcterms:created>
  <dcterms:modified xsi:type="dcterms:W3CDTF">2026-04-13T02:29:02.379Z</dcterms:modified>
</cp:coreProperties>
</file>

<file path=docProps/custom.xml><?xml version="1.0" encoding="utf-8"?>
<Properties xmlns="http://schemas.openxmlformats.org/officeDocument/2006/custom-properties" xmlns:vt="http://schemas.openxmlformats.org/officeDocument/2006/docPropsVTypes"/>
</file>