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Arial" w:cs="Arial" w:eastAsia="Arial" w:hAnsi="Arial"/>
          <w:b/>
          <w:bCs/>
          <w:sz w:val="44"/>
          <w:szCs w:val="44"/>
        </w:rPr>
        <w:t xml:space="preserve">TurboTax Virtual Expert Platform</w:t>
      </w:r>
    </w:p>
    <w:p>
      <w:pPr>
        <w:spacing w:after="200"/>
        <w:jc w:val="center"/>
      </w:pPr>
      <w:r>
        <w:rPr>
          <w:rFonts w:ascii="Arial" w:cs="Arial" w:eastAsia="Arial" w:hAnsi="Arial"/>
          <w:color w:val="555555"/>
          <w:sz w:val="32"/>
          <w:szCs w:val="32"/>
        </w:rPr>
        <w:t xml:space="preserve">Product Requirements Document</w:t>
      </w:r>
    </w:p>
    <w:p>
      <w:pPr>
        <w:spacing w:before="600"/>
        <w:jc w:val="center"/>
      </w:pPr>
      <w:r>
        <w:rPr>
          <w:rFonts w:ascii="Arial" w:cs="Arial" w:eastAsia="Arial" w:hAnsi="Arial"/>
          <w:i/>
          <w:iCs/>
          <w:color w:val="555555"/>
          <w:sz w:val="22"/>
          <w:szCs w:val="22"/>
        </w:rPr>
        <w:t xml:space="preserve">Independent product review and proposed redesign of the TurboTax Virtual Expert Platform, the layer that powers TurboTax Live Assisted, TurboTax Live Full Service, and Expert Full Service.</w:t>
      </w:r>
    </w:p>
    <w:p>
      <w:pPr>
        <w:spacing w:before="1200"/>
        <w:jc w:val="center"/>
      </w:pPr>
      <w:r>
        <w:rPr>
          <w:rFonts w:ascii="Arial" w:cs="Arial" w:eastAsia="Arial" w:hAnsi="Arial"/>
          <w:color w:val="2E75B6"/>
          <w:sz w:val="20"/>
          <w:szCs w:val="20"/>
        </w:rPr>
        <w:t xml:space="preserve">Live Prototype: https://turbotax-vep.vercel.app</w:t>
      </w:r>
    </w:p>
    <w:p>
      <w:r>
        <w:br w:type="page"/>
      </w:r>
    </w:p>
    <w:p>
      <w:pPr>
        <w:sectPr>
          <w:pgSz w:w="12240" w:h="15840" w:orient="portrait"/>
          <w:pgMar w:top="1440" w:right="1440" w:bottom="1440" w:left="1440" w:header="708" w:footer="708" w:gutter="0"/>
          <w:pgNumType/>
          <w:docGrid w:linePitch="360"/>
        </w:sectPr>
      </w:pPr>
    </w:p>
    <w:p>
      <w:pPr>
        <w:pStyle w:val="Heading1"/>
        <w:spacing w:after="120" w:before="240"/>
      </w:pPr>
      <w:r>
        <w:rPr>
          <w:rFonts w:ascii="Arial" w:cs="Arial" w:eastAsia="Arial" w:hAnsi="Arial"/>
          <w:b/>
          <w:bCs/>
          <w:sz w:val="32"/>
          <w:szCs w:val="32"/>
        </w:rPr>
        <w:t xml:space="preserve">1. Context</w:t>
      </w:r>
    </w:p>
    <w:p>
      <w:pPr>
        <w:spacing w:after="120"/>
      </w:pPr>
      <w:r>
        <w:rPr>
          <w:rFonts w:ascii="Arial" w:cs="Arial" w:eastAsia="Arial" w:hAnsi="Arial"/>
          <w:sz w:val="22"/>
          <w:szCs w:val="22"/>
        </w:rPr>
        <w:t xml:space="preserve">This is an independent product review of the TurboTax Virtual Expert Platform, built entirely on publicly available data: Intuit investor disclosures and earnings transcripts (FY2024 and FY2025), Intuit recruitment FAQs for tax experts, 88 verbatim customer quotes sampled across Trustpilot (1,166 reviews), BBB (3,720 complaints), the TurboTax community forum, ComplaintsBoard, the Apple App Store, Glassdoor, Indeed, NerdWallet’s 2026 review, Washington Post and Futurism investigative reporting, FTC filings, and class action filings. Full methodology, source coverage, and the verbatim quote bank are in docs/appendices/voice-of-customer.md.</w:t>
      </w:r>
    </w:p>
    <w:p>
      <w:pPr>
        <w:pStyle w:val="Heading1"/>
        <w:spacing w:after="120" w:before="240"/>
      </w:pPr>
      <w:r>
        <w:rPr>
          <w:rFonts w:ascii="Arial" w:cs="Arial" w:eastAsia="Arial" w:hAnsi="Arial"/>
          <w:b/>
          <w:bCs/>
          <w:sz w:val="32"/>
          <w:szCs w:val="32"/>
        </w:rPr>
        <w:t xml:space="preserve">2. Strategic Stakes (Top 5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0"/>
        <w:gridCol w:w="3440"/>
      </w:tblGrid>
      <w:tr>
        <w:tc>
          <w:tcPr>
            <w:tcW w:type="dxa" w:w="312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Value</w:t>
            </w:r>
          </w:p>
        </w:tc>
        <w:tc>
          <w:tcPr>
            <w:tcW w:type="dxa" w:w="344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Why it matters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TurboTax Live revenue, FY2025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$2.0B (+47% YoY)</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is Intuit’s largest growth engine. The expert layer gates further acceleration.</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as % of Consumer Group revenue, FY2025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41%</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franchise is now structurally dependent on the expert experience.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headcount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13,000 (Nov 2025), up from 12,000 (Oct 2024)</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capacity layer the workbench touches. Routing efficiency compounds with network size.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 driven expert time reduction per Full Service return, TY2025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Intuit’s stated AI productivity baseline this PRD proposes to extend.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trust gap on the expert experience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Trustpilot 1.2/5 (1,166 reviews); BBB 1.07/5 (532 reviews); 3,720 BBB complaints in 3 years</w:t>
            </w:r>
          </w:p>
        </w:tc>
        <w:tc>
          <w:tcPr>
            <w:tcW w:type="dxa" w:w="3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 single most important credibility input to any growth forecast.</w:t>
            </w:r>
          </w:p>
        </w:tc>
      </w:tr>
    </w:tbl>
    <w:p>
      <w:pPr>
        <w:spacing w:after="120"/>
      </w:pPr>
      <w:r>
        <w:rPr>
          <w:rFonts w:ascii="Arial" w:cs="Arial" w:eastAsia="Arial" w:hAnsi="Arial"/>
          <w:i/>
          <w:iCs/>
          <w:color w:val="666666"/>
          <w:sz w:val="16"/>
          <w:szCs w:val="16"/>
        </w:rPr>
        <w:t xml:space="preserve">Sources: Intuit Q4 FY2025 results; Intuit press releases 1229 (Oct 2024) and 1279 (Nov 2025); Intuit Q3 FY2025 earnings transcript; Trustpilot; BBB Intuit Inc. profile pages.</w:t>
      </w:r>
    </w:p>
    <w:p>
      <w:pPr>
        <w:pStyle w:val="Heading1"/>
        <w:spacing w:after="120" w:before="240"/>
      </w:pPr>
      <w:r>
        <w:rPr>
          <w:rFonts w:ascii="Arial" w:cs="Arial" w:eastAsia="Arial" w:hAnsi="Arial"/>
          <w:b/>
          <w:bCs/>
          <w:sz w:val="32"/>
          <w:szCs w:val="32"/>
        </w:rPr>
        <w:t xml:space="preserve">3. The Core Insight</w:t>
      </w:r>
    </w:p>
    <w:p>
      <w:pPr>
        <w:spacing w:after="120"/>
      </w:pPr>
      <w:r>
        <w:rPr>
          <w:rFonts w:ascii="Arial" w:cs="Arial" w:eastAsia="Arial" w:hAnsi="Arial"/>
          <w:sz w:val="22"/>
          <w:szCs w:val="22"/>
        </w:rPr>
        <w:t xml:space="preserve">Two findings from the research drive every recommendation in this document.</w:t>
      </w:r>
    </w:p>
    <w:p>
      <w:pPr>
        <w:spacing w:after="120"/>
      </w:pPr>
      <w:r>
        <w:rPr>
          <w:rFonts w:ascii="Arial" w:cs="Arial" w:eastAsia="Arial" w:hAnsi="Arial"/>
          <w:b/>
          <w:bCs/>
          <w:sz w:val="22"/>
          <w:szCs w:val="22"/>
        </w:rPr>
        <w:t xml:space="preserve">Finding 1, mechanical errors are common everywhere. </w:t>
      </w:r>
      <w:r>
        <w:rPr>
          <w:rFonts w:ascii="Arial" w:cs="Arial" w:eastAsia="Arial" w:hAnsi="Arial"/>
          <w:sz w:val="22"/>
          <w:szCs w:val="22"/>
        </w:rPr>
        <w:t xml:space="preserve">Audits of independently prepared returns and the public TurboTax record consistently surface the same mechanically detectable errors: missed depreciation allocation on rental property (IRS Pub 527), missing wash sale Code W on Form 8949, Form 8889 HSA contribution mismatches, RSU income double counting between W-2 Box 1 and 1099-B (a $3,200 refund delta is documented in the public record), a $12,000+ ISO Alternative Minimum Tax bug that took three years and a congressional inquiry to resolve, and a Washington Post test of Intuit Assist that found it wrong on more than half of 16 tax questions reviewed by credentialed pros. These errors are mechanically detectable from the source documents and the IRS code given the right tooling.</w:t>
      </w:r>
    </w:p>
    <w:p>
      <w:pPr>
        <w:spacing w:after="120"/>
      </w:pPr>
      <w:r>
        <w:rPr>
          <w:rFonts w:ascii="Arial" w:cs="Arial" w:eastAsia="Arial" w:hAnsi="Arial"/>
          <w:b/>
          <w:bCs/>
          <w:sz w:val="22"/>
          <w:szCs w:val="22"/>
        </w:rPr>
        <w:t xml:space="preserve">Finding 2, the expert layer is misaligned with what customers actually want. </w:t>
      </w:r>
      <w:r>
        <w:rPr>
          <w:rFonts w:ascii="Arial" w:cs="Arial" w:eastAsia="Arial" w:hAnsi="Arial"/>
          <w:sz w:val="22"/>
          <w:szCs w:val="22"/>
        </w:rPr>
        <w:t xml:space="preserve">Customers do not hire an expert to “fill out the return correctly.” They hire an expert to deliver against a goal: maximize my refund, do not get me audited, plan my life event, simplify next year. The current TurboTax Live model has no place to capture those goals, no recommendation engine that ranks suggestions by goal fit, no multi year continuity, and an evaluation system that grades experts on customer surveys and a 23 minute average handle time rather than goal outcomes. NerdWallet’s structural critique makes this concrete: in Live Assisted, the person the customer reaches during preparation is a “product expert” trained only on the product, not a credentialed tax expert.</w:t>
      </w:r>
    </w:p>
    <w:p>
      <w:pPr>
        <w:spacing w:after="120"/>
      </w:pPr>
      <w:r>
        <w:rPr>
          <w:rFonts w:ascii="Arial" w:cs="Arial" w:eastAsia="Arial" w:hAnsi="Arial"/>
          <w:sz w:val="22"/>
          <w:szCs w:val="22"/>
        </w:rPr>
        <w:t xml:space="preserve">These two findings unlock the big bets in Part I. The friction research drives the incremental fixes in Part II.</w:t>
      </w:r>
    </w:p>
    <w:p>
      <w:pPr>
        <w:pStyle w:val="Heading1"/>
        <w:spacing w:after="120" w:before="240"/>
      </w:pPr>
      <w:r>
        <w:rPr>
          <w:rFonts w:ascii="Arial" w:cs="Arial" w:eastAsia="Arial" w:hAnsi="Arial"/>
          <w:b/>
          <w:bCs/>
          <w:sz w:val="32"/>
          <w:szCs w:val="32"/>
        </w:rPr>
        <w:t xml:space="preserve">4. Customer Friction (Top Five)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900"/>
        <w:gridCol w:w="1000"/>
        <w:gridCol w:w="436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theme</w:t>
            </w:r>
          </w:p>
        </w:tc>
        <w:tc>
          <w:tcPr>
            <w:tcW w:type="dxa" w:w="9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Severity</w:t>
            </w:r>
          </w:p>
        </w:tc>
        <w:tc>
          <w:tcPr>
            <w:tcW w:type="dxa" w:w="1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 of sample</w:t>
            </w:r>
          </w:p>
        </w:tc>
        <w:tc>
          <w:tcPr>
            <w:tcW w:type="dxa" w:w="4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Representative example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quality and accuracy errors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18%</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$12K ISO bug; doubled income causing $12K IRS clawback; RSU double count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Communication breakdowns and case auto closure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34 day Full Service case auto closed 7 days before deadline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Generalist routed to a complex return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 border 95K CAD case; seven year city tax error</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Hand off and continuity loss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told it is structurally impossible to reach last year’s expert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Long wait times and queue pain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11%</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4.5 hours of waiting after six callback attempts</w:t>
            </w:r>
          </w:p>
        </w:tc>
      </w:tr>
    </w:tbl>
    <w:p>
      <w:pPr>
        <w:spacing w:after="120"/>
      </w:pPr>
      <w:r>
        <w:rPr>
          <w:rFonts w:ascii="Arial" w:cs="Arial" w:eastAsia="Arial" w:hAnsi="Arial"/>
          <w:i/>
          <w:iCs/>
          <w:color w:val="666666"/>
          <w:sz w:val="16"/>
          <w:szCs w:val="16"/>
        </w:rPr>
        <w:t xml:space="preserve">Frequency from 88 verbatim quote sample. Methodology in docs/appendices/voice-of-customer.md. Vignettes in docs/appendices/vignettes.md. Backlog (themes 6–10) in docs/appendices/backlog-deferred.md.</w:t>
      </w:r>
    </w:p>
    <w:p>
      <w:pPr>
        <w:pStyle w:val="Heading1"/>
        <w:spacing w:after="120" w:before="240"/>
      </w:pPr>
      <w:r>
        <w:rPr>
          <w:rFonts w:ascii="Arial" w:cs="Arial" w:eastAsia="Arial" w:hAnsi="Arial"/>
          <w:b/>
          <w:bCs/>
          <w:sz w:val="32"/>
          <w:szCs w:val="32"/>
        </w:rPr>
        <w:t xml:space="preserve">5. Expert Pain Points (Top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60"/>
        <w:gridCol w:w="1200"/>
        <w:gridCol w:w="3800"/>
      </w:tblGrid>
      <w:tr>
        <w:tc>
          <w:tcPr>
            <w:tcW w:type="dxa" w:w="5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3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Pain point</w:t>
            </w:r>
          </w:p>
        </w:tc>
        <w:tc>
          <w:tcPr>
            <w:tcW w:type="dxa" w:w="1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Customer themes</w:t>
            </w:r>
          </w:p>
        </w:tc>
        <w:tc>
          <w:tcPr>
            <w:tcW w:type="dxa" w:w="3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Public evidence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 return surface, no anomaly flags, no prior year side by side, no risk register. The tooling is a knowledge base search box.</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1, 4</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 recruitment FAQ describes tooling as “TurboTax knowledge base, IRS resources, and a popular tax library”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is a queue. No specialty, complexity, jurisdiction, language, or continuity matching.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3, 4, 5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 recruitment FAQ: “TurboTax customer contacts are in a queue and they are routed to the next available Tax Expert”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w:t>
            </w:r>
          </w:p>
        </w:tc>
        <w:tc>
          <w:tcPr>
            <w:tcW w:type="dxa" w:w="3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Performance is graded on customer surveys and a 23 minute AHT. Accuracy is not measured.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1, 2</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Intuit recruitment FAQ on metrics; Washington Post test on Intuit Assist accuracy</w:t>
            </w:r>
          </w:p>
        </w:tc>
      </w:tr>
    </w:tbl>
    <w:p>
      <w:pPr>
        <w:spacing w:after="120"/>
      </w:pPr>
      <w:r>
        <w:rPr>
          <w:rFonts w:ascii="Arial" w:cs="Arial" w:eastAsia="Arial" w:hAnsi="Arial"/>
          <w:i/>
          <w:iCs/>
          <w:color w:val="666666"/>
          <w:sz w:val="16"/>
          <w:szCs w:val="16"/>
        </w:rPr>
        <w:t xml:space="preserve">Full expert side theme table with seven themes is in docs/appendices/expert-side-themes.md.</w:t>
      </w:r>
    </w:p>
    <w:p>
      <w:r>
        <w:br w:type="page"/>
      </w:r>
    </w:p>
    <w:p>
      <w:pPr>
        <w:spacing w:after="200" w:before="600"/>
        <w:jc w:val="center"/>
      </w:pPr>
      <w:r>
        <w:rPr>
          <w:rFonts w:ascii="Arial" w:cs="Arial" w:eastAsia="Arial" w:hAnsi="Arial"/>
          <w:b/>
          <w:bCs/>
          <w:sz w:val="36"/>
          <w:szCs w:val="36"/>
        </w:rPr>
        <w:t xml:space="preserve">Part I — Big Bets</w:t>
      </w:r>
    </w:p>
    <w:p>
      <w:pPr>
        <w:spacing w:after="120"/>
      </w:pPr>
      <w:r>
        <w:rPr>
          <w:rFonts w:ascii="Arial" w:cs="Arial" w:eastAsia="Arial" w:hAnsi="Arial"/>
          <w:sz w:val="22"/>
          <w:szCs w:val="22"/>
        </w:rPr>
        <w:t xml:space="preserve">The big bets share one thesis: the Virtual Expert Platform should optimize for customer outcomes against stated goals, not for return throughput. Each big bet below changes the operating model rather than improving the existing one. Together they convert TurboTax Live from an annual one shot transaction into a continuous, goal aligned, AI native advisory relationship that gets smarter every season.</w:t>
      </w:r>
    </w:p>
    <w:p>
      <w:pPr>
        <w:pStyle w:val="Heading2"/>
        <w:spacing w:after="120" w:before="240"/>
      </w:pPr>
      <w:r>
        <w:rPr>
          <w:rFonts w:ascii="Arial" w:cs="Arial" w:eastAsia="Arial" w:hAnsi="Arial"/>
          <w:b/>
          <w:bCs/>
          <w:sz w:val="26"/>
          <w:szCs w:val="26"/>
        </w:rPr>
        <w:t xml:space="preserve">B1. Goal Aligned Recommendation System (anchor bet)</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At intake, the customer states their goals in plain language: “maximize my refund,” “do not get me audited,” “plan for my new baby,” “harvest my losses without messing up my carryforward,” “set me up for a smaller tax bill in 2026.” A recommendation engine generates a ranked list of suggestions, each tagged with dollar impact, confidence, goal fit score, evidence (specific IRC section or IRS publication), audit risk delta, and multi year impact. The expert workbench shows a goal dashboard that tracks progress against each stated goal in real time. Every expert action is logged against the goal it served.</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reframes the expert’s job from “fill out the form correctly” to “deliver outcomes against the customer’s stated goals.” It addresses the NerdWallet structural critique directly: the AI captures goals, the expert delivers against them, and the goal fit score becomes the primary success metric instead of CSAT. It also creates the connective tissue for B2 (multi year planning) and B4 (the learning loop), because every recommendation is now labeled with a goal, an action, and an outcome.</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A goal taxonomy (10 canonical goals plus free text), a goal capture intake flow, a recommendation engine that retrieves from a deterministic tax rules corpus and ranks via an LLM scoring pass, a goal dashboard panel on the expert workbench, a goal aligned audit trail, and a reporting layer that aggregates goal outcomes across customers and experts.</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Themes 1 (accuracy errors, because every recommendation is rule cited), 3 (mismatch, because routing now considers goals), and 4 (continuity, because goals carry from year to year).</w:t>
      </w:r>
    </w:p>
    <w:p>
      <w:pPr>
        <w:pStyle w:val="Heading2"/>
        <w:spacing w:after="120" w:before="240"/>
      </w:pPr>
      <w:r>
        <w:rPr>
          <w:rFonts w:ascii="Arial" w:cs="Arial" w:eastAsia="Arial" w:hAnsi="Arial"/>
          <w:b/>
          <w:bCs/>
          <w:sz w:val="26"/>
          <w:szCs w:val="26"/>
        </w:rPr>
        <w:t xml:space="preserve">B2. Multi Year Tax Co Pilot (always on advisory)</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Today, TurboTax Live is an annual transaction. The customer files in March, disappears, and shows up again next March with a new expert and zero context. The Multi Year Tax Co Pilot turns the relationship into a continuous subscription advised by a year round AI co pilot with periodic expert touch points. The co pilot watches connected accounts (W-2 changes, brokerage activity, 1099 issuance, life events, IRS notices), tracks tax law changes (SALT cap, retirement contribution limits, SCOTUS rulings), runs forward looking simulations (Roth conversion windows, RSU sell decisions, estimated tax payments, loss harvesting, retirement headroom), and triggers expert outreach proactively when an action is time sensitive or high dollar.</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is the difference between a tax preparer and a wealth advisor. The TAM expands from “people who file” to “people who optimize.” It also creates the data flywheel that makes B1’s goal alignment compound: a goal stated in 2026 becomes a tracked plan with quarterly check ins through TY2027 and TY2028.</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A connected accounts data layer (Plaid for banking, brokerage data partnerships, IRS transcript pull, secure document vault), a tax planning simulation engine, an event based trigger system, an expert outreach queue tied to the routing engine, and a customer facing dashboard that shows year round tax health.</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 4 (continuity, structurally), theme 1 (accuracy, because errors get caught months before filing), and the core complaint that experts are “just data entry.”</w:t>
      </w:r>
    </w:p>
    <w:p>
      <w:pPr>
        <w:pStyle w:val="Heading2"/>
        <w:spacing w:after="120" w:before="240"/>
      </w:pPr>
      <w:r>
        <w:rPr>
          <w:rFonts w:ascii="Arial" w:cs="Arial" w:eastAsia="Arial" w:hAnsi="Arial"/>
          <w:b/>
          <w:bCs/>
          <w:sz w:val="26"/>
          <w:szCs w:val="26"/>
        </w:rPr>
        <w:t xml:space="preserve">B3. Autonomous AI Pre Work and Living Risk Register</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Before the expert ever opens the return, an autonomous AI pre work step ingests every document (W-2, 1099 family, K-1, 1098, brokerage statements, prior year 1040, county property records), populates the current year return with line level provenance, runs year over year deltas with explanations for every change above a threshold, runs a mechanically detectable error sweep against a deterministic rules corpus, and outputs a complexity score, a ranked risk register, and an AI suggested question list. The risk register is “living” in the sense that it updates continuously as the expert makes edits and as new documents arrive.</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Intuit has publicly stated a ~20% reduction in expert time per Full Service return in TY2025 from AI. This bet pushes that further by removing the most error prone, lowest judgment work from the expert’s plate entirely. It also creates the structured input that B1’s recommendation engine and B4’s learning loop both depend on.</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A document ingestion pipeline (OCR plus structured form parsing), a deterministic tax rules corpus (initial scope ~200 rules), an LLM orchestration layer that uses the rules engine as the safety net, a confidence calibration layer, a year over year delta engine, and the risk register UI on the workbench.</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 1 directly. Themes 2 and 5 indirectly because returns get faster.</w:t>
      </w:r>
    </w:p>
    <w:p>
      <w:pPr>
        <w:pStyle w:val="Heading2"/>
        <w:spacing w:after="120" w:before="240"/>
      </w:pPr>
      <w:r>
        <w:rPr>
          <w:rFonts w:ascii="Arial" w:cs="Arial" w:eastAsia="Arial" w:hAnsi="Arial"/>
          <w:b/>
          <w:bCs/>
          <w:sz w:val="26"/>
          <w:szCs w:val="26"/>
        </w:rPr>
        <w:t xml:space="preserve">B4. Expert as Trainer Learning Loop (compounding moat)</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Every expert edit, accept, reject, and override on an AI suggestion becomes labeled training data. The system gets measurably smarter every season. Senior experts effectively become RLHF labelers without having to do anything other than their normal job. The labeled data is used to fine tune the recommendation engine, the confidence calibration, the risk register prioritization, and the goal fit scoring from B1. Intuit’s competitive moat shifts from “we have 13,000 experts” to “we have 13,000 experts whose judgment is encoded in the system every season.”</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is the only big bet that compounds over time without proportional capital investment. After three seasons, the system has been trained on roughly 10 million labeled expert decisions, which no competitor can replicate without access to credentialed expert workflows. It also fixes the misaligned performance metric problem from Expert Pain Point 3 because accuracy and goal fit can finally be measured.</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A capture layer on every workbench interaction, a labeling pipeline that converts those interactions to training examples, a model evaluation harness with a golden test set of synthetic returns, a calibration monitoring dashboard, and a quarterly model release cadence.</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 1 over time. Also addresses Expert Pain Point 3 by making accuracy measurable.</w:t>
      </w:r>
    </w:p>
    <w:p>
      <w:pPr>
        <w:pStyle w:val="Heading2"/>
        <w:spacing w:after="120" w:before="240"/>
      </w:pPr>
      <w:r>
        <w:rPr>
          <w:rFonts w:ascii="Arial" w:cs="Arial" w:eastAsia="Arial" w:hAnsi="Arial"/>
          <w:b/>
          <w:bCs/>
          <w:sz w:val="26"/>
          <w:szCs w:val="26"/>
        </w:rPr>
        <w:t xml:space="preserve">B5. Specialty Match Routing Marketplace</w:t>
      </w:r>
    </w:p>
    <w:p>
      <w:pPr>
        <w:spacing w:after="120"/>
      </w:pPr>
      <w:r>
        <w:rPr>
          <w:rFonts w:ascii="Arial" w:cs="Arial" w:eastAsia="Arial" w:hAnsi="Arial"/>
          <w:b/>
          <w:bCs/>
          <w:sz w:val="22"/>
          <w:szCs w:val="22"/>
        </w:rPr>
        <w:t xml:space="preserve">The bet. </w:t>
      </w:r>
      <w:r>
        <w:rPr>
          <w:rFonts w:ascii="Arial" w:cs="Arial" w:eastAsia="Arial" w:hAnsi="Arial"/>
          <w:sz w:val="22"/>
          <w:szCs w:val="22"/>
        </w:rPr>
        <w:t xml:space="preserve">Replace queue based routing with a marketplace style matchmaking engine that considers expert specialty (RSU, K-1, expat, retirement, small business), complexity score from B3, jurisdiction (state and local), language, capacity, customer goals from B1, and prior year continuity. Generalists are never assigned a return with a hard complexity flag without a competency matched peer reviewer. Customers can see (and request) the same expert year over year.</w:t>
      </w:r>
    </w:p>
    <w:p>
      <w:pPr>
        <w:spacing w:after="120"/>
      </w:pPr>
      <w:r>
        <w:rPr>
          <w:rFonts w:ascii="Arial" w:cs="Arial" w:eastAsia="Arial" w:hAnsi="Arial"/>
          <w:b/>
          <w:bCs/>
          <w:sz w:val="22"/>
          <w:szCs w:val="22"/>
        </w:rPr>
        <w:t xml:space="preserve">Why this is visionary. </w:t>
      </w:r>
      <w:r>
        <w:rPr>
          <w:rFonts w:ascii="Arial" w:cs="Arial" w:eastAsia="Arial" w:hAnsi="Arial"/>
          <w:sz w:val="22"/>
          <w:szCs w:val="22"/>
        </w:rPr>
        <w:t xml:space="preserve">It turns 13,000 experts from a queue into a marketplace. It is the only way the platform can both grow expert headcount and improve quality at the same time.</w:t>
      </w:r>
    </w:p>
    <w:p>
      <w:pPr>
        <w:spacing w:after="120"/>
      </w:pPr>
      <w:r>
        <w:rPr>
          <w:rFonts w:ascii="Arial" w:cs="Arial" w:eastAsia="Arial" w:hAnsi="Arial"/>
          <w:b/>
          <w:bCs/>
          <w:sz w:val="22"/>
          <w:szCs w:val="22"/>
        </w:rPr>
        <w:t xml:space="preserve">What is built. </w:t>
      </w:r>
      <w:r>
        <w:rPr>
          <w:rFonts w:ascii="Arial" w:cs="Arial" w:eastAsia="Arial" w:hAnsi="Arial"/>
          <w:sz w:val="22"/>
          <w:szCs w:val="22"/>
        </w:rPr>
        <w:t xml:space="preserve">A competency profile per expert, a routing engine that takes the complexity score and goal vector as input, a continuity tracker, a customer facing “request your expert” flow, and an expert facing reputation dashboard.</w:t>
      </w:r>
    </w:p>
    <w:p>
      <w:pPr>
        <w:spacing w:after="120"/>
      </w:pPr>
      <w:r>
        <w:rPr>
          <w:rFonts w:ascii="Arial" w:cs="Arial" w:eastAsia="Arial" w:hAnsi="Arial"/>
          <w:b/>
          <w:bCs/>
          <w:sz w:val="22"/>
          <w:szCs w:val="22"/>
        </w:rPr>
        <w:t xml:space="preserve">Customer frictions this addresses. </w:t>
      </w:r>
      <w:r>
        <w:rPr>
          <w:rFonts w:ascii="Arial" w:cs="Arial" w:eastAsia="Arial" w:hAnsi="Arial"/>
          <w:sz w:val="22"/>
          <w:szCs w:val="22"/>
        </w:rPr>
        <w:t xml:space="preserve">Themes 3, 4, and 5.</w:t>
      </w:r>
    </w:p>
    <w:p>
      <w:r>
        <w:br w:type="page"/>
      </w:r>
    </w:p>
    <w:p>
      <w:pPr>
        <w:spacing w:after="200" w:before="600"/>
        <w:jc w:val="center"/>
      </w:pPr>
      <w:r>
        <w:rPr>
          <w:rFonts w:ascii="Arial" w:cs="Arial" w:eastAsia="Arial" w:hAnsi="Arial"/>
          <w:b/>
          <w:bCs/>
          <w:sz w:val="36"/>
          <w:szCs w:val="36"/>
        </w:rPr>
        <w:t xml:space="preserve">Part II — Incremental Improvements</w:t>
      </w:r>
    </w:p>
    <w:p>
      <w:pPr>
        <w:spacing w:after="120"/>
      </w:pPr>
      <w:r>
        <w:rPr>
          <w:rFonts w:ascii="Arial" w:cs="Arial" w:eastAsia="Arial" w:hAnsi="Arial"/>
          <w:sz w:val="22"/>
          <w:szCs w:val="22"/>
        </w:rPr>
        <w:t xml:space="preserve">These are the prioritized friction fixes that do not require a change in operating model. They are smaller in scope, faster to ship, and they fit cleanly inside the four layer architecture.</w:t>
      </w:r>
    </w:p>
    <w:p>
      <w:pPr>
        <w:pStyle w:val="Heading2"/>
        <w:spacing w:after="120" w:before="240"/>
      </w:pPr>
      <w:r>
        <w:rPr>
          <w:rFonts w:ascii="Arial" w:cs="Arial" w:eastAsia="Arial" w:hAnsi="Arial"/>
          <w:b/>
          <w:bCs/>
          <w:sz w:val="26"/>
          <w:szCs w:val="26"/>
        </w:rPr>
        <w:t xml:space="preserve">I1. Expert Workbench (Layer 3) Incremental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addressed</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 context header showing prior expert notes, prior year return, prior year preparer name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Anomaly risk register panel surfacing the top 10 mechanically detectable red flags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score per pre populated line, with click through to source document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Live quality co pilot that flags inconsistencies as the expert edits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 suggested question list for the customer call, ranked by dollar impact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Escalation panel showing case state (auto close countdown, customer responsiveness, document completeness)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“What AI saw” panel showing the redacted PII version of every prompt sent to the model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 + trust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minutes counter against legacy and TY2025 baselines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Productivity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bl>
    <w:p>
      <w:pPr>
        <w:pStyle w:val="Heading2"/>
        <w:spacing w:after="120" w:before="240"/>
      </w:pPr>
      <w:r>
        <w:rPr>
          <w:rFonts w:ascii="Arial" w:cs="Arial" w:eastAsia="Arial" w:hAnsi="Arial"/>
          <w:b/>
          <w:bCs/>
          <w:sz w:val="26"/>
          <w:szCs w:val="26"/>
        </w:rPr>
        <w:t xml:space="preserve">I2. Smart Routing (Layer 2) Incremental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addressed</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rationale chip telling the expert why the case was routed to them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Hard complexity flag preventing queue routing of complex returns to a generalist without peer reviewer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“Same expert as last year” preference on the customer side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Capacity dashboard for leads showing complexity adjusted utilization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pPr>
        <w:pStyle w:val="Heading2"/>
        <w:spacing w:after="120" w:before="240"/>
      </w:pPr>
      <w:r>
        <w:rPr>
          <w:rFonts w:ascii="Arial" w:cs="Arial" w:eastAsia="Arial" w:hAnsi="Arial"/>
          <w:b/>
          <w:bCs/>
          <w:sz w:val="26"/>
          <w:szCs w:val="26"/>
        </w:rPr>
        <w:t xml:space="preserve">I3. Trust and Learning (Layer 4) Incremental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addressed</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on every LLM call, verifiable via audit trail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Audit trail capturing model, context, expert action, downstream IRS outcome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 accuracy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Composite expert performance metric weighting accuracy, AI edit signal quality, NPS, complexity adjusted AHT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Pain point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“Told customer no” tracking so experts who correctly decline a deduction are not penalized on CSAT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Pain point 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pPr>
        <w:pStyle w:val="Heading2"/>
        <w:spacing w:after="120" w:before="240"/>
      </w:pPr>
      <w:r>
        <w:rPr>
          <w:rFonts w:ascii="Arial" w:cs="Arial" w:eastAsia="Arial" w:hAnsi="Arial"/>
          <w:b/>
          <w:bCs/>
          <w:sz w:val="26"/>
          <w:szCs w:val="26"/>
        </w:rPr>
        <w:t xml:space="preserve">I4. Pre Work (Layer 1) Incremental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2200"/>
        <w:gridCol w:w="1300"/>
      </w:tblGrid>
      <w:tr>
        <w:tc>
          <w:tcPr>
            <w:tcW w:type="dxa" w:w="58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Fix</w:t>
            </w:r>
          </w:p>
        </w:tc>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Friction addressed</w:t>
            </w:r>
          </w:p>
        </w:tc>
        <w:tc>
          <w:tcPr>
            <w:tcW w:type="dxa" w:w="13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Effort</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Document ingestion via OCR plus partner structured feeds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Year over year delta engine with plain language explanations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 + 4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r>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Initial 50 rule deterministic safety net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Theme 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w:t>
            </w:r>
          </w:p>
        </w:tc>
      </w:tr>
    </w:tbl>
    <w:p>
      <w:r>
        <w:br w:type="page"/>
      </w:r>
    </w:p>
    <w:p>
      <w:pPr>
        <w:pStyle w:val="Heading1"/>
        <w:spacing w:after="120" w:before="240"/>
      </w:pPr>
      <w:r>
        <w:rPr>
          <w:rFonts w:ascii="Arial" w:cs="Arial" w:eastAsia="Arial" w:hAnsi="Arial"/>
          <w:b/>
          <w:bCs/>
          <w:sz w:val="32"/>
          <w:szCs w:val="32"/>
        </w:rPr>
        <w:t xml:space="preserve">6. Solution Architecture</w:t>
      </w:r>
    </w:p>
    <w:p>
      <w:pPr>
        <w:spacing w:after="120"/>
      </w:pPr>
      <w:r>
        <w:rPr>
          <w:rFonts w:ascii="Arial" w:cs="Arial" w:eastAsia="Arial" w:hAnsi="Arial"/>
          <w:sz w:val="22"/>
          <w:szCs w:val="22"/>
        </w:rPr>
        <w:t xml:space="preserve">The solution is a four layer Virtual Expert Platform that hosts both the big bets and the incremental fixes.</w:t>
      </w:r>
    </w:p>
    <w:p>
      <w:pPr>
        <w:spacing w:after="120"/>
      </w:pPr>
      <w:r>
        <w:rPr>
          <w:rFonts w:ascii="Arial" w:cs="Arial" w:eastAsia="Arial" w:hAnsi="Arial"/>
          <w:b/>
          <w:bCs/>
          <w:sz w:val="22"/>
          <w:szCs w:val="22"/>
        </w:rPr>
        <w:t xml:space="preserve">Layer 1, AI Pre Work. </w:t>
      </w:r>
      <w:r>
        <w:rPr>
          <w:rFonts w:ascii="Arial" w:cs="Arial" w:eastAsia="Arial" w:hAnsi="Arial"/>
          <w:sz w:val="22"/>
          <w:szCs w:val="22"/>
        </w:rPr>
        <w:t xml:space="preserve">Document ingestion, year over year delta, deterministic rules sweep, complexity score, risk register. Hosts B3 and the I4 fixes.</w:t>
      </w:r>
    </w:p>
    <w:p>
      <w:pPr>
        <w:spacing w:after="120"/>
      </w:pPr>
      <w:r>
        <w:rPr>
          <w:rFonts w:ascii="Arial" w:cs="Arial" w:eastAsia="Arial" w:hAnsi="Arial"/>
          <w:b/>
          <w:bCs/>
          <w:sz w:val="22"/>
          <w:szCs w:val="22"/>
        </w:rPr>
        <w:t xml:space="preserve">Layer 2, Smart Routing. </w:t>
      </w:r>
      <w:r>
        <w:rPr>
          <w:rFonts w:ascii="Arial" w:cs="Arial" w:eastAsia="Arial" w:hAnsi="Arial"/>
          <w:sz w:val="22"/>
          <w:szCs w:val="22"/>
        </w:rPr>
        <w:t xml:space="preserve">Specialty, complexity, jurisdiction, language, capacity, continuity, and goal aware matching. Hosts B5 and the I2 fixes.</w:t>
      </w:r>
    </w:p>
    <w:p>
      <w:pPr>
        <w:spacing w:after="120"/>
      </w:pPr>
      <w:r>
        <w:rPr>
          <w:rFonts w:ascii="Arial" w:cs="Arial" w:eastAsia="Arial" w:hAnsi="Arial"/>
          <w:b/>
          <w:bCs/>
          <w:sz w:val="22"/>
          <w:szCs w:val="22"/>
        </w:rPr>
        <w:t xml:space="preserve">Layer 3, Expert Workbench. </w:t>
      </w:r>
      <w:r>
        <w:rPr>
          <w:rFonts w:ascii="Arial" w:cs="Arial" w:eastAsia="Arial" w:hAnsi="Arial"/>
          <w:sz w:val="22"/>
          <w:szCs w:val="22"/>
        </w:rPr>
        <w:t xml:space="preserve">Goal dashboard, return surface with confidence scores, risk register, prior year side by side, customer context, AI suggested questions, live co pilot, “what AI saw” panel, expert minutes counter. Hosts B1 (anchor), B2 (year round dashboard surface), and the I1 fixes.</w:t>
      </w:r>
    </w:p>
    <w:p>
      <w:pPr>
        <w:spacing w:after="120"/>
      </w:pPr>
      <w:r>
        <w:rPr>
          <w:rFonts w:ascii="Arial" w:cs="Arial" w:eastAsia="Arial" w:hAnsi="Arial"/>
          <w:b/>
          <w:bCs/>
          <w:sz w:val="22"/>
          <w:szCs w:val="22"/>
        </w:rPr>
        <w:t xml:space="preserve">Layer 4, Trust and Learning. </w:t>
      </w:r>
      <w:r>
        <w:rPr>
          <w:rFonts w:ascii="Arial" w:cs="Arial" w:eastAsia="Arial" w:hAnsi="Arial"/>
          <w:sz w:val="22"/>
          <w:szCs w:val="22"/>
        </w:rPr>
        <w:t xml:space="preserve">PII redaction, audit trails, calibrated confidence, expert edits as labeled training data, composite performance metric. Hosts B4 and the I3 fixes.</w:t>
      </w:r>
    </w:p>
    <w:p>
      <w:pPr>
        <w:spacing w:after="120"/>
      </w:pPr>
      <w:r>
        <w:rPr>
          <w:rFonts w:ascii="Arial" w:cs="Arial" w:eastAsia="Arial" w:hAnsi="Arial"/>
          <w:sz w:val="22"/>
          <w:szCs w:val="22"/>
        </w:rPr>
        <w:t xml:space="preserve">Non goals: fixing the checkout funnel auto upgrade dark pattern (separate org), replacing the underlying tax calculation engine, building net new tax content, and IRS notice and audit defense workflow (Phase 2).</w:t>
      </w:r>
    </w:p>
    <w:p>
      <w:pPr>
        <w:pStyle w:val="Heading1"/>
        <w:spacing w:after="120" w:before="240"/>
      </w:pPr>
      <w:r>
        <w:rPr>
          <w:rFonts w:ascii="Arial" w:cs="Arial" w:eastAsia="Arial" w:hAnsi="Arial"/>
          <w:b/>
          <w:bCs/>
          <w:sz w:val="32"/>
          <w:szCs w:val="32"/>
        </w:rPr>
        <w:t xml:space="preserve">7. MVP Prototype Scope</w:t>
      </w:r>
    </w:p>
    <w:p>
      <w:pPr>
        <w:spacing w:after="120"/>
      </w:pPr>
      <w:r>
        <w:rPr>
          <w:rFonts w:ascii="Arial" w:cs="Arial" w:eastAsia="Arial" w:hAnsi="Arial"/>
          <w:sz w:val="22"/>
          <w:szCs w:val="22"/>
        </w:rPr>
        <w:t xml:space="preserve">The MVP demonstrates Big Bet B1 (Goal Aligned Recommendation System) end to end on the Layer 3 Workbench, against a single realistic synthetic Form 1040 (the “Olivia and Ryan Mitchell” return: married filing jointly, AGI ~$326K, residential rental, RSU vesting, K-1, HSA, mixed wash sale lots, 1098, multi state IL+CA, prior year return on file). Layer 1 pre work output is mocked as if a real OCR plus rules engine had produced it. Layer 2 routing is mocked as a single routing rationale chip. Layer 4 trust is partially live: PII redaction runs against the synthetic data, the audit trail is fully captured, the “what AI saw” panel renders.</w:t>
      </w:r>
    </w:p>
    <w:p>
      <w:pPr>
        <w:pStyle w:val="Heading3"/>
        <w:spacing w:after="120" w:before="240"/>
      </w:pPr>
      <w:r>
        <w:rPr>
          <w:rFonts w:ascii="Arial" w:cs="Arial" w:eastAsia="Arial" w:hAnsi="Arial"/>
          <w:b/>
          <w:bCs/>
          <w:sz w:val="22"/>
          <w:szCs w:val="22"/>
        </w:rPr>
        <w:t xml:space="preserve">What the demo shows:</w:t>
      </w:r>
    </w:p>
    <w:p>
      <w:pPr>
        <w:pStyle w:val="ListParagraph"/>
        <w:numPr>
          <w:ilvl w:val="0"/>
          <w:numId w:val="2"/>
        </w:numPr>
        <w:spacing w:after="60"/>
      </w:pPr>
      <w:r>
        <w:rPr>
          <w:rFonts w:ascii="Arial" w:cs="Arial" w:eastAsia="Arial" w:hAnsi="Arial"/>
          <w:sz w:val="22"/>
          <w:szCs w:val="22"/>
        </w:rPr>
        <w:t xml:space="preserve">Customer goal capture. A short intake flow where Olivia states three goals in priority order.</w:t>
      </w:r>
    </w:p>
    <w:p>
      <w:pPr>
        <w:pStyle w:val="ListParagraph"/>
        <w:numPr>
          <w:ilvl w:val="0"/>
          <w:numId w:val="2"/>
        </w:numPr>
        <w:spacing w:after="60"/>
      </w:pPr>
      <w:r>
        <w:rPr>
          <w:rFonts w:ascii="Arial" w:cs="Arial" w:eastAsia="Arial" w:hAnsi="Arial"/>
          <w:sz w:val="22"/>
          <w:szCs w:val="22"/>
        </w:rPr>
        <w:t xml:space="preserve">Goal dashboard on the workbench. A panel that tracks each goal in real time, with a goal fit score per recommendation.</w:t>
      </w:r>
    </w:p>
    <w:p>
      <w:pPr>
        <w:pStyle w:val="ListParagraph"/>
        <w:numPr>
          <w:ilvl w:val="0"/>
          <w:numId w:val="2"/>
        </w:numPr>
        <w:spacing w:after="60"/>
      </w:pPr>
      <w:r>
        <w:rPr>
          <w:rFonts w:ascii="Arial" w:cs="Arial" w:eastAsia="Arial" w:hAnsi="Arial"/>
          <w:sz w:val="22"/>
          <w:szCs w:val="22"/>
        </w:rPr>
        <w:t xml:space="preserve">Ranked recommendation list tied to goals. Each recommendation has dollar impact, confidence, goal fit, evidence (IRC citation), audit risk delta, and a “why this matters for the stated goal” line.</w:t>
      </w:r>
    </w:p>
    <w:p>
      <w:pPr>
        <w:pStyle w:val="ListParagraph"/>
        <w:numPr>
          <w:ilvl w:val="0"/>
          <w:numId w:val="2"/>
        </w:numPr>
        <w:spacing w:after="60"/>
      </w:pPr>
      <w:r>
        <w:rPr>
          <w:rFonts w:ascii="Arial" w:cs="Arial" w:eastAsia="Arial" w:hAnsi="Arial"/>
          <w:sz w:val="22"/>
          <w:szCs w:val="22"/>
        </w:rPr>
        <w:t xml:space="preserve">Routing rationale chip. “Routed to you: 5+ years RSU specialty, multi state IL+CA, prior year preparer for this customer. Complexity 8/10.”</w:t>
      </w:r>
    </w:p>
    <w:p>
      <w:pPr>
        <w:pStyle w:val="ListParagraph"/>
        <w:numPr>
          <w:ilvl w:val="0"/>
          <w:numId w:val="2"/>
        </w:numPr>
        <w:spacing w:after="60"/>
      </w:pPr>
      <w:r>
        <w:rPr>
          <w:rFonts w:ascii="Arial" w:cs="Arial" w:eastAsia="Arial" w:hAnsi="Arial"/>
          <w:sz w:val="22"/>
          <w:szCs w:val="22"/>
        </w:rPr>
        <w:t xml:space="preserve">Pre populated return surface with confidence scores per line and click through provenance.</w:t>
      </w:r>
    </w:p>
    <w:p>
      <w:pPr>
        <w:pStyle w:val="ListParagraph"/>
        <w:numPr>
          <w:ilvl w:val="0"/>
          <w:numId w:val="2"/>
        </w:numPr>
        <w:spacing w:after="60"/>
      </w:pPr>
      <w:r>
        <w:rPr>
          <w:rFonts w:ascii="Arial" w:cs="Arial" w:eastAsia="Arial" w:hAnsi="Arial"/>
          <w:sz w:val="22"/>
          <w:szCs w:val="22"/>
        </w:rPr>
        <w:t xml:space="preserve">Live quality co pilot flagging an inconsistency as the expert edits.</w:t>
      </w:r>
    </w:p>
    <w:p>
      <w:pPr>
        <w:pStyle w:val="ListParagraph"/>
        <w:numPr>
          <w:ilvl w:val="0"/>
          <w:numId w:val="2"/>
        </w:numPr>
        <w:spacing w:after="60"/>
      </w:pPr>
      <w:r>
        <w:rPr>
          <w:rFonts w:ascii="Arial" w:cs="Arial" w:eastAsia="Arial" w:hAnsi="Arial"/>
          <w:sz w:val="22"/>
          <w:szCs w:val="22"/>
        </w:rPr>
        <w:t xml:space="preserve">AI suggested question list ranked by goal fit.</w:t>
      </w:r>
    </w:p>
    <w:p>
      <w:pPr>
        <w:pStyle w:val="ListParagraph"/>
        <w:numPr>
          <w:ilvl w:val="0"/>
          <w:numId w:val="2"/>
        </w:numPr>
        <w:spacing w:after="60"/>
      </w:pPr>
      <w:r>
        <w:rPr>
          <w:rFonts w:ascii="Arial" w:cs="Arial" w:eastAsia="Arial" w:hAnsi="Arial"/>
          <w:sz w:val="22"/>
          <w:szCs w:val="22"/>
        </w:rPr>
        <w:t xml:space="preserve">“What AI saw” panel showing the redacted prompt that produced each recommendation.</w:t>
      </w:r>
    </w:p>
    <w:p>
      <w:pPr>
        <w:pStyle w:val="ListParagraph"/>
        <w:numPr>
          <w:ilvl w:val="0"/>
          <w:numId w:val="2"/>
        </w:numPr>
        <w:spacing w:after="60"/>
      </w:pPr>
      <w:r>
        <w:rPr>
          <w:rFonts w:ascii="Arial" w:cs="Arial" w:eastAsia="Arial" w:hAnsi="Arial"/>
          <w:sz w:val="22"/>
          <w:szCs w:val="22"/>
        </w:rPr>
        <w:t xml:space="preserve">Audit trail timeline of every AI suggestion and expert action, queryable.</w:t>
      </w:r>
    </w:p>
    <w:p>
      <w:pPr>
        <w:pStyle w:val="ListParagraph"/>
        <w:numPr>
          <w:ilvl w:val="0"/>
          <w:numId w:val="2"/>
        </w:numPr>
        <w:spacing w:after="60"/>
      </w:pPr>
      <w:r>
        <w:rPr>
          <w:rFonts w:ascii="Arial" w:cs="Arial" w:eastAsia="Arial" w:hAnsi="Arial"/>
          <w:sz w:val="22"/>
          <w:szCs w:val="22"/>
        </w:rPr>
        <w:t xml:space="preserve">Expert minutes counter ticking against the legacy and TY2025 baselines.</w:t>
      </w:r>
    </w:p>
    <w:p>
      <w:pPr>
        <w:pStyle w:val="Heading3"/>
        <w:spacing w:after="120" w:before="240"/>
      </w:pPr>
      <w:r>
        <w:rPr>
          <w:rFonts w:ascii="Arial" w:cs="Arial" w:eastAsia="Arial" w:hAnsi="Arial"/>
          <w:b/>
          <w:bCs/>
          <w:sz w:val="22"/>
          <w:szCs w:val="22"/>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Layer</w:t>
            </w:r>
          </w:p>
        </w:tc>
        <w:tc>
          <w:tcPr>
            <w:tcW w:type="dxa" w:w="3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Choice</w:t>
            </w:r>
          </w:p>
        </w:tc>
        <w:tc>
          <w:tcPr>
            <w:tcW w:type="dxa" w:w="39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Scalability</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Framework</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Next.js 16 (App Router) + React 19</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Vercel serverless — scales to zero, auto-scales on traffic spikes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Language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TypeScript (strict mode)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Type-safe contracts across all layers prevent integration drift at scale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UI</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Tailwind 4 (dark theme only)</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Atomic CSS — zero runtime overhead, constant bundle size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AI</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Anthropic Claude (claude-sonnet-4-6)</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Cassette replay: $0 marginal cost in demo. Production: stateless horizontal scaling</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Database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Neon PostgreSQL via Drizzle ORM (HTTP)</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Serverless Postgres — auto-scaling compute, 10K+ concurrent connections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Validation</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Zod v4 (zod/v4)</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Compile-time + runtime validation at every API boundary</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Tests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Vitest (447 tests, 64 files)</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Sub-second unit tests, CI-compatible integration suite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Deployment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Vercel (serverless)</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Global CDN, auto preview deploys, instant rollbacks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Data</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 synthetic, zero real PII</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Production: PII redaction pipeline (Layer 4) handles real data</w:t>
            </w:r>
          </w:p>
        </w:tc>
      </w:tr>
    </w:tbl>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Scalability note: </w:t>
      </w:r>
      <w:r>
        <w:rPr>
          <w:rFonts w:ascii="Arial" w:cs="Arial" w:eastAsia="Arial" w:hAnsi="Arial"/>
          <w:sz w:val="22"/>
          <w:szCs w:val="22"/>
        </w:rPr>
        <w:t xml:space="preserve">Every component is chosen for serverless-first deployment. The architecture scales horizontally with zero configuration changes — Vercel auto-scales the compute, Neon auto-scales the database, and the cassette pattern eliminates LLM cost in the demo path.</w:t>
      </w:r>
    </w:p>
    <w:p>
      <w:pPr>
        <w:pStyle w:val="Heading1"/>
        <w:spacing w:after="120" w:before="240"/>
      </w:pPr>
      <w:r>
        <w:rPr>
          <w:rFonts w:ascii="Arial" w:cs="Arial" w:eastAsia="Arial" w:hAnsi="Arial"/>
          <w:b/>
          <w:bCs/>
          <w:sz w:val="32"/>
          <w:szCs w:val="32"/>
        </w:rPr>
        <w:t xml:space="preserve">8. Success Metrics (Aligned to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MVP demo metric</w:t>
            </w:r>
          </w:p>
        </w:tc>
        <w:tc>
          <w:tcPr>
            <w:tcW w:type="dxa" w:w="312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Target during prototype</w:t>
            </w:r>
          </w:p>
        </w:tc>
        <w:tc>
          <w:tcPr>
            <w:tcW w:type="dxa" w:w="312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Production outcome (full VEP)</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dashboard reflects customer’s stated goals end to end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Every recommendation carries a goal fit score and a goal label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fit score becomes the primary expert performance metric</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Recommendation list catches every mechanically detectable error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 of 5 errors caught with rule citation and goal mapping</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First touch return accuracy improved 25% in TY2026</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Expert minutes per return on the synthetic 1040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Under 10 minutes wall clock vs 25–35 min legacy baseline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30% additional reduction on top of Intuit’s stated TY2025 ~20% baseline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score calibration on pre populated lines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Calibration curve within 5 points across deciles on 50 return synthetic test set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Senior experts trust confidence scores as a triage signal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against the synthetic 1040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Zero PII leakage in prompts sent to the model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Zero PII leakage in production GenOS prompts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Routing rationale chip reflects four routing dimensions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Demo chip shows specialty, jurisdiction, continuity, complexity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80% of complex returns routed to specialty matched expert in TY2026</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Audit trail captures every AI suggestion and expert action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 of demo interactions captured and queryable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 of AI suggestions auditable end to end in production</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Cases auto closed without warning</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Escalation panel surfaces case state to expert in real time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Zero auto closures in production</w:t>
            </w:r>
          </w:p>
        </w:tc>
      </w:tr>
    </w:tbl>
    <w:p>
      <w:pPr>
        <w:pStyle w:val="Heading1"/>
        <w:spacing w:after="120" w:before="240"/>
      </w:pPr>
      <w:r>
        <w:rPr>
          <w:rFonts w:ascii="Arial" w:cs="Arial" w:eastAsia="Arial" w:hAnsi="Arial"/>
          <w:b/>
          <w:bCs/>
          <w:sz w:val="32"/>
          <w:szCs w:val="32"/>
        </w:rPr>
        <w:t xml:space="preserve">9. Build Orchestration</w:t>
      </w:r>
    </w:p>
    <w:p>
      <w:pPr>
        <w:spacing w:after="120"/>
      </w:pPr>
      <w:r>
        <w:rPr>
          <w:rFonts w:ascii="Arial" w:cs="Arial" w:eastAsia="Arial" w:hAnsi="Arial"/>
          <w:sz w:val="22"/>
          <w:szCs w:val="22"/>
        </w:rPr>
        <w:t xml:space="preserve">The prototype is built by six specialized agents running in parallel, coordinated through per-agent task briefs in tasks/ and the Sprint 1 backlog in backlog/sprint-01.md. Each agent owns a vertical slice; integration points are explicit TypeScript interface contracts pinned in src/contracts/ before the build kicks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80"/>
        <w:gridCol w:w="2780"/>
      </w:tblGrid>
      <w:tr>
        <w:tc>
          <w:tcPr>
            <w:tcW w:type="dxa" w:w="28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Agent</w:t>
            </w:r>
          </w:p>
        </w:tc>
        <w:tc>
          <w:tcPr>
            <w:tcW w:type="dxa" w:w="37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Slice</w:t>
            </w:r>
          </w:p>
        </w:tc>
        <w:tc>
          <w:tcPr>
            <w:tcW w:type="dxa" w:w="278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Primary outputs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1, Domain &amp; Data</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Synthetic data + 50-rule deterministic tax corpus + golden recommendations</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src/data/, src/lib/rules/, Vitest unit tests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2, Recommendation Engine (B1)</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taxonomy, intake schema, rule-first / LLM-second recommendation engine</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src/lib/goals/, src/lib/recommendations/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3, Pre-Work Engine (B3 mock)</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Mocked OCR output, year-over-year delta, complexity scoring, risk register</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src/lib/prework/, app/api/prework/route.ts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4, Workbench UI (Layer 3)</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Next.js app shell + dark theme + all workbench panels</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app/(workbench)/, components/workbench/</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5, Trust Layer (Layer 4)</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audit trail, “what AI saw” data feed, calibration eval</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src/lib/pii/, src/lib/audit/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Agent 6, Quality, Tests, &amp; Demo</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Cross-slice integration tests, demo script, calibration test set, success-metric dashboard</w:t>
            </w:r>
          </w:p>
        </w:tc>
        <w:tc>
          <w:tcPr>
            <w:tcW w:type="dxa" w:w="2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tests/integration/, docs/demo-script.md</w:t>
            </w:r>
          </w:p>
        </w:tc>
      </w:tr>
    </w:tbl>
    <w:p>
      <w:pPr>
        <w:pStyle w:val="Heading1"/>
        <w:spacing w:after="120" w:before="240"/>
      </w:pPr>
      <w:r>
        <w:rPr>
          <w:rFonts w:ascii="Arial" w:cs="Arial" w:eastAsia="Arial" w:hAnsi="Arial"/>
          <w:b/>
          <w:bCs/>
          <w:sz w:val="32"/>
          <w:szCs w:val="32"/>
        </w:rPr>
        <w:t xml:space="preserve">10. Repository Layout</w:t>
      </w:r>
    </w:p>
    <w:p>
      <w:pPr>
        <w:spacing w:after="120"/>
      </w:pPr>
      <w:r>
        <w:rPr>
          <w:rFonts w:ascii="Arial" w:cs="Arial" w:eastAsia="Arial" w:hAnsi="Arial"/>
          <w:sz w:val="22"/>
          <w:szCs w:val="22"/>
        </w:rPr>
        <w:t xml:space="preserve">turbotax-vep/</w:t>
      </w:r>
    </w:p>
    <w:p>
      <w:pPr>
        <w:spacing w:after="40"/>
        <w:ind w:left="360"/>
      </w:pPr>
      <w:r>
        <w:rPr>
          <w:rFonts w:ascii="Consolas" w:cs="Consolas" w:eastAsia="Consolas" w:hAnsi="Consolas"/>
          <w:sz w:val="18"/>
          <w:szCs w:val="18"/>
        </w:rPr>
        <w:t xml:space="preserve">README.md — What + why + how to run</w:t>
      </w:r>
    </w:p>
    <w:p>
      <w:pPr>
        <w:spacing w:after="40"/>
        <w:ind w:left="360"/>
      </w:pPr>
      <w:r>
        <w:rPr>
          <w:rFonts w:ascii="Consolas" w:cs="Consolas" w:eastAsia="Consolas" w:hAnsi="Consolas"/>
          <w:sz w:val="18"/>
          <w:szCs w:val="18"/>
        </w:rPr>
        <w:t xml:space="preserve">docs/PRD.md — This document</w:t>
      </w:r>
    </w:p>
    <w:p>
      <w:pPr>
        <w:spacing w:after="40"/>
        <w:ind w:left="360"/>
      </w:pPr>
      <w:r>
        <w:rPr>
          <w:rFonts w:ascii="Consolas" w:cs="Consolas" w:eastAsia="Consolas" w:hAnsi="Consolas"/>
          <w:sz w:val="18"/>
          <w:szCs w:val="18"/>
        </w:rPr>
        <w:t xml:space="preserve">docs/PRD.docx — Word version</w:t>
      </w:r>
    </w:p>
    <w:p>
      <w:pPr>
        <w:spacing w:after="40"/>
        <w:ind w:left="360"/>
      </w:pPr>
      <w:r>
        <w:rPr>
          <w:rFonts w:ascii="Consolas" w:cs="Consolas" w:eastAsia="Consolas" w:hAnsi="Consolas"/>
          <w:sz w:val="18"/>
          <w:szCs w:val="18"/>
        </w:rPr>
        <w:t xml:space="preserve">docs/architecture/overview.md — 4-layer architecture diagram + narrative</w:t>
      </w:r>
    </w:p>
    <w:p>
      <w:pPr>
        <w:spacing w:after="40"/>
        <w:ind w:left="360"/>
      </w:pPr>
      <w:r>
        <w:rPr>
          <w:rFonts w:ascii="Consolas" w:cs="Consolas" w:eastAsia="Consolas" w:hAnsi="Consolas"/>
          <w:sz w:val="18"/>
          <w:szCs w:val="18"/>
        </w:rPr>
        <w:t xml:space="preserve">docs/architecture/decisions/ — ADR-001 through ADR-008</w:t>
      </w:r>
    </w:p>
    <w:p>
      <w:pPr>
        <w:spacing w:after="40"/>
        <w:ind w:left="360"/>
      </w:pPr>
      <w:r>
        <w:rPr>
          <w:rFonts w:ascii="Consolas" w:cs="Consolas" w:eastAsia="Consolas" w:hAnsi="Consolas"/>
          <w:sz w:val="18"/>
          <w:szCs w:val="18"/>
        </w:rPr>
        <w:t xml:space="preserve">docs/demo-script.md — Step-by-step live walk-through</w:t>
      </w:r>
    </w:p>
    <w:p>
      <w:pPr>
        <w:spacing w:after="40"/>
        <w:ind w:left="360"/>
      </w:pPr>
      <w:r>
        <w:rPr>
          <w:rFonts w:ascii="Consolas" w:cs="Consolas" w:eastAsia="Consolas" w:hAnsi="Consolas"/>
          <w:sz w:val="18"/>
          <w:szCs w:val="18"/>
        </w:rPr>
        <w:t xml:space="preserve">docs/appendices/ — Voice of customer, vignettes, deferred backlog, expert themes, risks, sources</w:t>
      </w:r>
    </w:p>
    <w:p>
      <w:pPr>
        <w:spacing w:after="40"/>
        <w:ind w:left="360"/>
      </w:pPr>
      <w:r>
        <w:rPr>
          <w:rFonts w:ascii="Consolas" w:cs="Consolas" w:eastAsia="Consolas" w:hAnsi="Consolas"/>
          <w:sz w:val="18"/>
          <w:szCs w:val="18"/>
        </w:rPr>
        <w:t xml:space="preserve">backlog/ — Product backlog, sprint plans, post-MVP roadmap</w:t>
      </w:r>
    </w:p>
    <w:p>
      <w:pPr>
        <w:spacing w:after="40"/>
        <w:ind w:left="360"/>
      </w:pPr>
      <w:r>
        <w:rPr>
          <w:rFonts w:ascii="Consolas" w:cs="Consolas" w:eastAsia="Consolas" w:hAnsi="Consolas"/>
          <w:sz w:val="18"/>
          <w:szCs w:val="18"/>
        </w:rPr>
        <w:t xml:space="preserve">tasks/ — Per-agent task briefs (6 files)</w:t>
      </w:r>
    </w:p>
    <w:p>
      <w:pPr>
        <w:spacing w:after="40"/>
        <w:ind w:left="360"/>
      </w:pPr>
      <w:r>
        <w:rPr>
          <w:rFonts w:ascii="Consolas" w:cs="Consolas" w:eastAsia="Consolas" w:hAnsi="Consolas"/>
          <w:sz w:val="18"/>
          <w:szCs w:val="18"/>
        </w:rPr>
        <w:t xml:space="preserve">src/ — Domain logic, contracts, AI engines</w:t>
      </w:r>
    </w:p>
    <w:p>
      <w:pPr>
        <w:spacing w:after="40"/>
        <w:ind w:left="360"/>
      </w:pPr>
      <w:r>
        <w:rPr>
          <w:rFonts w:ascii="Consolas" w:cs="Consolas" w:eastAsia="Consolas" w:hAnsi="Consolas"/>
          <w:sz w:val="18"/>
          <w:szCs w:val="18"/>
        </w:rPr>
        <w:t xml:space="preserve">app/ — Next.js app router (16 routes)</w:t>
      </w:r>
    </w:p>
    <w:p>
      <w:pPr>
        <w:spacing w:after="40"/>
        <w:ind w:left="360"/>
      </w:pPr>
      <w:r>
        <w:rPr>
          <w:rFonts w:ascii="Consolas" w:cs="Consolas" w:eastAsia="Consolas" w:hAnsi="Consolas"/>
          <w:sz w:val="18"/>
          <w:szCs w:val="18"/>
        </w:rPr>
        <w:t xml:space="preserve">app/tour/ — Guided tour with TTS narration</w:t>
      </w:r>
    </w:p>
    <w:p>
      <w:pPr>
        <w:spacing w:after="40"/>
        <w:ind w:left="360"/>
      </w:pPr>
      <w:r>
        <w:rPr>
          <w:rFonts w:ascii="Consolas" w:cs="Consolas" w:eastAsia="Consolas" w:hAnsi="Consolas"/>
          <w:sz w:val="18"/>
          <w:szCs w:val="18"/>
        </w:rPr>
        <w:t xml:space="preserve">components/ — Workbench panels, UI components</w:t>
      </w:r>
    </w:p>
    <w:p>
      <w:pPr>
        <w:spacing w:after="40"/>
        <w:ind w:left="360"/>
      </w:pPr>
      <w:r>
        <w:rPr>
          <w:rFonts w:ascii="Consolas" w:cs="Consolas" w:eastAsia="Consolas" w:hAnsi="Consolas"/>
          <w:sz w:val="18"/>
          <w:szCs w:val="18"/>
        </w:rPr>
        <w:t xml:space="preserve">tests/ — 447 tests across 64 files</w:t>
      </w:r>
    </w:p>
    <w:p>
      <w:pPr>
        <w:pStyle w:val="Heading1"/>
        <w:spacing w:after="120" w:before="240"/>
      </w:pPr>
      <w:r>
        <w:rPr>
          <w:rFonts w:ascii="Arial" w:cs="Arial" w:eastAsia="Arial" w:hAnsi="Arial"/>
          <w:b/>
          <w:bCs/>
          <w:sz w:val="32"/>
          <w:szCs w:val="32"/>
        </w:rPr>
        <w:t xml:space="preserve">11. Architecture Decision Records</w:t>
      </w:r>
    </w:p>
    <w:p>
      <w:pPr>
        <w:spacing w:after="120"/>
      </w:pPr>
      <w:r>
        <w:rPr>
          <w:rFonts w:ascii="Arial" w:cs="Arial" w:eastAsia="Arial" w:hAnsi="Arial"/>
          <w:sz w:val="22"/>
          <w:szCs w:val="22"/>
        </w:rPr>
        <w:t xml:space="preserve">The eight ADRs that pin the build live in docs/architecture/decisions/: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7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Arial" w:cs="Arial" w:eastAsia="Arial" w:hAnsi="Arial"/>
                <w:b/>
                <w:bCs/>
                <w:color w:val="FFFFFF"/>
                <w:sz w:val="18"/>
                <w:szCs w:val="18"/>
              </w:rPr>
              <w:t xml:space="preserve">Title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ADR-001</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Tech stack</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ADR-002</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Synthetic only data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ADR-003</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Deterministic rules as safety net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ADR-004</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Serverless Postgres for audit trail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ADR-005</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Goal taxonomy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ADR-006</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PII redaction strategy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ADR-007</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Confidence calibration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ADR-008</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Multi-agent build orchestration</w:t>
            </w:r>
          </w:p>
        </w:tc>
      </w:tr>
    </w:tbl>
    <w:p>
      <w:pPr>
        <w:pStyle w:val="Heading1"/>
        <w:spacing w:after="120" w:before="240"/>
      </w:pPr>
      <w:r>
        <w:rPr>
          <w:rFonts w:ascii="Arial" w:cs="Arial" w:eastAsia="Arial" w:hAnsi="Arial"/>
          <w:b/>
          <w:bCs/>
          <w:sz w:val="32"/>
          <w:szCs w:val="32"/>
        </w:rPr>
        <w:t xml:space="preserve">12. Risks and Open Questions</w:t>
      </w:r>
    </w:p>
    <w:p>
      <w:pPr>
        <w:spacing w:after="120"/>
      </w:pPr>
      <w:r>
        <w:rPr>
          <w:rFonts w:ascii="Arial" w:cs="Arial" w:eastAsia="Arial" w:hAnsi="Arial"/>
          <w:sz w:val="22"/>
          <w:szCs w:val="22"/>
        </w:rPr>
        <w:t xml:space="preserve">Full risk register and open questions are in docs/appendices/risks.md. Headline risks: AI quality bar (mitigated by deterministic rules safety net), expert resistance to monitoring (mitigated by co-designed metrics), senior expert friction (mitigated by collapsible UI density), competency profile bootstrap (mitigated by self-assessment + admin validation), PII redaction at scale (mitigated by phased entity resolution), CSAT vs accuracy tradeoff (mitigated by composite metric with “told customer no” tracking), and goal capture quality (mitigated by guided taxonomy + AI suggested goals).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2026-04-13T02:04:37.713Z</dcterms:created>
  <dcterms:modified xsi:type="dcterms:W3CDTF">2026-04-13T02:04:37.715Z</dcterms:modified>
</cp:coreProperties>
</file>

<file path=docProps/custom.xml><?xml version="1.0" encoding="utf-8"?>
<Properties xmlns="http://schemas.openxmlformats.org/officeDocument/2006/custom-properties" xmlns:vt="http://schemas.openxmlformats.org/officeDocument/2006/docPropsVTypes"/>
</file>