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Times New Roman" w:hAnsi="Times New Roman"/>
          <w:b/>
          <w:i w:val="0"/>
          <w:color w:val="000000"/>
          <w:sz w:val="48"/>
        </w:rPr>
        <w:t>A Sample Research Paper for Testing IEEE Format Conversion</w:t>
      </w:r>
    </w:p>
    <w:p>
      <w:pPr>
        <w:spacing w:before="240" w:after="240"/>
        <w:jc w:val="center"/>
      </w:pPr>
      <w:r>
        <w:rPr>
          <w:rFonts w:ascii="Times New Roman" w:hAnsi="Times New Roman"/>
          <w:b/>
          <w:i w:val="0"/>
          <w:color w:val="000000"/>
          <w:sz w:val="48"/>
        </w:rPr>
        <w:t>John Doe, Jane Smith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/>
          <w:color w:val="000000"/>
          <w:sz w:val="20"/>
        </w:rPr>
        <w:t>Abstract</w:t>
      </w:r>
    </w:p>
    <w:p>
      <w:pPr>
        <w:spacing w:after="0" w:line="240" w:lineRule="auto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This is a sample abstract for testing the IEEE format converter. The converter should properly format this document according to IEEE publication standards, including margins, fonts, spacing, and section headings.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I. Introduction</w:t>
      </w:r>
    </w:p>
    <w:p>
      <w:pPr>
        <w:spacing w:after="0" w:line="240" w:lineRule="auto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This paper presents a utility for converting Microsoft Word documents to IEEE standard format. The conversion process involves applying proper formatting, fonts, margins, and styles according to IEEE publication guidelines.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II. Methodology</w:t>
      </w:r>
    </w:p>
    <w:p>
      <w:pPr>
        <w:spacing w:after="0" w:line="240" w:lineRule="auto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The methodology involves automatic detection of document elements such as titles, sections, subsections, figures, and tables. Each element is then formatted according to IEEE specifications.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i/>
          <w:color w:val="000000"/>
          <w:sz w:val="20"/>
        </w:rPr>
        <w:t>A. Data Collection</w:t>
      </w:r>
    </w:p>
    <w:p>
      <w:pPr>
        <w:spacing w:after="0" w:line="240" w:lineRule="auto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Data was collected from various sources to validate the formatting requirements.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III. Results</w:t>
      </w:r>
    </w:p>
    <w:p>
      <w:pPr>
        <w:spacing w:after="0" w:line="240" w:lineRule="auto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The results demonstrate successful conversion of documents to IEEE format with proper formatting applied to all elements.</w:t>
      </w:r>
    </w:p>
    <w:p>
      <w:pPr>
        <w:spacing w:before="240" w:after="240"/>
        <w:jc w:val="center"/>
      </w:pPr>
      <w:r>
        <w:rPr>
          <w:rFonts w:ascii="Times New Roman" w:hAnsi="Times New Roman"/>
          <w:b/>
          <w:i w:val="0"/>
          <w:color w:val="000000"/>
          <w:sz w:val="48"/>
        </w:rPr>
        <w:t>Figure 1. Sample figure caption for testing.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IV. Conclusion</w:t>
      </w:r>
    </w:p>
    <w:p>
      <w:pPr>
        <w:spacing w:after="0" w:line="240" w:lineRule="auto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In conclusion, the utility successfully converts Word documents to IEEE format, making it easier for researchers to prepare their papers for publication.</w:t>
      </w:r>
    </w:p>
    <w:p>
      <w:pPr>
        <w:spacing w:after="0" w:line="240" w:lineRule="auto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References</w:t>
      </w:r>
    </w:p>
    <w:p>
      <w:pPr>
        <w:spacing w:after="0"/>
        <w:ind w:hanging="360" w:left="36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[1] J. Smith, "Sample Reference," IEEE Transactions, vol. 1, no. 1, pp. 1-10, 2024.</w:t>
      </w:r>
    </w:p>
    <w:p>
      <w:pPr>
        <w:spacing w:after="0"/>
        <w:ind w:hanging="360" w:left="36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[2] A. Johnson, "Another Reference," in Proc. Conference, 2024, pp. 20-30.</w:t>
      </w:r>
    </w:p>
    <w:sectPr w:rsidR="00FC693F" w:rsidRPr="0006063C" w:rsidSect="00034616">
      <w:pgSz w:w="12240" w:h="15840"/>
      <w:pgMar w:top="1080" w:right="900" w:bottom="1440" w:left="900" w:header="720" w:footer="720" w:gutter="0"/>
      <w:cols w:space="720"/>
      <w:docGrid w:linePitch="36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