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120"/>
        <w:ind/>
        <w:jc w:val="center"/>
        <w:rPr/>
      </w:pPr>
      <w:r>
        <w:rPr>
          <w:rFonts w:ascii="Times New Roman" w:hAnsi="Times New Roman" w:eastAsia="Times New Roman" w:cs="Times New Roman"/>
          <w:b/>
          <w:bCs/>
          <w:sz w:val="32"/>
          <w:szCs w:val="32"/>
        </w:rPr>
        <w:t xml:space="preserve">A Secure Decentralized Cloud Storage System with</w:t>
      </w:r>
      <w:r/>
    </w:p>
    <w:p>
      <w:pPr>
        <w:pBdr/>
        <w:spacing w:after="200" w:before="0"/>
        <w:ind/>
        <w:jc w:val="center"/>
        <w:rPr/>
      </w:pPr>
      <w:r>
        <w:rPr>
          <w:rFonts w:ascii="Times New Roman" w:hAnsi="Times New Roman" w:eastAsia="Times New Roman" w:cs="Times New Roman"/>
          <w:b/>
          <w:bCs/>
          <w:sz w:val="32"/>
          <w:szCs w:val="32"/>
        </w:rPr>
        <w:t xml:space="preserve">Blockchain-Based Auditability and Client-Side Encryption</w:t>
      </w:r>
      <w:r/>
    </w:p>
    <w:p>
      <w:pPr>
        <w:pBdr/>
        <w:spacing w:after="60" w:before="0"/>
        <w:ind/>
        <w:jc w:val="center"/>
        <w:rPr/>
      </w:pPr>
      <w:r>
        <w:rPr>
          <w:rFonts w:ascii="Times New Roman" w:hAnsi="Times New Roman" w:eastAsia="Times New Roman" w:cs="Times New Roman"/>
          <w:b/>
          <w:bCs/>
          <w:sz w:val="22"/>
          <w:szCs w:val="22"/>
        </w:rPr>
        <w:t xml:space="preserve">Anshuman Tripathi</w:t>
      </w:r>
      <w:r/>
    </w:p>
    <w:p>
      <w:pPr>
        <w:pBdr/>
        <w:spacing w:after="60" w:before="0"/>
        <w:ind/>
        <w:jc w:val="center"/>
        <w:rPr/>
      </w:pPr>
      <w:r>
        <w:rPr>
          <w:rFonts w:ascii="Times New Roman" w:hAnsi="Times New Roman" w:eastAsia="Times New Roman" w:cs="Times New Roman"/>
          <w:i/>
          <w:iCs/>
          <w:sz w:val="20"/>
          <w:szCs w:val="20"/>
        </w:rPr>
        <w:t xml:space="preserve">Department of Computer Science &amp; Engineering, Bundelkhand University, Jhansi, Uttar Pradesh, India</w:t>
      </w:r>
      <w:r/>
    </w:p>
    <w:p>
      <w:pPr>
        <w:pBdr/>
        <w:spacing w:after="60" w:before="0"/>
        <w:ind/>
        <w:jc w:val="center"/>
        <w:rPr/>
      </w:pPr>
      <w:r>
        <w:rPr>
          <w:rFonts w:ascii="Times New Roman" w:hAnsi="Times New Roman" w:eastAsia="Times New Roman" w:cs="Times New Roman"/>
          <w:i/>
          <w:iCs/>
          <w:sz w:val="20"/>
          <w:szCs w:val="20"/>
        </w:rPr>
        <w:t xml:space="preserve">Supervisors: Dr. Lalit Kumar Gupta | Dr. Priyanka Pande</w:t>
      </w:r>
      <w:r/>
    </w:p>
    <w:p>
      <w:pPr>
        <w:pBdr/>
        <w:spacing w:after="80" w:before="0"/>
        <w:ind/>
        <w:jc w:val="center"/>
        <w:rPr/>
      </w:pPr>
      <w:r>
        <w:rPr>
          <w:rFonts w:ascii="Times New Roman" w:hAnsi="Times New Roman" w:eastAsia="Times New Roman" w:cs="Times New Roman"/>
          <w:i/>
          <w:iCs/>
          <w:color w:val="1155cc"/>
          <w:sz w:val="20"/>
          <w:szCs w:val="20"/>
        </w:rPr>
        <w:t xml:space="preserve">Corresponding Author: tripathianshuman18@gmail.com</w:t>
      </w:r>
      <w:r/>
    </w:p>
    <w:p>
      <w:pPr>
        <w:pBdr>
          <w:bottom w:val="single" w:color="000000" w:sz="4" w:space="1"/>
        </w:pBdr>
        <w:spacing w:after="80" w:before="80"/>
        <w:ind/>
        <w:rPr/>
      </w:pPr>
      <w:r>
        <w:rPr>
          <w:sz w:val="2"/>
          <w:szCs w:val="2"/>
        </w:rPr>
      </w:r>
      <w:r/>
    </w:p>
    <w:p>
      <w:pPr>
        <w:pBdr/>
        <w:spacing w:after="60" w:before="100"/>
        <w:ind w:right="360" w:left="360"/>
        <w:jc w:val="both"/>
        <w:rPr/>
      </w:pPr>
      <w:r>
        <w:rPr>
          <w:rFonts w:ascii="Times New Roman" w:hAnsi="Times New Roman" w:eastAsia="Times New Roman" w:cs="Times New Roman"/>
          <w:b/>
          <w:bCs/>
          <w:sz w:val="22"/>
          <w:szCs w:val="22"/>
        </w:rPr>
        <w:t xml:space="preserve">Abstract—</w:t>
      </w:r>
      <w:r>
        <w:rPr>
          <w:rFonts w:ascii="Times New Roman" w:hAnsi="Times New Roman" w:eastAsia="Times New Roman" w:cs="Times New Roman"/>
          <w:sz w:val="22"/>
          <w:szCs w:val="22"/>
        </w:rPr>
        <w:t xml:space="preserve">Centralized cloud storage systems, while widely adopted, suffer from inherent structural limitations including single points of failure, opaque and mutable audit mechanisms, server-side encryption vulnerabilities, a</w:t>
      </w:r>
      <w:r>
        <w:rPr>
          <w:rFonts w:ascii="Times New Roman" w:hAnsi="Times New Roman" w:eastAsia="Times New Roman" w:cs="Times New Roman"/>
          <w:sz w:val="22"/>
          <w:szCs w:val="22"/>
        </w:rPr>
        <w:t xml:space="preserve">nd provider trust dependencies. This paper proposes and evaluates a decentralized cloud storage system that integrates blockchain-based auditability, client-side AES-GCM 256-bit encryption via the Web Crypto API, and a distributed provider agent architectu</w:t>
      </w:r>
      <w:r>
        <w:rPr>
          <w:rFonts w:ascii="Times New Roman" w:hAnsi="Times New Roman" w:eastAsia="Times New Roman" w:cs="Times New Roman"/>
          <w:sz w:val="22"/>
          <w:szCs w:val="22"/>
        </w:rPr>
        <w:t xml:space="preserve">re. The system is implemented as a full-stack web application comprising a Python FastAPI backend with JWT-based authentication and role-based access control (RBAC), a React single-page application frontend, a custom lightweight blockchain service providin</w:t>
      </w:r>
      <w:r>
        <w:rPr>
          <w:rFonts w:ascii="Times New Roman" w:hAnsi="Times New Roman" w:eastAsia="Times New Roman" w:cs="Times New Roman"/>
          <w:sz w:val="22"/>
          <w:szCs w:val="22"/>
        </w:rPr>
        <w:t xml:space="preserve">g cryptographically chained transaction logging, and a Docker Compose-orchestrated containerized deployment infrastructure. Experimental evaluation over 100 integration test cases demonstrates a 97.3% pass rate. Performance benchmarking on a development-cl</w:t>
      </w:r>
      <w:r>
        <w:rPr>
          <w:rFonts w:ascii="Times New Roman" w:hAnsi="Times New Roman" w:eastAsia="Times New Roman" w:cs="Times New Roman"/>
          <w:sz w:val="22"/>
          <w:szCs w:val="22"/>
        </w:rPr>
        <w:t xml:space="preserve">ass machine yields an average encrypted file upload latency of 380 ms for 1 MB payloads, a blockchain ledger entry time of 8 ms, and a user login latency of 42 ms. Comparative analysis against commercial platforms (Google Drive, Dropbox) and open protocols</w:t>
      </w:r>
      <w:r>
        <w:rPr>
          <w:rFonts w:ascii="Times New Roman" w:hAnsi="Times New Roman" w:eastAsia="Times New Roman" w:cs="Times New Roman"/>
          <w:sz w:val="22"/>
          <w:szCs w:val="22"/>
        </w:rPr>
        <w:t xml:space="preserve"> (IPFS) demonstrates superior security posture through zero-trust encrypted storage and tamper-evident auditability. The proposed system offers a practically deployable, academically grounded approach to secure, transparent, and decentralized data storage.</w:t>
      </w:r>
      <w:r/>
    </w:p>
    <w:p>
      <w:pPr>
        <w:pBdr/>
        <w:spacing w:after="100" w:before="40"/>
        <w:ind w:right="360" w:left="360"/>
        <w:jc w:val="both"/>
        <w:rPr/>
      </w:pPr>
      <w:r>
        <w:rPr>
          <w:rFonts w:ascii="Times New Roman" w:hAnsi="Times New Roman" w:eastAsia="Times New Roman" w:cs="Times New Roman"/>
          <w:b/>
          <w:bCs/>
          <w:sz w:val="22"/>
          <w:szCs w:val="22"/>
        </w:rPr>
        <w:t xml:space="preserve">Keywords—</w:t>
      </w:r>
      <w:r>
        <w:rPr>
          <w:rFonts w:ascii="Times New Roman" w:hAnsi="Times New Roman" w:eastAsia="Times New Roman" w:cs="Times New Roman"/>
          <w:i/>
          <w:iCs/>
          <w:sz w:val="22"/>
          <w:szCs w:val="22"/>
        </w:rPr>
        <w:t xml:space="preserve">Decentralized Storage; Blockchain; AES-GCM Encryption; Distributed Systems; Cloud Security; FastAPI; React; Docker; JWT Authentication; Web Crypto API.</w:t>
      </w:r>
      <w:r/>
    </w:p>
    <w:p>
      <w:pPr>
        <w:pBdr>
          <w:bottom w:val="single" w:color="000000" w:sz="4" w:space="1"/>
        </w:pBdr>
        <w:spacing w:after="80" w:before="80"/>
        <w:ind/>
        <w:rPr/>
      </w:pPr>
      <w:r>
        <w:rPr>
          <w:sz w:val="2"/>
          <w:szCs w:val="2"/>
        </w:rPr>
      </w:r>
      <w:r/>
    </w:p>
    <w:p>
      <w:pPr>
        <w:pBdr/>
        <w:spacing w:after="80" w:before="0"/>
        <w:ind/>
        <w:rPr/>
      </w:pPr>
      <w:r>
        <w:rPr>
          <w:sz w:val="22"/>
          <w:szCs w:val="22"/>
        </w:rPr>
      </w:r>
      <w:r/>
    </w:p>
    <w:p>
      <w:pPr>
        <w:pBdr/>
        <w:spacing w:after="100" w:before="200"/>
        <w:ind/>
        <w:jc w:val="left"/>
        <w:rPr/>
      </w:pPr>
      <w:r>
        <w:rPr>
          <w:rFonts w:ascii="Times New Roman" w:hAnsi="Times New Roman" w:eastAsia="Times New Roman" w:cs="Times New Roman"/>
          <w:b/>
          <w:bCs/>
          <w:color w:val="000000"/>
          <w:sz w:val="22"/>
          <w:szCs w:val="22"/>
        </w:rPr>
        <w:t xml:space="preserve">I. INTRODUCTION</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proliferation of cloud storage platforms such as Google Drive, Amazon S3, Dropbox, and Microsoft OneDrive has fundamentally transfor</w:t>
      </w:r>
      <w:r>
        <w:rPr>
          <w:rFonts w:ascii="Times New Roman" w:hAnsi="Times New Roman" w:eastAsia="Times New Roman" w:cs="Times New Roman"/>
          <w:b w:val="0"/>
          <w:bCs w:val="0"/>
          <w:i w:val="0"/>
          <w:iCs w:val="0"/>
          <w:color w:val="000000"/>
          <w:sz w:val="22"/>
          <w:szCs w:val="22"/>
        </w:rPr>
        <w:t xml:space="preserve">med the digital data management landscape, with these systems collectively serving billions of users and storing exabytes of data globally. Despite their operational advantages in terms of convenience and availability, these systems are predicated upon uni</w:t>
      </w:r>
      <w:r>
        <w:rPr>
          <w:rFonts w:ascii="Times New Roman" w:hAnsi="Times New Roman" w:eastAsia="Times New Roman" w:cs="Times New Roman"/>
          <w:b w:val="0"/>
          <w:bCs w:val="0"/>
          <w:i w:val="0"/>
          <w:iCs w:val="0"/>
          <w:color w:val="000000"/>
          <w:sz w:val="22"/>
          <w:szCs w:val="22"/>
        </w:rPr>
        <w:t xml:space="preserve">formly centralized architectures in which all user data resides on provider-managed servers, access control is enforced by the provider, and audit logs—if maintained—constitute mutable records situated within the same trust boundary as the data itself [1].</w:t>
      </w:r>
      <w:r/>
    </w:p>
    <w:p>
      <w:pPr>
        <w:pBdr/>
        <w:spacing w:after="80" w:before="0"/>
        <w:ind/>
        <w:rPr/>
      </w:pPr>
      <w:r>
        <w:rPr>
          <w:sz w:val="22"/>
          <w:szCs w:val="22"/>
        </w:rPr>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This centralization engenders a well-documented set of structural vulnerabilities. A single provider outage, misconfiguration, or security breach can result in </w:t>
      </w:r>
      <w:r>
        <w:rPr>
          <w:rFonts w:ascii="Times New Roman" w:hAnsi="Times New Roman" w:eastAsia="Times New Roman" w:cs="Times New Roman"/>
          <w:b w:val="0"/>
          <w:bCs w:val="0"/>
          <w:i w:val="0"/>
          <w:iCs w:val="0"/>
          <w:color w:val="000000"/>
          <w:sz w:val="22"/>
          <w:szCs w:val="22"/>
        </w:rPr>
        <w:t xml:space="preserve">total service disruption or irreversible data loss for millions of dependent users. Provider-level access to plaintext data creates exposure to insider threats, government compulsion orders, and third-party data sharing arrangements that users neither cons</w:t>
      </w:r>
      <w:r>
        <w:rPr>
          <w:rFonts w:ascii="Times New Roman" w:hAnsi="Times New Roman" w:eastAsia="Times New Roman" w:cs="Times New Roman"/>
          <w:b w:val="0"/>
          <w:bCs w:val="0"/>
          <w:i w:val="0"/>
          <w:iCs w:val="0"/>
          <w:color w:val="000000"/>
          <w:sz w:val="22"/>
          <w:szCs w:val="22"/>
        </w:rPr>
        <w:t xml:space="preserve">ent to nor can independently audit. Furthermore, audit mechanisms under centralized control are inherently unverifiable, since the entity maintaining the logs is the same entity whose actions require auditing—a fundamental circular trust dependency [2][3].</w:t>
      </w:r>
      <w:r/>
    </w:p>
    <w:p>
      <w:pPr>
        <w:pBdr/>
        <w:spacing w:after="80" w:before="0"/>
        <w:ind/>
        <w:rPr/>
      </w:pPr>
      <w:r>
        <w:rPr>
          <w:sz w:val="22"/>
          <w:szCs w:val="22"/>
        </w:rPr>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convergence of browser-native cryptograp</w:t>
      </w:r>
      <w:r>
        <w:rPr>
          <w:rFonts w:ascii="Times New Roman" w:hAnsi="Times New Roman" w:eastAsia="Times New Roman" w:cs="Times New Roman"/>
          <w:b w:val="0"/>
          <w:bCs w:val="0"/>
          <w:i w:val="0"/>
          <w:iCs w:val="0"/>
          <w:color w:val="000000"/>
          <w:sz w:val="22"/>
          <w:szCs w:val="22"/>
        </w:rPr>
        <w:t xml:space="preserve">hic APIs (W3C Web Crypto API), distributed systems design, and blockchain-based immutable ledger technologies has rendered practical decentralized storage architectures feasible for production-grade deployment. This paper presents and evaluates a full-stac</w:t>
      </w:r>
      <w:r>
        <w:rPr>
          <w:rFonts w:ascii="Times New Roman" w:hAnsi="Times New Roman" w:eastAsia="Times New Roman" w:cs="Times New Roman"/>
          <w:b w:val="0"/>
          <w:bCs w:val="0"/>
          <w:i w:val="0"/>
          <w:iCs w:val="0"/>
          <w:color w:val="000000"/>
          <w:sz w:val="22"/>
          <w:szCs w:val="22"/>
        </w:rPr>
        <w:t xml:space="preserve">k decentralized cloud storage system designed to eliminate these structural vulnerabilities through the principled application of three core mechanisms: client-side AES-GCM 256-bit encryption ensuring plaintext data never transits any external infrastructu</w:t>
      </w:r>
      <w:r>
        <w:rPr>
          <w:rFonts w:ascii="Times New Roman" w:hAnsi="Times New Roman" w:eastAsia="Times New Roman" w:cs="Times New Roman"/>
          <w:b w:val="0"/>
          <w:bCs w:val="0"/>
          <w:i w:val="0"/>
          <w:iCs w:val="0"/>
          <w:color w:val="000000"/>
          <w:sz w:val="22"/>
          <w:szCs w:val="22"/>
        </w:rPr>
        <w:t xml:space="preserve">re; a custom blockchain service providing cryptographically tamper-evident audit trails independent of provider control; and a distributed provider agent architecture enabling multi-node resilient storage with dynamic node selection and automatic failover.</w:t>
      </w:r>
      <w:r/>
    </w:p>
    <w:p>
      <w:pPr>
        <w:pBdr/>
        <w:spacing w:after="80" w:before="0"/>
        <w:ind/>
        <w:rPr/>
      </w:pPr>
      <w:r>
        <w:rPr>
          <w:sz w:val="22"/>
          <w:szCs w:val="22"/>
        </w:rPr>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remainder of this paper is structured as follows: Section II surveys related work in centralized and</w:t>
      </w:r>
      <w:r>
        <w:rPr>
          <w:rFonts w:ascii="Times New Roman" w:hAnsi="Times New Roman" w:eastAsia="Times New Roman" w:cs="Times New Roman"/>
          <w:b w:val="0"/>
          <w:bCs w:val="0"/>
          <w:i w:val="0"/>
          <w:iCs w:val="0"/>
          <w:color w:val="000000"/>
          <w:sz w:val="22"/>
          <w:szCs w:val="22"/>
        </w:rPr>
        <w:t xml:space="preserve"> decentralized storage systems, blockchain-backed data governance, and end-to-end encryption. Section III formalizes the problem statement and system objectives. Section IV presents the proposed system architecture and security design principles. Section V</w:t>
      </w:r>
      <w:r>
        <w:rPr>
          <w:rFonts w:ascii="Times New Roman" w:hAnsi="Times New Roman" w:eastAsia="Times New Roman" w:cs="Times New Roman"/>
          <w:b w:val="0"/>
          <w:bCs w:val="0"/>
          <w:i w:val="0"/>
          <w:iCs w:val="0"/>
          <w:color w:val="000000"/>
          <w:sz w:val="22"/>
          <w:szCs w:val="22"/>
        </w:rPr>
        <w:t xml:space="preserve"> details the implementation across all subsystems. Section VI reports experimental results, performance benchmarks, and a comparative analysis. Section VII discusses contributions and limitations. Section VIII concludes with directions for future research.</w:t>
      </w:r>
      <w:r/>
    </w:p>
    <w:p>
      <w:pPr>
        <w:pBdr/>
        <w:spacing w:after="100" w:before="0"/>
        <w:ind/>
        <w:rPr/>
      </w:pPr>
      <w:r>
        <w:rPr>
          <w:sz w:val="22"/>
          <w:szCs w:val="22"/>
        </w:rPr>
      </w:r>
      <w:r/>
    </w:p>
    <w:p>
      <w:pPr>
        <w:pBdr/>
        <w:spacing w:after="100" w:before="200"/>
        <w:ind/>
        <w:jc w:val="left"/>
        <w:rPr/>
      </w:pPr>
      <w:r>
        <w:rPr>
          <w:rFonts w:ascii="Times New Roman" w:hAnsi="Times New Roman" w:eastAsia="Times New Roman" w:cs="Times New Roman"/>
          <w:b/>
          <w:bCs/>
          <w:color w:val="000000"/>
          <w:sz w:val="22"/>
          <w:szCs w:val="22"/>
        </w:rPr>
        <w:t xml:space="preserve">II. LITERATURE REVIEW</w:t>
      </w:r>
      <w:r/>
    </w:p>
    <w:p>
      <w:pPr>
        <w:pBdr/>
        <w:spacing w:after="80" w:before="160"/>
        <w:ind/>
        <w:jc w:val="left"/>
        <w:rPr/>
      </w:pPr>
      <w:r>
        <w:rPr>
          <w:rFonts w:ascii="Times New Roman" w:hAnsi="Times New Roman" w:eastAsia="Times New Roman" w:cs="Times New Roman"/>
          <w:b/>
          <w:bCs/>
          <w:i/>
          <w:iCs/>
          <w:color w:val="000000"/>
          <w:sz w:val="22"/>
          <w:szCs w:val="22"/>
        </w:rPr>
        <w:t xml:space="preserve">A. Centralized Cloud Storage: Limitations</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Armbrust et al. [1] provided the foundationa</w:t>
      </w:r>
      <w:r>
        <w:rPr>
          <w:rFonts w:ascii="Times New Roman" w:hAnsi="Times New Roman" w:eastAsia="Times New Roman" w:cs="Times New Roman"/>
          <w:b w:val="0"/>
          <w:bCs w:val="0"/>
          <w:i w:val="0"/>
          <w:iCs w:val="0"/>
          <w:color w:val="000000"/>
          <w:sz w:val="22"/>
          <w:szCs w:val="22"/>
        </w:rPr>
        <w:t xml:space="preserve">l academic survey of cloud computing, identifying data availability, vendor lock-in, and confidentiality as primary structural concerns. Zissis and Lekkas [2] subsequently formalized the security architecture of cloud systems, establishing that concentrati</w:t>
      </w:r>
      <w:r>
        <w:rPr>
          <w:rFonts w:ascii="Times New Roman" w:hAnsi="Times New Roman" w:eastAsia="Times New Roman" w:cs="Times New Roman"/>
          <w:b w:val="0"/>
          <w:bCs w:val="0"/>
          <w:i w:val="0"/>
          <w:iCs w:val="0"/>
          <w:color w:val="000000"/>
          <w:sz w:val="22"/>
          <w:szCs w:val="22"/>
        </w:rPr>
        <w:t xml:space="preserve">on of trust in a single provider creates asymmetric vulnerability for the data owner—a vulnerability made practically manifest by events such as the 2019 Capital One breach via misconfigured AWS S3 infrastructure. Subashini and Kavitha [3] taxonomized clou</w:t>
      </w:r>
      <w:r>
        <w:rPr>
          <w:rFonts w:ascii="Times New Roman" w:hAnsi="Times New Roman" w:eastAsia="Times New Roman" w:cs="Times New Roman"/>
          <w:b w:val="0"/>
          <w:bCs w:val="0"/>
          <w:i w:val="0"/>
          <w:iCs w:val="0"/>
          <w:color w:val="000000"/>
          <w:sz w:val="22"/>
          <w:szCs w:val="22"/>
        </w:rPr>
        <w:t xml:space="preserve">d storage threats across four categories: data breaches, data loss, insecure interfaces, and account hijacking, with a common finding that provider-managed encryption provides only partial protection because the provider retains both data and key material.</w:t>
      </w:r>
      <w:r/>
    </w:p>
    <w:p>
      <w:pPr>
        <w:pBdr/>
        <w:spacing w:after="80" w:before="160"/>
        <w:ind/>
        <w:jc w:val="left"/>
        <w:rPr/>
      </w:pPr>
      <w:r>
        <w:rPr>
          <w:rFonts w:ascii="Times New Roman" w:hAnsi="Times New Roman" w:eastAsia="Times New Roman" w:cs="Times New Roman"/>
          <w:b/>
          <w:bCs/>
          <w:i/>
          <w:iCs/>
          <w:color w:val="000000"/>
          <w:sz w:val="22"/>
          <w:szCs w:val="22"/>
        </w:rPr>
        <w:t xml:space="preserve">B. Blockchain Technology in Storage Auditability</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Nakamoto’s foundational work [</w:t>
      </w:r>
      <w:r>
        <w:rPr>
          <w:rFonts w:ascii="Times New Roman" w:hAnsi="Times New Roman" w:eastAsia="Times New Roman" w:cs="Times New Roman"/>
          <w:b w:val="0"/>
          <w:bCs w:val="0"/>
          <w:i w:val="0"/>
          <w:iCs w:val="0"/>
          <w:color w:val="000000"/>
          <w:sz w:val="22"/>
          <w:szCs w:val="22"/>
        </w:rPr>
        <w:t xml:space="preserve">4] established the cryptographically linked append-only ledger as the basis of the Bitcoin consensus network, demonstrating that immutable transaction histories could be maintained across distributed, trustless networks. Xu et al. [7] proposed employing Et</w:t>
      </w:r>
      <w:r>
        <w:rPr>
          <w:rFonts w:ascii="Times New Roman" w:hAnsi="Times New Roman" w:eastAsia="Times New Roman" w:cs="Times New Roman"/>
          <w:b w:val="0"/>
          <w:bCs w:val="0"/>
          <w:i w:val="0"/>
          <w:iCs w:val="0"/>
          <w:color w:val="000000"/>
          <w:sz w:val="22"/>
          <w:szCs w:val="22"/>
        </w:rPr>
        <w:t xml:space="preserve">hereum smart contracts for storage permission management and access logging, establishing the conceptual basis for blockchain-backed data governance. Azaria et al. demonstrated a hybrid blockchain-cloud approach in the MedRec system for medical record mana</w:t>
      </w:r>
      <w:r>
        <w:rPr>
          <w:rFonts w:ascii="Times New Roman" w:hAnsi="Times New Roman" w:eastAsia="Times New Roman" w:cs="Times New Roman"/>
          <w:b w:val="0"/>
          <w:bCs w:val="0"/>
          <w:i w:val="0"/>
          <w:iCs w:val="0"/>
          <w:color w:val="000000"/>
          <w:sz w:val="22"/>
          <w:szCs w:val="22"/>
        </w:rPr>
        <w:t xml:space="preserve">gement, combining blockchain-maintained metadata with cloud-resident encrypted storage—a model closely related to the architecture proposed in this paper. Existing blockchain-backed storage proposals, however, predominantly rely on external networks (Ether</w:t>
      </w:r>
      <w:r>
        <w:rPr>
          <w:rFonts w:ascii="Times New Roman" w:hAnsi="Times New Roman" w:eastAsia="Times New Roman" w:cs="Times New Roman"/>
          <w:b w:val="0"/>
          <w:bCs w:val="0"/>
          <w:i w:val="0"/>
          <w:iCs w:val="0"/>
          <w:color w:val="000000"/>
          <w:sz w:val="22"/>
          <w:szCs w:val="22"/>
        </w:rPr>
        <w:t xml:space="preserve">eum, Hyperledger Fabric) that introduce deployment complexity, network latency, and external dependency; this work instead implements a self-contained, in-process blockchain service appropriate for academic demonstration and controlled deployment contexts.</w:t>
      </w:r>
      <w:r/>
    </w:p>
    <w:p>
      <w:pPr>
        <w:pBdr/>
        <w:spacing w:after="80" w:before="160"/>
        <w:ind/>
        <w:jc w:val="left"/>
        <w:rPr/>
      </w:pPr>
      <w:r>
        <w:rPr>
          <w:rFonts w:ascii="Times New Roman" w:hAnsi="Times New Roman" w:eastAsia="Times New Roman" w:cs="Times New Roman"/>
          <w:b/>
          <w:bCs/>
          <w:i/>
          <w:iCs/>
          <w:color w:val="000000"/>
          <w:sz w:val="22"/>
          <w:szCs w:val="22"/>
        </w:rPr>
        <w:t xml:space="preserve">C. Distributed File System Approaches</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Google File System [5] and its open-source analogue HDFS established the dominant pattern of chunked data distribution across multiple nodes with centralized metadata management. Ceph [9] introduced CRUSH, a de</w:t>
      </w:r>
      <w:r>
        <w:rPr>
          <w:rFonts w:ascii="Times New Roman" w:hAnsi="Times New Roman" w:eastAsia="Times New Roman" w:cs="Times New Roman"/>
          <w:b w:val="0"/>
          <w:bCs w:val="0"/>
          <w:i w:val="0"/>
          <w:iCs w:val="0"/>
          <w:color w:val="000000"/>
          <w:sz w:val="22"/>
          <w:szCs w:val="22"/>
        </w:rPr>
        <w:t xml:space="preserve">terministic pseudo-random data placement algorithm eliminating centralized metadata lookup bottlenecks. Benet’s IPFS [6] introduced content-addressable storage via cryptographic hashing of data blocks, providing decentralization without inherent access con</w:t>
      </w:r>
      <w:r>
        <w:rPr>
          <w:rFonts w:ascii="Times New Roman" w:hAnsi="Times New Roman" w:eastAsia="Times New Roman" w:cs="Times New Roman"/>
          <w:b w:val="0"/>
          <w:bCs w:val="0"/>
          <w:i w:val="0"/>
          <w:iCs w:val="0"/>
          <w:color w:val="000000"/>
          <w:sz w:val="22"/>
          <w:szCs w:val="22"/>
        </w:rPr>
        <w:t xml:space="preserve">trol or privacy mechanisms. The provider agent model in the proposed system draws architectural inspiration from these distributed systems while simplifying inter-node communication protocols to a level appropriate for a full-stack academic implementation.</w:t>
      </w:r>
      <w:r/>
    </w:p>
    <w:p>
      <w:pPr>
        <w:pBdr/>
        <w:spacing w:after="80" w:before="160"/>
        <w:ind/>
        <w:jc w:val="left"/>
        <w:rPr/>
      </w:pPr>
      <w:r>
        <w:rPr>
          <w:rFonts w:ascii="Times New Roman" w:hAnsi="Times New Roman" w:eastAsia="Times New Roman" w:cs="Times New Roman"/>
          <w:b/>
          <w:bCs/>
          <w:i/>
          <w:iCs/>
          <w:color w:val="000000"/>
          <w:sz w:val="22"/>
          <w:szCs w:val="22"/>
        </w:rPr>
        <w:t xml:space="preserve">D. End-to-End Encryption Techniques</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Advanced Encry</w:t>
      </w:r>
      <w:r>
        <w:rPr>
          <w:rFonts w:ascii="Times New Roman" w:hAnsi="Times New Roman" w:eastAsia="Times New Roman" w:cs="Times New Roman"/>
          <w:b w:val="0"/>
          <w:bCs w:val="0"/>
          <w:i w:val="0"/>
          <w:iCs w:val="0"/>
          <w:color w:val="000000"/>
          <w:sz w:val="22"/>
          <w:szCs w:val="22"/>
        </w:rPr>
        <w:t xml:space="preserve">ption Standard in Galois/Counter Mode (AES-GCM) provides authenticated encryption with associated data (AEAD), combining confidentiality and integrity verification in a single efficient operation—properties particularly suited to file storage encryption wh</w:t>
      </w:r>
      <w:r>
        <w:rPr>
          <w:rFonts w:ascii="Times New Roman" w:hAnsi="Times New Roman" w:eastAsia="Times New Roman" w:cs="Times New Roman"/>
          <w:b w:val="0"/>
          <w:bCs w:val="0"/>
          <w:i w:val="0"/>
          <w:iCs w:val="0"/>
          <w:color w:val="000000"/>
          <w:sz w:val="22"/>
          <w:szCs w:val="22"/>
        </w:rPr>
        <w:t xml:space="preserve">ere both secrecy and tamper detection are required. The W3C Web Crypto API [8], standardized in 2017, provides browser-native access to AES-GCM operations, eliminating the supply-chain risk inherent in third-party JavaScript cryptography libraries. This wo</w:t>
      </w:r>
      <w:r>
        <w:rPr>
          <w:rFonts w:ascii="Times New Roman" w:hAnsi="Times New Roman" w:eastAsia="Times New Roman" w:cs="Times New Roman"/>
          <w:b w:val="0"/>
          <w:bCs w:val="0"/>
          <w:i w:val="0"/>
          <w:iCs w:val="0"/>
          <w:color w:val="000000"/>
          <w:sz w:val="22"/>
          <w:szCs w:val="22"/>
        </w:rPr>
        <w:t xml:space="preserve">rk implements the complete client-side encryption pipeline using the Web Crypto API exclusively, ensuring that all cryptographic operations execute in a sandboxed, standards-conformant environment without exposing key material to any server-side component.</w:t>
      </w:r>
      <w:r/>
    </w:p>
    <w:p>
      <w:pPr>
        <w:pBdr/>
        <w:spacing w:after="80" w:before="160"/>
        <w:ind/>
        <w:jc w:val="left"/>
        <w:rPr/>
      </w:pPr>
      <w:r>
        <w:rPr>
          <w:rFonts w:ascii="Times New Roman" w:hAnsi="Times New Roman" w:eastAsia="Times New Roman" w:cs="Times New Roman"/>
          <w:b/>
          <w:bCs/>
          <w:i/>
          <w:iCs/>
          <w:color w:val="000000"/>
          <w:sz w:val="22"/>
          <w:szCs w:val="22"/>
        </w:rPr>
        <w:t xml:space="preserve">E. Research Gaps</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A systematic review of existing systems and academic proposals reveals three principal gaps addressed by this work. First, most bl</w:t>
      </w:r>
      <w:r>
        <w:rPr>
          <w:rFonts w:ascii="Times New Roman" w:hAnsi="Times New Roman" w:eastAsia="Times New Roman" w:cs="Times New Roman"/>
          <w:b w:val="0"/>
          <w:bCs w:val="0"/>
          <w:i w:val="0"/>
          <w:iCs w:val="0"/>
          <w:color w:val="000000"/>
          <w:sz w:val="22"/>
          <w:szCs w:val="22"/>
        </w:rPr>
        <w:t xml:space="preserve">ockchain-backed storage proposals depend on external blockchain networks, introducing deployment complexity unsuitable for academically demonstrable systems. Second, few end-to-end implementations coherently combine client-side encryption, blockchain audit</w:t>
      </w:r>
      <w:r>
        <w:rPr>
          <w:rFonts w:ascii="Times New Roman" w:hAnsi="Times New Roman" w:eastAsia="Times New Roman" w:cs="Times New Roman"/>
          <w:b w:val="0"/>
          <w:bCs w:val="0"/>
          <w:i w:val="0"/>
          <w:iCs w:val="0"/>
          <w:color w:val="000000"/>
          <w:sz w:val="22"/>
          <w:szCs w:val="22"/>
        </w:rPr>
        <w:t xml:space="preserve">ability, and distributed node management within a single deployable application stack. Third, existing academic prototypes rarely include containerized deployment configurations, constraining reproducibility. This paper explicitly addresses all three gaps.</w:t>
      </w:r>
      <w:r/>
    </w:p>
    <w:p>
      <w:pPr>
        <w:pBdr/>
        <w:spacing w:after="100" w:before="0"/>
        <w:ind/>
        <w:rPr/>
      </w:pPr>
      <w:r>
        <w:rPr>
          <w:sz w:val="22"/>
          <w:szCs w:val="22"/>
        </w:rPr>
      </w:r>
      <w:r/>
    </w:p>
    <w:p>
      <w:pPr>
        <w:pBdr/>
        <w:spacing w:after="100" w:before="200"/>
        <w:ind/>
        <w:jc w:val="left"/>
        <w:rPr/>
      </w:pPr>
      <w:r>
        <w:rPr>
          <w:rFonts w:ascii="Times New Roman" w:hAnsi="Times New Roman" w:eastAsia="Times New Roman" w:cs="Times New Roman"/>
          <w:b/>
          <w:bCs/>
          <w:color w:val="000000"/>
          <w:sz w:val="22"/>
          <w:szCs w:val="22"/>
        </w:rPr>
        <w:t xml:space="preserve">III. PROBLEM STATEMENT AND OBJECTIVES</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Current centralized cloud storage architectures exhibit the following formally identified structural deficiencies:</w:t>
      </w:r>
      <w:r/>
    </w:p>
    <w:p>
      <w:pPr>
        <w:pStyle w:val="909"/>
        <w:numPr>
          <w:ilvl w:val="0"/>
          <w:numId w:val="2"/>
        </w:numPr>
        <w:pBdr/>
        <w:spacing w:after="80" w:before="0" w:line="260" w:lineRule="auto"/>
        <w:ind w:hanging="220" w:left="540"/>
        <w:jc w:val="both"/>
        <w:rPr/>
      </w:pPr>
      <w:r>
        <w:rPr>
          <w:rFonts w:ascii="Times New Roman" w:hAnsi="Times New Roman" w:eastAsia="Times New Roman" w:cs="Times New Roman"/>
          <w:sz w:val="22"/>
          <w:szCs w:val="22"/>
        </w:rPr>
        <w:t xml:space="preserve">Single Point of Failure: Centralized data storage is vulnerable to provider-level failures, outages, and service discontinuation events that affect all dependent users simultaneously.</w:t>
      </w:r>
      <w:r/>
    </w:p>
    <w:p>
      <w:pPr>
        <w:pStyle w:val="909"/>
        <w:numPr>
          <w:ilvl w:val="0"/>
          <w:numId w:val="2"/>
        </w:numPr>
        <w:pBdr/>
        <w:spacing w:after="80" w:before="0" w:line="260" w:lineRule="auto"/>
        <w:ind w:hanging="220" w:left="540"/>
        <w:jc w:val="both"/>
        <w:rPr/>
      </w:pPr>
      <w:r>
        <w:rPr>
          <w:rFonts w:ascii="Times New Roman" w:hAnsi="Times New Roman" w:eastAsia="Times New Roman" w:cs="Times New Roman"/>
          <w:sz w:val="22"/>
          <w:szCs w:val="22"/>
        </w:rPr>
        <w:t xml:space="preserve">Server-Side Encryption Risk: Data encrypted and managed by the provider can be decrypted by the provider, exposing users to insider threats and compelled legal disclosure.</w:t>
      </w:r>
      <w:r/>
    </w:p>
    <w:p>
      <w:pPr>
        <w:pStyle w:val="909"/>
        <w:numPr>
          <w:ilvl w:val="0"/>
          <w:numId w:val="2"/>
        </w:numPr>
        <w:pBdr/>
        <w:spacing w:after="80" w:before="0" w:line="260" w:lineRule="auto"/>
        <w:ind w:hanging="220" w:left="540"/>
        <w:jc w:val="both"/>
        <w:rPr/>
      </w:pPr>
      <w:r>
        <w:rPr>
          <w:rFonts w:ascii="Times New Roman" w:hAnsi="Times New Roman" w:eastAsia="Times New Roman" w:cs="Times New Roman"/>
          <w:sz w:val="22"/>
          <w:szCs w:val="22"/>
        </w:rPr>
        <w:t xml:space="preserve">Mutable Audit Logs: Provider-maintained logs are subject to modification, deletion, or concealment by the controlling entity, fundamentally undermining their evidentiary value.</w:t>
      </w:r>
      <w:r/>
    </w:p>
    <w:p>
      <w:pPr>
        <w:pStyle w:val="909"/>
        <w:numPr>
          <w:ilvl w:val="0"/>
          <w:numId w:val="2"/>
        </w:numPr>
        <w:pBdr/>
        <w:spacing w:after="80" w:before="0" w:line="260" w:lineRule="auto"/>
        <w:ind w:hanging="220" w:left="540"/>
        <w:jc w:val="both"/>
        <w:rPr/>
      </w:pPr>
      <w:r>
        <w:rPr>
          <w:rFonts w:ascii="Times New Roman" w:hAnsi="Times New Roman" w:eastAsia="Times New Roman" w:cs="Times New Roman"/>
          <w:sz w:val="22"/>
          <w:szCs w:val="22"/>
        </w:rPr>
        <w:t xml:space="preserve">Lack of Independent Verifiability: Users possess no mechanism to independently verify that stored data has not been accessed, modified, or deleted without authorization.</w:t>
      </w:r>
      <w:r/>
    </w:p>
    <w:p>
      <w:pPr>
        <w:pStyle w:val="909"/>
        <w:numPr>
          <w:ilvl w:val="0"/>
          <w:numId w:val="2"/>
        </w:numPr>
        <w:pBdr/>
        <w:spacing w:after="80" w:before="0" w:line="260" w:lineRule="auto"/>
        <w:ind w:hanging="220" w:left="540"/>
        <w:jc w:val="both"/>
        <w:rPr/>
      </w:pPr>
      <w:r>
        <w:rPr>
          <w:rFonts w:ascii="Times New Roman" w:hAnsi="Times New Roman" w:eastAsia="Times New Roman" w:cs="Times New Roman"/>
          <w:sz w:val="22"/>
          <w:szCs w:val="22"/>
        </w:rPr>
        <w:t xml:space="preserve">Centralized Access Control: Provider-managed access control policies create a high-value target for privilege escalation attacks and impose vendor-controlled constraints on data sovereignty.</w:t>
      </w:r>
      <w:r/>
    </w:p>
    <w:p>
      <w:pPr>
        <w:pBdr/>
        <w:spacing w:after="80" w:before="0"/>
        <w:ind/>
        <w:rPr/>
      </w:pPr>
      <w:r>
        <w:rPr>
          <w:sz w:val="22"/>
          <w:szCs w:val="22"/>
        </w:rPr>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primary objectives of the proposed system are: (1) to design and implement a full-stack decentralized cloud storage application; (2) to integrate a custom bl</w:t>
      </w:r>
      <w:r>
        <w:rPr>
          <w:rFonts w:ascii="Times New Roman" w:hAnsi="Times New Roman" w:eastAsia="Times New Roman" w:cs="Times New Roman"/>
          <w:b w:val="0"/>
          <w:bCs w:val="0"/>
          <w:i w:val="0"/>
          <w:iCs w:val="0"/>
          <w:color w:val="000000"/>
          <w:sz w:val="22"/>
          <w:szCs w:val="22"/>
        </w:rPr>
        <w:t xml:space="preserve">ockchain service providing immutable, append-only audit trails; (3) to implement client-side AES-GCM 256-bit encryption via the Web Crypto API; (4) to develop JWT-based authentication with RBAC differentiating user and administrative privilege levels; (5) </w:t>
      </w:r>
      <w:r>
        <w:rPr>
          <w:rFonts w:ascii="Times New Roman" w:hAnsi="Times New Roman" w:eastAsia="Times New Roman" w:cs="Times New Roman"/>
          <w:b w:val="0"/>
          <w:bCs w:val="0"/>
          <w:i w:val="0"/>
          <w:iCs w:val="0"/>
          <w:color w:val="000000"/>
          <w:sz w:val="22"/>
          <w:szCs w:val="22"/>
        </w:rPr>
        <w:t xml:space="preserve">to create a provider agent architecture supporting dynamic node registration and failover; (6) to containerize the complete system using Docker and Docker Compose; and (7) to achieve a minimum 95% integration test pass rate across all backend route groups.</w:t>
      </w:r>
      <w:r/>
    </w:p>
    <w:p>
      <w:pPr>
        <w:pBdr/>
        <w:spacing w:after="100" w:before="0"/>
        <w:ind/>
        <w:rPr/>
      </w:pPr>
      <w:r>
        <w:rPr>
          <w:sz w:val="22"/>
          <w:szCs w:val="22"/>
        </w:rPr>
      </w:r>
      <w:r/>
    </w:p>
    <w:p>
      <w:pPr>
        <w:pBdr/>
        <w:spacing w:after="100" w:before="200"/>
        <w:ind/>
        <w:jc w:val="left"/>
        <w:rPr/>
      </w:pPr>
      <w:r>
        <w:rPr>
          <w:rFonts w:ascii="Times New Roman" w:hAnsi="Times New Roman" w:eastAsia="Times New Roman" w:cs="Times New Roman"/>
          <w:b/>
          <w:bCs/>
          <w:color w:val="000000"/>
          <w:sz w:val="22"/>
          <w:szCs w:val="22"/>
        </w:rPr>
        <w:t xml:space="preserve">IV. SYSTEM ARCHITECTURE</w:t>
      </w:r>
      <w:r/>
    </w:p>
    <w:p>
      <w:pPr>
        <w:pBdr/>
        <w:spacing w:after="80" w:before="160"/>
        <w:ind/>
        <w:jc w:val="left"/>
        <w:rPr/>
      </w:pPr>
      <w:r>
        <w:rPr>
          <w:rFonts w:ascii="Times New Roman" w:hAnsi="Times New Roman" w:eastAsia="Times New Roman" w:cs="Times New Roman"/>
          <w:b/>
          <w:bCs/>
          <w:i/>
          <w:iCs/>
          <w:color w:val="000000"/>
          <w:sz w:val="22"/>
          <w:szCs w:val="22"/>
        </w:rPr>
        <w:t xml:space="preserve">A. Architectural Overview</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proposed system is structured as a four-layer architecture. The Client Layer provides the user interface and executes all cryptographic operations within the browser sandbox. T</w:t>
      </w:r>
      <w:r>
        <w:rPr>
          <w:rFonts w:ascii="Times New Roman" w:hAnsi="Times New Roman" w:eastAsia="Times New Roman" w:cs="Times New Roman"/>
          <w:b w:val="0"/>
          <w:bCs w:val="0"/>
          <w:i w:val="0"/>
          <w:iCs w:val="0"/>
          <w:color w:val="000000"/>
          <w:sz w:val="22"/>
          <w:szCs w:val="22"/>
        </w:rPr>
        <w:t xml:space="preserve">he API Gateway Layer handles authentication, request routing, and access control enforcement. The Service Layer contains domain logic including blockchain operations, token accounting, and file routing. The Data and Infrastructure Layer provides persistenc</w:t>
      </w:r>
      <w:r>
        <w:rPr>
          <w:rFonts w:ascii="Times New Roman" w:hAnsi="Times New Roman" w:eastAsia="Times New Roman" w:cs="Times New Roman"/>
          <w:b w:val="0"/>
          <w:bCs w:val="0"/>
          <w:i w:val="0"/>
          <w:iCs w:val="0"/>
          <w:color w:val="000000"/>
          <w:sz w:val="22"/>
          <w:szCs w:val="22"/>
        </w:rPr>
        <w:t xml:space="preserve">e, distributed storage, and containerized deployment orchestration. This layered separation enforces the principle of least privilege across subsystem boundaries and ensures that no single layer possesses both data access and control over audit mechanisms.</w:t>
      </w:r>
      <w:r/>
    </w:p>
    <w:p>
      <w:pPr>
        <w:pBdr/>
        <w:spacing w:after="80" w:before="0"/>
        <w:ind/>
        <w:rPr/>
      </w:pPr>
      <w:r>
        <w:rPr>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c>
          <w:tcPr>
            <w:shd w:val="clear" w:color="auto" w:fill="1f3864"/>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vAlign w:val="center"/>
          </w:tcPr>
          <w:p>
            <w:pPr>
              <w:pBdr/>
              <w:spacing/>
              <w:ind/>
              <w:jc w:val="center"/>
              <w:rPr/>
            </w:pPr>
            <w:r>
              <w:rPr>
                <w:rFonts w:ascii="Times New Roman" w:hAnsi="Times New Roman" w:eastAsia="Times New Roman" w:cs="Times New Roman"/>
                <w:b/>
                <w:bCs/>
                <w:color w:val="ffffff"/>
                <w:sz w:val="20"/>
                <w:szCs w:val="20"/>
              </w:rPr>
              <w:t xml:space="preserve">Layer</w:t>
            </w:r>
            <w:r/>
          </w:p>
        </w:tc>
        <w:tc>
          <w:tcPr>
            <w:shd w:val="clear" w:color="auto" w:fill="1f3864"/>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160" w:type="dxa"/>
          </w:tcPr>
          <w:p>
            <w:pPr>
              <w:pBdr/>
              <w:spacing/>
              <w:ind/>
              <w:jc w:val="center"/>
              <w:rPr/>
            </w:pPr>
            <w:r>
              <w:rPr>
                <w:rFonts w:ascii="Times New Roman" w:hAnsi="Times New Roman" w:eastAsia="Times New Roman" w:cs="Times New Roman"/>
                <w:b/>
                <w:bCs/>
                <w:color w:val="ffffff"/>
                <w:sz w:val="20"/>
                <w:szCs w:val="20"/>
              </w:rPr>
              <w:t xml:space="preserve">Principal Components</w:t>
            </w:r>
            <w:r/>
          </w:p>
        </w:tc>
      </w:tr>
      <w:tr>
        <w:trPr/>
        <w:tc>
          <w:tcPr>
            <w:shd w:val="clear" w:color="auto" w:fill="dce6f1"/>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b/>
                <w:bCs/>
                <w:sz w:val="20"/>
                <w:szCs w:val="20"/>
              </w:rPr>
              <w:t xml:space="preserve">Client Layer</w:t>
            </w:r>
            <w:r/>
          </w:p>
        </w:tc>
        <w:tc>
          <w:tcPr>
            <w:shd w:val="clear" w:color="auto" w:fill="f5f8fc"/>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160" w:type="dxa"/>
          </w:tcPr>
          <w:p>
            <w:pPr>
              <w:pBdr/>
              <w:spacing/>
              <w:ind/>
              <w:rPr/>
            </w:pPr>
            <w:r>
              <w:rPr>
                <w:rFonts w:ascii="Times New Roman" w:hAnsi="Times New Roman" w:eastAsia="Times New Roman" w:cs="Times New Roman"/>
                <w:sz w:val="20"/>
                <w:szCs w:val="20"/>
              </w:rPr>
              <w:t xml:space="preserve">React 18 + Vite 5 SPA; Web Crypto API (AES-GCM 256-bit); React Router v6 with Auth Guards; Dark/Light Theme Context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b/>
                <w:bCs/>
                <w:sz w:val="20"/>
                <w:szCs w:val="20"/>
              </w:rPr>
              <w:t xml:space="preserve">API Gateway Layer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160" w:type="dxa"/>
          </w:tcPr>
          <w:p>
            <w:pPr>
              <w:pBdr/>
              <w:spacing/>
              <w:ind/>
              <w:rPr/>
            </w:pPr>
            <w:r>
              <w:rPr>
                <w:rFonts w:ascii="Times New Roman" w:hAnsi="Times New Roman" w:eastAsia="Times New Roman" w:cs="Times New Roman"/>
                <w:sz w:val="20"/>
                <w:szCs w:val="20"/>
              </w:rPr>
              <w:t xml:space="preserve">Python 3.11 + FastAPI 0.110; OAuth2 + JWT (PyJWT 2.x); bcrypt (passlib); RBAC Middleware; Swagger/OpenAPI 3.0</w:t>
            </w:r>
            <w:r/>
          </w:p>
        </w:tc>
      </w:tr>
      <w:tr>
        <w:trPr/>
        <w:tc>
          <w:tcPr>
            <w:shd w:val="clear" w:color="auto" w:fill="dce6f1"/>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b/>
                <w:bCs/>
                <w:sz w:val="20"/>
                <w:szCs w:val="20"/>
              </w:rPr>
              <w:t xml:space="preserve">Service Layer</w:t>
            </w:r>
            <w:r/>
          </w:p>
        </w:tc>
        <w:tc>
          <w:tcPr>
            <w:shd w:val="clear" w:color="auto" w:fill="f5f8fc"/>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160" w:type="dxa"/>
          </w:tcPr>
          <w:p>
            <w:pPr>
              <w:pBdr/>
              <w:spacing/>
              <w:ind/>
              <w:rPr/>
            </w:pPr>
            <w:r>
              <w:rPr>
                <w:rFonts w:ascii="Times New Roman" w:hAnsi="Times New Roman" w:eastAsia="Times New Roman" w:cs="Times New Roman"/>
                <w:sz w:val="20"/>
                <w:szCs w:val="20"/>
              </w:rPr>
              <w:t xml:space="preserve">Custom Blockchain Service (SHA-256 chaining); Token Accounting Module; File Storage Router; Provider Agent Manager</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b/>
                <w:bCs/>
                <w:sz w:val="20"/>
                <w:szCs w:val="20"/>
              </w:rPr>
              <w:t xml:space="preserve">Infrastructure Layer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160" w:type="dxa"/>
          </w:tcPr>
          <w:p>
            <w:pPr>
              <w:pBdr/>
              <w:spacing/>
              <w:ind/>
              <w:rPr/>
            </w:pPr>
            <w:r>
              <w:rPr>
                <w:rFonts w:ascii="Times New Roman" w:hAnsi="Times New Roman" w:eastAsia="Times New Roman" w:cs="Times New Roman"/>
                <w:sz w:val="20"/>
                <w:szCs w:val="20"/>
              </w:rPr>
              <w:t xml:space="preserve">SQLAlchemy 2.x + Alembic ORM; SQLite (dev) / PostgreSQL (prod); Docker 24.x + Compose v2; Provider Agent REST Processes</w:t>
            </w:r>
            <w:r/>
          </w:p>
        </w:tc>
      </w:tr>
    </w:tbl>
    <w:p>
      <w:pPr>
        <w:pBdr/>
        <w:spacing w:after="120" w:before="60"/>
        <w:ind/>
        <w:jc w:val="center"/>
        <w:rPr/>
      </w:pPr>
      <w:r>
        <w:rPr>
          <w:rFonts w:ascii="Times New Roman" w:hAnsi="Times New Roman" w:eastAsia="Times New Roman" w:cs="Times New Roman"/>
          <w:i/>
          <w:iCs/>
          <w:sz w:val="20"/>
          <w:szCs w:val="20"/>
        </w:rPr>
        <w:t xml:space="preserve">Table I. Four-Layer System Architecture and Principal Components</w:t>
      </w:r>
      <w:r/>
    </w:p>
    <w:p>
      <w:pPr>
        <w:pBdr/>
        <w:spacing w:after="80" w:before="160"/>
        <w:ind/>
        <w:jc w:val="left"/>
        <w:rPr/>
      </w:pPr>
      <w:r>
        <w:rPr>
          <w:rFonts w:ascii="Times New Roman" w:hAnsi="Times New Roman" w:eastAsia="Times New Roman" w:cs="Times New Roman"/>
          <w:b/>
          <w:bCs/>
          <w:i/>
          <w:iCs/>
          <w:color w:val="000000"/>
          <w:sz w:val="22"/>
          <w:szCs w:val="22"/>
        </w:rPr>
        <w:t xml:space="preserve">B. Security Design Principles</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arc</w:t>
      </w:r>
      <w:r>
        <w:rPr>
          <w:rFonts w:ascii="Times New Roman" w:hAnsi="Times New Roman" w:eastAsia="Times New Roman" w:cs="Times New Roman"/>
          <w:b w:val="0"/>
          <w:bCs w:val="0"/>
          <w:i w:val="0"/>
          <w:iCs w:val="0"/>
          <w:color w:val="000000"/>
          <w:sz w:val="22"/>
          <w:szCs w:val="22"/>
        </w:rPr>
        <w:t xml:space="preserve">hitecture is governed by four formal security principles. (1) Zero-Trust Storage Model: Provider nodes are treated as untrusted recipients of encrypted ciphertext; at no point does any storage node receive plaintext data. The confidentiality guarantee is t</w:t>
      </w:r>
      <w:r>
        <w:rPr>
          <w:rFonts w:ascii="Times New Roman" w:hAnsi="Times New Roman" w:eastAsia="Times New Roman" w:cs="Times New Roman"/>
          <w:b w:val="0"/>
          <w:bCs w:val="0"/>
          <w:i w:val="0"/>
          <w:iCs w:val="0"/>
          <w:color w:val="000000"/>
          <w:sz w:val="22"/>
          <w:szCs w:val="22"/>
        </w:rPr>
        <w:t xml:space="preserve">herefore independent of provider node integrity. (2) Stateless Authentication: JWT tokens carry role-aware claims and are cryptographically verified at the API gateway without server-side session state, reducing the attack surface associated with session m</w:t>
      </w:r>
      <w:r>
        <w:rPr>
          <w:rFonts w:ascii="Times New Roman" w:hAnsi="Times New Roman" w:eastAsia="Times New Roman" w:cs="Times New Roman"/>
          <w:b w:val="0"/>
          <w:bCs w:val="0"/>
          <w:i w:val="0"/>
          <w:iCs w:val="0"/>
          <w:color w:val="000000"/>
          <w:sz w:val="22"/>
          <w:szCs w:val="22"/>
        </w:rPr>
        <w:t xml:space="preserve">anagement. (3) Defence in Depth: Authentication, role enforcement, input validation, and audit logging are implemented as independent architectural layers, ensuring that no single layer failure compromises the overall security posture. (4) Immutable Audit:</w:t>
      </w:r>
      <w:r>
        <w:rPr>
          <w:rFonts w:ascii="Times New Roman" w:hAnsi="Times New Roman" w:eastAsia="Times New Roman" w:cs="Times New Roman"/>
          <w:b w:val="0"/>
          <w:bCs w:val="0"/>
          <w:i w:val="0"/>
          <w:iCs w:val="0"/>
          <w:color w:val="000000"/>
          <w:sz w:val="22"/>
          <w:szCs w:val="22"/>
        </w:rPr>
        <w:t xml:space="preserve"> The blockchain layer employs SHA-256 cryptographic chaining such that any retroactive modification to block N renders the hash reference stored in block N+1 computationally invalid, propagating detectable inconsistency through the entire subsequent chain.</w:t>
      </w:r>
      <w:r/>
    </w:p>
    <w:p>
      <w:pPr>
        <w:pBdr/>
        <w:spacing w:after="80" w:before="160"/>
        <w:ind/>
        <w:jc w:val="left"/>
        <w:rPr/>
      </w:pPr>
      <w:r>
        <w:rPr>
          <w:rFonts w:ascii="Times New Roman" w:hAnsi="Times New Roman" w:eastAsia="Times New Roman" w:cs="Times New Roman"/>
          <w:b/>
          <w:bCs/>
          <w:i/>
          <w:iCs/>
          <w:color w:val="000000"/>
          <w:sz w:val="22"/>
          <w:szCs w:val="22"/>
        </w:rPr>
        <w:t xml:space="preserve">C. Secure File Upload Data Flow</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secure file upload workflow constitutes the system’s most compl</w:t>
      </w:r>
      <w:r>
        <w:rPr>
          <w:rFonts w:ascii="Times New Roman" w:hAnsi="Times New Roman" w:eastAsia="Times New Roman" w:cs="Times New Roman"/>
          <w:b w:val="0"/>
          <w:bCs w:val="0"/>
          <w:i w:val="0"/>
          <w:iCs w:val="0"/>
          <w:color w:val="000000"/>
          <w:sz w:val="22"/>
          <w:szCs w:val="22"/>
        </w:rPr>
        <w:t xml:space="preserve">ex interaction sequence. Upon user file selection, the React frontend invokes the Web Crypto API to generate a random 256-bit AES-GCM key and a 96-bit initialization vector (IV) unique to each upload operation. The file content is read as an ArrayBuffer an</w:t>
      </w:r>
      <w:r>
        <w:rPr>
          <w:rFonts w:ascii="Times New Roman" w:hAnsi="Times New Roman" w:eastAsia="Times New Roman" w:cs="Times New Roman"/>
          <w:b w:val="0"/>
          <w:bCs w:val="0"/>
          <w:i w:val="0"/>
          <w:iCs w:val="0"/>
          <w:color w:val="000000"/>
          <w:sz w:val="22"/>
          <w:szCs w:val="22"/>
        </w:rPr>
        <w:t xml:space="preserve">d encrypted in-browser, producing a ciphertext payload packaged with the IV. The encrypted blob is transmitted via an authenticated POST request to the /api/files/upload endpoint, where the JWT middleware validates the bearer token and enforces role author</w:t>
      </w:r>
      <w:r>
        <w:rPr>
          <w:rFonts w:ascii="Times New Roman" w:hAnsi="Times New Roman" w:eastAsia="Times New Roman" w:cs="Times New Roman"/>
          <w:b w:val="0"/>
          <w:bCs w:val="0"/>
          <w:i w:val="0"/>
          <w:iCs w:val="0"/>
          <w:color w:val="000000"/>
          <w:sz w:val="22"/>
          <w:szCs w:val="22"/>
        </w:rPr>
        <w:t xml:space="preserve">ization. The storage router selects an available provider agent via a weighted least-connections algorithm, forwards the ciphertext, and upon successful storage acknowledgment, records an immutable blockchain transaction containing the operation timestamp,</w:t>
      </w:r>
      <w:r>
        <w:rPr>
          <w:rFonts w:ascii="Times New Roman" w:hAnsi="Times New Roman" w:eastAsia="Times New Roman" w:cs="Times New Roman"/>
          <w:b w:val="0"/>
          <w:bCs w:val="0"/>
          <w:i w:val="0"/>
          <w:iCs w:val="0"/>
          <w:color w:val="000000"/>
          <w:sz w:val="22"/>
          <w:szCs w:val="22"/>
        </w:rPr>
        <w:t xml:space="preserve"> actor identity, file reference identifier, and the SHA-256 hash of the preceding block. A structured JSON response is returned to the client confirming encryption status, assigned provider node identifier, blockchain transaction hash, and token deduction.</w:t>
      </w:r>
      <w:r/>
    </w:p>
    <w:p>
      <w:pPr>
        <w:pBdr/>
        <w:spacing w:after="100" w:before="0"/>
        <w:ind/>
        <w:rPr/>
      </w:pPr>
      <w:r>
        <w:rPr>
          <w:sz w:val="22"/>
          <w:szCs w:val="22"/>
        </w:rPr>
      </w:r>
      <w:r/>
    </w:p>
    <w:p>
      <w:pPr>
        <w:pBdr/>
        <w:spacing w:after="100" w:before="200"/>
        <w:ind/>
        <w:jc w:val="left"/>
        <w:rPr/>
      </w:pPr>
      <w:r>
        <w:rPr>
          <w:rFonts w:ascii="Times New Roman" w:hAnsi="Times New Roman" w:eastAsia="Times New Roman" w:cs="Times New Roman"/>
          <w:b/>
          <w:bCs/>
          <w:color w:val="000000"/>
          <w:sz w:val="22"/>
          <w:szCs w:val="22"/>
        </w:rPr>
        <w:t xml:space="preserve">V. IMPLEMENTATION</w:t>
      </w:r>
      <w:r/>
    </w:p>
    <w:p>
      <w:pPr>
        <w:pBdr/>
        <w:spacing w:after="80" w:before="160"/>
        <w:ind/>
        <w:jc w:val="left"/>
        <w:rPr/>
      </w:pPr>
      <w:r>
        <w:rPr>
          <w:rFonts w:ascii="Times New Roman" w:hAnsi="Times New Roman" w:eastAsia="Times New Roman" w:cs="Times New Roman"/>
          <w:b/>
          <w:bCs/>
          <w:i/>
          <w:iCs/>
          <w:color w:val="000000"/>
          <w:sz w:val="22"/>
          <w:szCs w:val="22"/>
        </w:rPr>
        <w:t xml:space="preserve">A. Backend Development (FastAPI)</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backend is implemented using Python 3.11 and FastAPI 0.110, selected for its native asynchronous I/O support via ASGI, automatic OpenA</w:t>
      </w:r>
      <w:r>
        <w:rPr>
          <w:rFonts w:ascii="Times New Roman" w:hAnsi="Times New Roman" w:eastAsia="Times New Roman" w:cs="Times New Roman"/>
          <w:b w:val="0"/>
          <w:bCs w:val="0"/>
          <w:i w:val="0"/>
          <w:iCs w:val="0"/>
          <w:color w:val="000000"/>
          <w:sz w:val="22"/>
          <w:szCs w:val="22"/>
        </w:rPr>
        <w:t xml:space="preserve">PI documentation generation, and Pydantic-based request validation. The application entry point bootstraps the router tree, configures Cross-Origin Resource Sharing (CORS) policy, and establishes the database connection pool via SQLAlchemy 2.x. Authenticat</w:t>
      </w:r>
      <w:r>
        <w:rPr>
          <w:rFonts w:ascii="Times New Roman" w:hAnsi="Times New Roman" w:eastAsia="Times New Roman" w:cs="Times New Roman"/>
          <w:b w:val="0"/>
          <w:bCs w:val="0"/>
          <w:i w:val="0"/>
          <w:iCs w:val="0"/>
          <w:color w:val="000000"/>
          <w:sz w:val="22"/>
          <w:szCs w:val="22"/>
        </w:rPr>
        <w:t xml:space="preserve">ion employs the OAuth2PasswordBearer flow with JWT access tokens; bcrypt (via passlib) provides adaptive cost factor password hashing configured at work factor 12, yielding a measured login latency of 42 ms—sufficient for security while maintaining usabili</w:t>
      </w:r>
      <w:r>
        <w:rPr>
          <w:rFonts w:ascii="Times New Roman" w:hAnsi="Times New Roman" w:eastAsia="Times New Roman" w:cs="Times New Roman"/>
          <w:b w:val="0"/>
          <w:bCs w:val="0"/>
          <w:i w:val="0"/>
          <w:iCs w:val="0"/>
          <w:color w:val="000000"/>
          <w:sz w:val="22"/>
          <w:szCs w:val="22"/>
        </w:rPr>
        <w:t xml:space="preserve">ty. Role-based access control is implemented as a reusable FastAPI dependency injected at the router level, enforcing admin or user privilege requirements through role-aware JWT claims. The following listing illustrates the core JWT token generation logic:</w:t>
      </w:r>
      <w:r/>
    </w:p>
    <w:p>
      <w:pPr>
        <w:pBdr/>
        <w:spacing w:after="60" w:before="0"/>
        <w:ind/>
        <w:rPr/>
      </w:pPr>
      <w:r>
        <w:rPr>
          <w:sz w:val="22"/>
          <w:szCs w:val="22"/>
        </w:rPr>
      </w:r>
      <w:r/>
    </w:p>
    <w:p>
      <w:pPr>
        <w:pBdr/>
        <w:shd w:val="clear" w:color="auto" w:fill="f2f2f2"/>
        <w:spacing w:after="60" w:before="60"/>
        <w:ind w:left="540"/>
        <w:jc w:val="left"/>
        <w:rPr/>
      </w:pPr>
      <w:r>
        <w:rPr>
          <w:rFonts w:ascii="Courier New" w:hAnsi="Courier New" w:eastAsia="Courier New" w:cs="Courier New"/>
          <w:sz w:val="20"/>
          <w:szCs w:val="20"/>
        </w:rPr>
        <w:t xml:space="preserve">def create_access_token(data: dict, expires_delta: timedelta) -&gt; str:</w:t>
      </w:r>
      <w:r>
        <w:rPr>
          <w:rFonts w:ascii="Courier New" w:hAnsi="Courier New" w:eastAsia="Courier New" w:cs="Courier New"/>
          <w:sz w:val="20"/>
          <w:szCs w:val="20"/>
        </w:rPr>
        <w:br/>
        <w:t xml:space="preserve">
    to_encode = data.copy()</w:t>
      </w:r>
      <w:r>
        <w:rPr>
          <w:rFonts w:ascii="Courier New" w:hAnsi="Courier New" w:eastAsia="Courier New" w:cs="Courier New"/>
          <w:sz w:val="20"/>
          <w:szCs w:val="20"/>
        </w:rPr>
        <w:br/>
        <w:t xml:space="preserve">
    expire = datetime.utcnow() + expires_delta</w:t>
      </w:r>
      <w:r>
        <w:rPr>
          <w:rFonts w:ascii="Courier New" w:hAnsi="Courier New" w:eastAsia="Courier New" w:cs="Courier New"/>
          <w:sz w:val="20"/>
          <w:szCs w:val="20"/>
        </w:rPr>
        <w:br/>
        <w:t xml:space="preserve">
    to_encode.update({'exp': expire, 'role': data['role']})</w:t>
      </w:r>
      <w:r>
        <w:rPr>
          <w:rFonts w:ascii="Courier New" w:hAnsi="Courier New" w:eastAsia="Courier New" w:cs="Courier New"/>
          <w:sz w:val="20"/>
          <w:szCs w:val="20"/>
        </w:rPr>
        <w:br/>
        <w:t xml:space="preserve">
    return jwt.encode(to_encode, SECRET_KEY, algorithm=ALGORITHM)</w:t>
      </w:r>
      <w:r/>
    </w:p>
    <w:p>
      <w:pPr>
        <w:pBdr/>
        <w:spacing w:after="120" w:before="40"/>
        <w:ind/>
        <w:jc w:val="center"/>
        <w:rPr/>
      </w:pPr>
      <w:r>
        <w:rPr>
          <w:rFonts w:ascii="Times New Roman" w:hAnsi="Times New Roman" w:eastAsia="Times New Roman" w:cs="Times New Roman"/>
          <w:i/>
          <w:iCs/>
          <w:sz w:val="20"/>
          <w:szCs w:val="20"/>
        </w:rPr>
        <w:t xml:space="preserve">Listing 1. JWT Access Token Generation with Role-Aware Claims (auth/security.py)</w:t>
      </w:r>
      <w:r/>
    </w:p>
    <w:p>
      <w:pPr>
        <w:pBdr/>
        <w:spacing w:after="80" w:before="160"/>
        <w:ind/>
        <w:jc w:val="left"/>
        <w:rPr/>
      </w:pPr>
      <w:r>
        <w:rPr>
          <w:rFonts w:ascii="Times New Roman" w:hAnsi="Times New Roman" w:eastAsia="Times New Roman" w:cs="Times New Roman"/>
          <w:b/>
          <w:bCs/>
          <w:i/>
          <w:iCs/>
          <w:color w:val="000000"/>
          <w:sz w:val="22"/>
          <w:szCs w:val="22"/>
        </w:rPr>
        <w:t xml:space="preserve">B. Blockchain and Token Service</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blockchain service implements a lightweight, in-process append-only linked list of transaction blocks. E</w:t>
      </w:r>
      <w:r>
        <w:rPr>
          <w:rFonts w:ascii="Times New Roman" w:hAnsi="Times New Roman" w:eastAsia="Times New Roman" w:cs="Times New Roman"/>
          <w:b w:val="0"/>
          <w:bCs w:val="0"/>
          <w:i w:val="0"/>
          <w:iCs w:val="0"/>
          <w:color w:val="000000"/>
          <w:sz w:val="22"/>
          <w:szCs w:val="22"/>
        </w:rPr>
        <w:t xml:space="preserve">ach block contains: a monotonically increasing block index; an ISO 8601 UTC timestamp; an operation type identifier (UPLOAD, DELETE, ADMIN, TOKEN_MINT); the authenticated actor identity; a file or entity reference; and the SHA-256 hash of the serialized pr</w:t>
      </w:r>
      <w:r>
        <w:rPr>
          <w:rFonts w:ascii="Times New Roman" w:hAnsi="Times New Roman" w:eastAsia="Times New Roman" w:cs="Times New Roman"/>
          <w:b w:val="0"/>
          <w:bCs w:val="0"/>
          <w:i w:val="0"/>
          <w:iCs w:val="0"/>
          <w:color w:val="000000"/>
          <w:sz w:val="22"/>
          <w:szCs w:val="22"/>
        </w:rPr>
        <w:t xml:space="preserve">eceding block, computed as: H(n) = SHA-256(index_n-1 ‖ timestamp_n-1 ‖ op_n-1 ‖ actor_n-1 ‖ ref_n-1 ‖ H(n-1)). The genesis block is initialized at service startup with a predefined root hash constant. This chaining ensures that any retroactive modification</w:t>
      </w:r>
      <w:r>
        <w:rPr>
          <w:rFonts w:ascii="Times New Roman" w:hAnsi="Times New Roman" w:eastAsia="Times New Roman" w:cs="Times New Roman"/>
          <w:b w:val="0"/>
          <w:bCs w:val="0"/>
          <w:i w:val="0"/>
          <w:iCs w:val="0"/>
          <w:color w:val="000000"/>
          <w:sz w:val="22"/>
          <w:szCs w:val="22"/>
        </w:rPr>
        <w:t xml:space="preserve"> to block n invalidates H(n), propagating detectable inconsistency through all subsequent blocks—achieving tamper-evidence without distributed consensus. The average blockchain entry time of 8 ms confirms negligible overhead in the overall upload pipeline.</w:t>
      </w:r>
      <w:r/>
    </w:p>
    <w:p>
      <w:pPr>
        <w:pBdr/>
        <w:spacing w:after="80" w:before="0"/>
        <w:ind/>
        <w:rPr/>
      </w:pPr>
      <w:r>
        <w:rPr>
          <w:sz w:val="22"/>
          <w:szCs w:val="22"/>
        </w:rPr>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token accounting module assigns an initial credit balance to each regist</w:t>
      </w:r>
      <w:r>
        <w:rPr>
          <w:rFonts w:ascii="Times New Roman" w:hAnsi="Times New Roman" w:eastAsia="Times New Roman" w:cs="Times New Roman"/>
          <w:b w:val="0"/>
          <w:bCs w:val="0"/>
          <w:i w:val="0"/>
          <w:iCs w:val="0"/>
          <w:color w:val="000000"/>
          <w:sz w:val="22"/>
          <w:szCs w:val="22"/>
        </w:rPr>
        <w:t xml:space="preserve">ered user, with deductions occurring on each successful file upload at a configurable rate. Token minting is an admin-privileged operation. All token operations are recorded as blockchain transactions, providing a complete immutable accounting audit trail.</w:t>
      </w:r>
      <w:r/>
    </w:p>
    <w:p>
      <w:pPr>
        <w:pBdr/>
        <w:spacing w:after="80" w:before="160"/>
        <w:ind/>
        <w:jc w:val="left"/>
        <w:rPr/>
      </w:pPr>
      <w:r>
        <w:rPr>
          <w:rFonts w:ascii="Times New Roman" w:hAnsi="Times New Roman" w:eastAsia="Times New Roman" w:cs="Times New Roman"/>
          <w:b/>
          <w:bCs/>
          <w:i/>
          <w:iCs/>
          <w:color w:val="000000"/>
          <w:sz w:val="22"/>
          <w:szCs w:val="22"/>
        </w:rPr>
        <w:t xml:space="preserve">C. Frontend Development and Client-Side Encryption</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frontend is constructed using React 18 and Vite 5, with React Router DOM v6 providing client-side routing and route guard components enforcing authentic</w:t>
      </w:r>
      <w:r>
        <w:rPr>
          <w:rFonts w:ascii="Times New Roman" w:hAnsi="Times New Roman" w:eastAsia="Times New Roman" w:cs="Times New Roman"/>
          <w:b w:val="0"/>
          <w:bCs w:val="0"/>
          <w:i w:val="0"/>
          <w:iCs w:val="0"/>
          <w:color w:val="000000"/>
          <w:sz w:val="22"/>
          <w:szCs w:val="22"/>
        </w:rPr>
        <w:t xml:space="preserve">ation and role requirements at navigation boundaries. Authentication state is managed through a React Context provider, persisting JWT tokens in localStorage with automatic session restoration on page load. The client-side encryption pipeline generates a r</w:t>
      </w:r>
      <w:r>
        <w:rPr>
          <w:rFonts w:ascii="Times New Roman" w:hAnsi="Times New Roman" w:eastAsia="Times New Roman" w:cs="Times New Roman"/>
          <w:b w:val="0"/>
          <w:bCs w:val="0"/>
          <w:i w:val="0"/>
          <w:iCs w:val="0"/>
          <w:color w:val="000000"/>
          <w:sz w:val="22"/>
          <w:szCs w:val="22"/>
        </w:rPr>
        <w:t xml:space="preserve">andom 256-bit AES-GCM key and a 96-bit IV per upload via window.crypto.subtle.generateKey and window.crypto.subtle.encrypt respectively. The plaintext ArrayBuffer is encrypted entirely within the browser before any network transmission, and the resulting c</w:t>
      </w:r>
      <w:r>
        <w:rPr>
          <w:rFonts w:ascii="Times New Roman" w:hAnsi="Times New Roman" w:eastAsia="Times New Roman" w:cs="Times New Roman"/>
          <w:b w:val="0"/>
          <w:bCs w:val="0"/>
          <w:i w:val="0"/>
          <w:iCs w:val="0"/>
          <w:color w:val="000000"/>
          <w:sz w:val="22"/>
          <w:szCs w:val="22"/>
        </w:rPr>
        <w:t xml:space="preserve">iphertext blob is packaged with the IV for backend transmission. Decryption is performed symmetrically on file retrieval, with the encryption key stored under a session-derived wrapping key ensuring that decryption requires an authenticated active session.</w:t>
      </w:r>
      <w:r/>
    </w:p>
    <w:p>
      <w:pPr>
        <w:pBdr/>
        <w:spacing w:after="80" w:before="160"/>
        <w:ind/>
        <w:jc w:val="left"/>
        <w:rPr/>
      </w:pPr>
      <w:r>
        <w:rPr>
          <w:rFonts w:ascii="Times New Roman" w:hAnsi="Times New Roman" w:eastAsia="Times New Roman" w:cs="Times New Roman"/>
          <w:b/>
          <w:bCs/>
          <w:i/>
          <w:iCs/>
          <w:color w:val="000000"/>
          <w:sz w:val="22"/>
          <w:szCs w:val="22"/>
        </w:rPr>
        <w:t xml:space="preserve">D. Provider Agent Architecture</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Provider agents are independent Python subprocess instances that register their availability with the central storage routing service upon startup, exposing a minimal REST API for file s</w:t>
      </w:r>
      <w:r>
        <w:rPr>
          <w:rFonts w:ascii="Times New Roman" w:hAnsi="Times New Roman" w:eastAsia="Times New Roman" w:cs="Times New Roman"/>
          <w:b w:val="0"/>
          <w:bCs w:val="0"/>
          <w:i w:val="0"/>
          <w:iCs w:val="0"/>
          <w:color w:val="000000"/>
          <w:sz w:val="22"/>
          <w:szCs w:val="22"/>
        </w:rPr>
        <w:t xml:space="preserve">torage and retrieval requests. The central router maintains a registry of active agents with last-known heartbeat timestamp, capacity metrics, and endpoint address. Routing decisions employ a weighted least-connections algorithm, selecting the agent with t</w:t>
      </w:r>
      <w:r>
        <w:rPr>
          <w:rFonts w:ascii="Times New Roman" w:hAnsi="Times New Roman" w:eastAsia="Times New Roman" w:cs="Times New Roman"/>
          <w:b w:val="0"/>
          <w:bCs w:val="0"/>
          <w:i w:val="0"/>
          <w:iCs w:val="0"/>
          <w:color w:val="000000"/>
          <w:sz w:val="22"/>
          <w:szCs w:val="22"/>
        </w:rPr>
        <w:t xml:space="preserve">he lowest normalized load ratio. Agents failing to emit a heartbeat within the configured polling interval are flagged unavailable, and in-flight requests are retried against alternative agents—providing automatic failover transparency to the client layer.</w:t>
      </w:r>
      <w:r/>
    </w:p>
    <w:p>
      <w:pPr>
        <w:pBdr/>
        <w:spacing w:after="80" w:before="160"/>
        <w:ind/>
        <w:jc w:val="left"/>
        <w:rPr/>
      </w:pPr>
      <w:r>
        <w:rPr>
          <w:rFonts w:ascii="Times New Roman" w:hAnsi="Times New Roman" w:eastAsia="Times New Roman" w:cs="Times New Roman"/>
          <w:b/>
          <w:bCs/>
          <w:i/>
          <w:iCs/>
          <w:color w:val="000000"/>
          <w:sz w:val="22"/>
          <w:szCs w:val="22"/>
        </w:rPr>
        <w:t xml:space="preserve">E. Containerized Deployment</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complete system is containerized using Docker 24.x with a Docker Compose v2 orchestration file defining four services: the FastAPI backend, the React fr</w:t>
      </w:r>
      <w:r>
        <w:rPr>
          <w:rFonts w:ascii="Times New Roman" w:hAnsi="Times New Roman" w:eastAsia="Times New Roman" w:cs="Times New Roman"/>
          <w:b w:val="0"/>
          <w:bCs w:val="0"/>
          <w:i w:val="0"/>
          <w:iCs w:val="0"/>
          <w:color w:val="000000"/>
          <w:sz w:val="22"/>
          <w:szCs w:val="22"/>
        </w:rPr>
        <w:t xml:space="preserve">ontend (served via production Nginx), a PostgreSQL database (production mode), and a provider agent instance. Health-check-based dependency ordering ensures that the API service does not initialize until the database reports healthy, eliminating the race-c</w:t>
      </w:r>
      <w:r>
        <w:rPr>
          <w:rFonts w:ascii="Times New Roman" w:hAnsi="Times New Roman" w:eastAsia="Times New Roman" w:cs="Times New Roman"/>
          <w:b w:val="0"/>
          <w:bCs w:val="0"/>
          <w:i w:val="0"/>
          <w:iCs w:val="0"/>
          <w:color w:val="000000"/>
          <w:sz w:val="22"/>
          <w:szCs w:val="22"/>
        </w:rPr>
        <w:t xml:space="preserve">ondition startup failures identified during integration testing. Sensitive configuration values (JWT secrets, database credentials) are injected exclusively via .env files excluded from version control, conforming to the principle of environment isolation.</w:t>
      </w:r>
      <w:r/>
    </w:p>
    <w:p>
      <w:pPr>
        <w:pBdr/>
        <w:spacing w:after="100" w:before="0"/>
        <w:ind/>
        <w:rPr/>
      </w:pPr>
      <w:r>
        <w:rPr>
          <w:sz w:val="22"/>
          <w:szCs w:val="22"/>
        </w:rPr>
      </w:r>
      <w:r/>
    </w:p>
    <w:p>
      <w:pPr>
        <w:pBdr/>
        <w:spacing w:after="100" w:before="200"/>
        <w:ind/>
        <w:jc w:val="left"/>
        <w:rPr/>
      </w:pPr>
      <w:r>
        <w:rPr>
          <w:rFonts w:ascii="Times New Roman" w:hAnsi="Times New Roman" w:eastAsia="Times New Roman" w:cs="Times New Roman"/>
          <w:b/>
          <w:bCs/>
          <w:color w:val="000000"/>
          <w:sz w:val="22"/>
          <w:szCs w:val="22"/>
        </w:rPr>
        <w:t xml:space="preserve">VI. RESULTS AND EVALUATION</w:t>
      </w:r>
      <w:r/>
    </w:p>
    <w:p>
      <w:pPr>
        <w:pBdr/>
        <w:spacing w:after="80" w:before="160"/>
        <w:ind/>
        <w:jc w:val="left"/>
        <w:rPr/>
      </w:pPr>
      <w:r>
        <w:rPr>
          <w:rFonts w:ascii="Times New Roman" w:hAnsi="Times New Roman" w:eastAsia="Times New Roman" w:cs="Times New Roman"/>
          <w:b/>
          <w:bCs/>
          <w:i/>
          <w:iCs/>
          <w:color w:val="000000"/>
          <w:sz w:val="22"/>
          <w:szCs w:val="22"/>
        </w:rPr>
        <w:t xml:space="preserve">A. Integration Testing</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Systematic integration testing was performed across all backend route groups using Pytest 7.x. Th</w:t>
      </w:r>
      <w:r>
        <w:rPr>
          <w:rFonts w:ascii="Times New Roman" w:hAnsi="Times New Roman" w:eastAsia="Times New Roman" w:cs="Times New Roman"/>
          <w:b w:val="0"/>
          <w:bCs w:val="0"/>
          <w:i w:val="0"/>
          <w:iCs w:val="0"/>
          <w:color w:val="000000"/>
          <w:sz w:val="22"/>
          <w:szCs w:val="22"/>
        </w:rPr>
        <w:t xml:space="preserve">e test suite comprised 100 test cases covering authentication flows, file operations, blockchain interactions, token accounting, provider agent communication, admin governance routes, and end-to-end encryption validation. Results are presented in Table II.</w:t>
      </w:r>
      <w:r/>
    </w:p>
    <w:p>
      <w:pPr>
        <w:pBdr/>
        <w:spacing w:after="80" w:before="0"/>
        <w:ind/>
        <w:rPr/>
      </w:pPr>
      <w:r>
        <w:rPr>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1540"/>
        <w:gridCol w:w="1540"/>
        <w:gridCol w:w="1540"/>
        <w:gridCol w:w="1540"/>
      </w:tblGrid>
      <w:tr>
        <w:trPr/>
        <w:tc>
          <w:tcPr>
            <w:shd w:val="clear" w:color="auto" w:fill="1f3864"/>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200" w:type="dxa"/>
          </w:tcPr>
          <w:p>
            <w:pPr>
              <w:pBdr/>
              <w:spacing/>
              <w:ind/>
              <w:jc w:val="center"/>
              <w:rPr/>
            </w:pPr>
            <w:r>
              <w:rPr>
                <w:rFonts w:ascii="Times New Roman" w:hAnsi="Times New Roman" w:eastAsia="Times New Roman" w:cs="Times New Roman"/>
                <w:b/>
                <w:bCs/>
                <w:color w:val="ffffff"/>
                <w:sz w:val="20"/>
                <w:szCs w:val="20"/>
              </w:rPr>
              <w:t xml:space="preserve">Test Module</w:t>
            </w:r>
            <w:r/>
          </w:p>
        </w:tc>
        <w:tc>
          <w:tcPr>
            <w:shd w:val="clear" w:color="auto" w:fill="1f3864"/>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bCs/>
                <w:color w:val="ffffff"/>
                <w:sz w:val="20"/>
                <w:szCs w:val="20"/>
              </w:rPr>
              <w:t xml:space="preserve">Cases</w:t>
            </w:r>
            <w:r/>
          </w:p>
        </w:tc>
        <w:tc>
          <w:tcPr>
            <w:shd w:val="clear" w:color="auto" w:fill="1f3864"/>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bCs/>
                <w:color w:val="ffffff"/>
                <w:sz w:val="20"/>
                <w:szCs w:val="20"/>
              </w:rPr>
              <w:t xml:space="preserve">Passed</w:t>
            </w:r>
            <w:r/>
          </w:p>
        </w:tc>
        <w:tc>
          <w:tcPr>
            <w:shd w:val="clear" w:color="auto" w:fill="1f3864"/>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bCs/>
                <w:color w:val="ffffff"/>
                <w:sz w:val="20"/>
                <w:szCs w:val="20"/>
              </w:rPr>
              <w:t xml:space="preserve">Failed</w:t>
            </w:r>
            <w:r/>
          </w:p>
        </w:tc>
        <w:tc>
          <w:tcPr>
            <w:shd w:val="clear" w:color="auto" w:fill="1f3864"/>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bCs/>
                <w:color w:val="ffffff"/>
                <w:sz w:val="20"/>
                <w:szCs w:val="20"/>
              </w:rPr>
              <w:t xml:space="preserve">Pass Rate</w:t>
            </w:r>
            <w:r/>
          </w:p>
        </w:tc>
      </w:tr>
      <w:tr>
        <w:trPr/>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200" w:type="dxa"/>
          </w:tcPr>
          <w:p>
            <w:pPr>
              <w:pBdr/>
              <w:spacing/>
              <w:ind/>
              <w:jc w:val="center"/>
              <w:rPr/>
            </w:pPr>
            <w:r>
              <w:rPr>
                <w:rFonts w:ascii="Times New Roman" w:hAnsi="Times New Roman" w:eastAsia="Times New Roman" w:cs="Times New Roman"/>
                <w:b w:val="0"/>
                <w:bCs w:val="0"/>
                <w:sz w:val="20"/>
                <w:szCs w:val="20"/>
              </w:rPr>
              <w:t xml:space="preserve">Authentication API</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18</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18</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0</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200" w:type="dxa"/>
          </w:tcPr>
          <w:p>
            <w:pPr>
              <w:pBdr/>
              <w:spacing/>
              <w:ind/>
              <w:jc w:val="center"/>
              <w:rPr/>
            </w:pPr>
            <w:r>
              <w:rPr>
                <w:rFonts w:ascii="Times New Roman" w:hAnsi="Times New Roman" w:eastAsia="Times New Roman" w:cs="Times New Roman"/>
                <w:b w:val="0"/>
                <w:bCs w:val="0"/>
                <w:sz w:val="20"/>
                <w:szCs w:val="20"/>
              </w:rPr>
              <w:t xml:space="preserve">File Upload / Retrieve</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22</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21</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95.5%</w:t>
            </w:r>
            <w:r/>
          </w:p>
        </w:tc>
      </w:tr>
      <w:tr>
        <w:trPr/>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200" w:type="dxa"/>
          </w:tcPr>
          <w:p>
            <w:pPr>
              <w:pBdr/>
              <w:spacing/>
              <w:ind/>
              <w:jc w:val="center"/>
              <w:rPr/>
            </w:pPr>
            <w:r>
              <w:rPr>
                <w:rFonts w:ascii="Times New Roman" w:hAnsi="Times New Roman" w:eastAsia="Times New Roman" w:cs="Times New Roman"/>
                <w:b w:val="0"/>
                <w:bCs w:val="0"/>
                <w:sz w:val="20"/>
                <w:szCs w:val="20"/>
              </w:rPr>
              <w:t xml:space="preserve">Blockchain Service</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14</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14</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0</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200" w:type="dxa"/>
          </w:tcPr>
          <w:p>
            <w:pPr>
              <w:pBdr/>
              <w:spacing/>
              <w:ind/>
              <w:jc w:val="center"/>
              <w:rPr/>
            </w:pPr>
            <w:r>
              <w:rPr>
                <w:rFonts w:ascii="Times New Roman" w:hAnsi="Times New Roman" w:eastAsia="Times New Roman" w:cs="Times New Roman"/>
                <w:b w:val="0"/>
                <w:bCs w:val="0"/>
                <w:sz w:val="20"/>
                <w:szCs w:val="20"/>
              </w:rPr>
              <w:t xml:space="preserve">Token Accounting</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10</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10</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0</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100%</w:t>
            </w:r>
            <w:r/>
          </w:p>
        </w:tc>
      </w:tr>
      <w:tr>
        <w:trPr/>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200" w:type="dxa"/>
          </w:tcPr>
          <w:p>
            <w:pPr>
              <w:pBdr/>
              <w:spacing/>
              <w:ind/>
              <w:jc w:val="center"/>
              <w:rPr/>
            </w:pPr>
            <w:r>
              <w:rPr>
                <w:rFonts w:ascii="Times New Roman" w:hAnsi="Times New Roman" w:eastAsia="Times New Roman" w:cs="Times New Roman"/>
                <w:b w:val="0"/>
                <w:bCs w:val="0"/>
                <w:sz w:val="20"/>
                <w:szCs w:val="20"/>
              </w:rPr>
              <w:t xml:space="preserve">Provider Agent Comm.</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12</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11</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91.7%</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200" w:type="dxa"/>
          </w:tcPr>
          <w:p>
            <w:pPr>
              <w:pBdr/>
              <w:spacing/>
              <w:ind/>
              <w:jc w:val="center"/>
              <w:rPr/>
            </w:pPr>
            <w:r>
              <w:rPr>
                <w:rFonts w:ascii="Times New Roman" w:hAnsi="Times New Roman" w:eastAsia="Times New Roman" w:cs="Times New Roman"/>
                <w:b w:val="0"/>
                <w:bCs w:val="0"/>
                <w:sz w:val="20"/>
                <w:szCs w:val="20"/>
              </w:rPr>
              <w:t xml:space="preserve">Admin Routes</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16</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16</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0</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100%</w:t>
            </w:r>
            <w:r/>
          </w:p>
        </w:tc>
      </w:tr>
      <w:tr>
        <w:trPr/>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200" w:type="dxa"/>
          </w:tcPr>
          <w:p>
            <w:pPr>
              <w:pBdr/>
              <w:spacing/>
              <w:ind/>
              <w:jc w:val="center"/>
              <w:rPr/>
            </w:pPr>
            <w:r>
              <w:rPr>
                <w:rFonts w:ascii="Times New Roman" w:hAnsi="Times New Roman" w:eastAsia="Times New Roman" w:cs="Times New Roman"/>
                <w:b w:val="0"/>
                <w:bCs w:val="0"/>
                <w:sz w:val="20"/>
                <w:szCs w:val="20"/>
              </w:rPr>
              <w:t xml:space="preserve">E2E Encryption Flow</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8</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8</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0</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val="0"/>
                <w:bCs w:val="0"/>
                <w:sz w:val="20"/>
                <w:szCs w:val="20"/>
              </w:rPr>
              <w:t xml:space="preserve">100%</w:t>
            </w:r>
            <w:r/>
          </w:p>
        </w:tc>
      </w:tr>
      <w:tr>
        <w:trPr/>
        <w:tc>
          <w:tcPr>
            <w:shd w:val="clear" w:color="auto" w:fill="d6e4f0"/>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200" w:type="dxa"/>
          </w:tcPr>
          <w:p>
            <w:pPr>
              <w:pBdr/>
              <w:spacing/>
              <w:ind/>
              <w:jc w:val="center"/>
              <w:rPr/>
            </w:pPr>
            <w:r>
              <w:rPr>
                <w:rFonts w:ascii="Times New Roman" w:hAnsi="Times New Roman" w:eastAsia="Times New Roman" w:cs="Times New Roman"/>
                <w:b/>
                <w:bCs/>
                <w:sz w:val="20"/>
                <w:szCs w:val="20"/>
              </w:rPr>
              <w:t xml:space="preserve">TOTAL</w:t>
            </w:r>
            <w:r/>
          </w:p>
        </w:tc>
        <w:tc>
          <w:tcPr>
            <w:shd w:val="clear" w:color="auto" w:fill="d6e4f0"/>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bCs/>
                <w:sz w:val="20"/>
                <w:szCs w:val="20"/>
              </w:rPr>
              <w:t xml:space="preserve">100</w:t>
            </w:r>
            <w:r/>
          </w:p>
        </w:tc>
        <w:tc>
          <w:tcPr>
            <w:shd w:val="clear" w:color="auto" w:fill="d6e4f0"/>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bCs/>
                <w:sz w:val="20"/>
                <w:szCs w:val="20"/>
              </w:rPr>
              <w:t xml:space="preserve">98</w:t>
            </w:r>
            <w:r/>
          </w:p>
        </w:tc>
        <w:tc>
          <w:tcPr>
            <w:shd w:val="clear" w:color="auto" w:fill="d6e4f0"/>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bCs/>
                <w:sz w:val="20"/>
                <w:szCs w:val="20"/>
              </w:rPr>
              <w:t xml:space="preserve">2</w:t>
            </w:r>
            <w:r/>
          </w:p>
        </w:tc>
        <w:tc>
          <w:tcPr>
            <w:shd w:val="clear" w:color="auto" w:fill="d6e4f0"/>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40" w:type="dxa"/>
          </w:tcPr>
          <w:p>
            <w:pPr>
              <w:pBdr/>
              <w:spacing/>
              <w:ind/>
              <w:jc w:val="center"/>
              <w:rPr/>
            </w:pPr>
            <w:r>
              <w:rPr>
                <w:rFonts w:ascii="Times New Roman" w:hAnsi="Times New Roman" w:eastAsia="Times New Roman" w:cs="Times New Roman"/>
                <w:b/>
                <w:bCs/>
                <w:sz w:val="20"/>
                <w:szCs w:val="20"/>
              </w:rPr>
              <w:t xml:space="preserve">97.3%</w:t>
            </w:r>
            <w:r/>
          </w:p>
        </w:tc>
      </w:tr>
    </w:tbl>
    <w:p>
      <w:pPr>
        <w:pBdr/>
        <w:spacing w:after="120" w:before="60"/>
        <w:ind/>
        <w:jc w:val="center"/>
        <w:rPr/>
      </w:pPr>
      <w:r>
        <w:rPr>
          <w:rFonts w:ascii="Times New Roman" w:hAnsi="Times New Roman" w:eastAsia="Times New Roman" w:cs="Times New Roman"/>
          <w:i/>
          <w:iCs/>
          <w:sz w:val="20"/>
          <w:szCs w:val="20"/>
        </w:rPr>
        <w:t xml:space="preserve">Table II. Integration Test Results by Module (Pytest 7.x, 100 Test Cases)</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The two failing test cases were identified as non-critical edge conditions: the file retrieval failure involved a pagination boundary case returning an empty result set rather than a </w:t>
      </w:r>
      <w:r>
        <w:rPr>
          <w:rFonts w:ascii="Times New Roman" w:hAnsi="Times New Roman" w:eastAsia="Times New Roman" w:cs="Times New Roman"/>
          <w:b w:val="0"/>
          <w:bCs w:val="0"/>
          <w:i w:val="0"/>
          <w:iCs w:val="0"/>
          <w:color w:val="000000"/>
          <w:sz w:val="22"/>
          <w:szCs w:val="22"/>
        </w:rPr>
        <w:t xml:space="preserve">404 response for a non-existent page offset; the provider agent failure involved a timing dependency in the heartbeat polling test under simulated high-latency conditions. Both were categorized as non-blocking and documented for post-submission resolution.</w:t>
      </w:r>
      <w:r/>
    </w:p>
    <w:p>
      <w:pPr>
        <w:pBdr/>
        <w:spacing w:after="80" w:before="160"/>
        <w:ind/>
        <w:jc w:val="left"/>
        <w:rPr/>
      </w:pPr>
      <w:r>
        <w:rPr>
          <w:rFonts w:ascii="Times New Roman" w:hAnsi="Times New Roman" w:eastAsia="Times New Roman" w:cs="Times New Roman"/>
          <w:b/>
          <w:bCs/>
          <w:i/>
          <w:iCs/>
          <w:color w:val="000000"/>
          <w:sz w:val="22"/>
          <w:szCs w:val="22"/>
        </w:rPr>
        <w:t xml:space="preserve">B. Performance Benchmarks</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Informal performance bench</w:t>
      </w:r>
      <w:r>
        <w:rPr>
          <w:rFonts w:ascii="Times New Roman" w:hAnsi="Times New Roman" w:eastAsia="Times New Roman" w:cs="Times New Roman"/>
          <w:b w:val="0"/>
          <w:bCs w:val="0"/>
          <w:i w:val="0"/>
          <w:iCs w:val="0"/>
          <w:color w:val="000000"/>
          <w:sz w:val="22"/>
          <w:szCs w:val="22"/>
        </w:rPr>
        <w:t xml:space="preserve">marking was conducted on a development-class machine (Intel Core i7 12th Gen, 16 GB RAM, NVMe SSD) during the final testing phase. Representative latency metrics are presented in Table III. The upload time can be decomposed as: T_upload = T_encrypt + T_net</w:t>
      </w:r>
      <w:r>
        <w:rPr>
          <w:rFonts w:ascii="Times New Roman" w:hAnsi="Times New Roman" w:eastAsia="Times New Roman" w:cs="Times New Roman"/>
          <w:b w:val="0"/>
          <w:bCs w:val="0"/>
          <w:i w:val="0"/>
          <w:iCs w:val="0"/>
          <w:color w:val="000000"/>
          <w:sz w:val="22"/>
          <w:szCs w:val="22"/>
        </w:rPr>
        <w:t xml:space="preserve">work + T_routing + T_blockchain, where T_blockchain = 8 ms represents negligible overhead, and T_encrypt is subsumed within browser execution time. The 380 ms average for 1 MB encrypted uploads confirms practical usability under typical network conditions.</w:t>
      </w:r>
      <w:r/>
    </w:p>
    <w:p>
      <w:pPr>
        <w:pBdr/>
        <w:spacing w:after="80" w:before="0"/>
        <w:ind/>
        <w:rPr/>
      </w:pPr>
      <w:r>
        <w:rPr>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2000"/>
        <w:gridCol w:w="2000"/>
        <w:gridCol w:w="1560"/>
      </w:tblGrid>
      <w:tr>
        <w:trPr/>
        <w:tc>
          <w:tcPr>
            <w:shd w:val="clear" w:color="auto" w:fill="1f3864"/>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800" w:type="dxa"/>
          </w:tcPr>
          <w:p>
            <w:pPr>
              <w:pBdr/>
              <w:spacing/>
              <w:ind/>
              <w:jc w:val="center"/>
              <w:rPr/>
            </w:pPr>
            <w:r>
              <w:rPr>
                <w:rFonts w:ascii="Times New Roman" w:hAnsi="Times New Roman" w:eastAsia="Times New Roman" w:cs="Times New Roman"/>
                <w:b/>
                <w:bCs/>
                <w:color w:val="ffffff"/>
                <w:sz w:val="20"/>
                <w:szCs w:val="20"/>
              </w:rPr>
              <w:t xml:space="preserve">Operation</w:t>
            </w:r>
            <w:r/>
          </w:p>
        </w:tc>
        <w:tc>
          <w:tcPr>
            <w:shd w:val="clear" w:color="auto" w:fill="1f3864"/>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b/>
                <w:bCs/>
                <w:color w:val="ffffff"/>
                <w:sz w:val="20"/>
                <w:szCs w:val="20"/>
              </w:rPr>
              <w:t xml:space="preserve">Avg. Latency</w:t>
            </w:r>
            <w:r/>
          </w:p>
        </w:tc>
        <w:tc>
          <w:tcPr>
            <w:shd w:val="clear" w:color="auto" w:fill="1f3864"/>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b/>
                <w:bCs/>
                <w:color w:val="ffffff"/>
                <w:sz w:val="20"/>
                <w:szCs w:val="20"/>
              </w:rPr>
              <w:t xml:space="preserve">Max Latency</w:t>
            </w:r>
            <w:r/>
          </w:p>
        </w:tc>
        <w:tc>
          <w:tcPr>
            <w:shd w:val="clear" w:color="auto" w:fill="1f3864"/>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60" w:type="dxa"/>
          </w:tcPr>
          <w:p>
            <w:pPr>
              <w:pBdr/>
              <w:spacing/>
              <w:ind/>
              <w:jc w:val="center"/>
              <w:rPr/>
            </w:pPr>
            <w:r>
              <w:rPr>
                <w:rFonts w:ascii="Times New Roman" w:hAnsi="Times New Roman" w:eastAsia="Times New Roman" w:cs="Times New Roman"/>
                <w:b/>
                <w:bCs/>
                <w:color w:val="ffffff"/>
                <w:sz w:val="20"/>
                <w:szCs w:val="20"/>
              </w:rPr>
              <w:t xml:space="preserve">Notes</w:t>
            </w:r>
            <w:r/>
          </w:p>
        </w:tc>
      </w:tr>
      <w:tr>
        <w:trPr/>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800" w:type="dxa"/>
          </w:tcPr>
          <w:p>
            <w:pPr>
              <w:pBdr/>
              <w:spacing/>
              <w:ind/>
              <w:jc w:val="center"/>
              <w:rPr/>
            </w:pPr>
            <w:r>
              <w:rPr>
                <w:rFonts w:ascii="Times New Roman" w:hAnsi="Times New Roman" w:eastAsia="Times New Roman" w:cs="Times New Roman"/>
                <w:sz w:val="20"/>
                <w:szCs w:val="20"/>
              </w:rPr>
              <w:t xml:space="preserve">User Login (JWT issue)</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sz w:val="20"/>
                <w:szCs w:val="20"/>
              </w:rPr>
              <w:t xml:space="preserve">42 ms</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sz w:val="20"/>
                <w:szCs w:val="20"/>
              </w:rPr>
              <w:t xml:space="preserve">87 ms</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60" w:type="dxa"/>
          </w:tcPr>
          <w:p>
            <w:pPr>
              <w:pBdr/>
              <w:spacing/>
              <w:ind/>
              <w:jc w:val="center"/>
              <w:rPr/>
            </w:pPr>
            <w:r>
              <w:rPr>
                <w:rFonts w:ascii="Times New Roman" w:hAnsi="Times New Roman" w:eastAsia="Times New Roman" w:cs="Times New Roman"/>
                <w:sz w:val="20"/>
                <w:szCs w:val="20"/>
              </w:rPr>
              <w:t xml:space="preserve">bcrypt factor 12</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800" w:type="dxa"/>
          </w:tcPr>
          <w:p>
            <w:pPr>
              <w:pBdr/>
              <w:spacing/>
              <w:ind/>
              <w:jc w:val="center"/>
              <w:rPr/>
            </w:pPr>
            <w:r>
              <w:rPr>
                <w:rFonts w:ascii="Times New Roman" w:hAnsi="Times New Roman" w:eastAsia="Times New Roman" w:cs="Times New Roman"/>
                <w:sz w:val="20"/>
                <w:szCs w:val="20"/>
              </w:rPr>
              <w:t xml:space="preserve">File Upload (1 MB, encrypted)</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sz w:val="20"/>
                <w:szCs w:val="20"/>
              </w:rPr>
              <w:t xml:space="preserve">380 ms</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sz w:val="20"/>
                <w:szCs w:val="20"/>
              </w:rPr>
              <w:t xml:space="preserve">620 ms</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60" w:type="dxa"/>
          </w:tcPr>
          <w:p>
            <w:pPr>
              <w:pBdr/>
              <w:spacing/>
              <w:ind/>
              <w:jc w:val="center"/>
              <w:rPr/>
            </w:pPr>
            <w:r>
              <w:rPr>
                <w:rFonts w:ascii="Times New Roman" w:hAnsi="Times New Roman" w:eastAsia="Times New Roman" w:cs="Times New Roman"/>
                <w:sz w:val="20"/>
                <w:szCs w:val="20"/>
              </w:rPr>
              <w:t xml:space="preserve">Incl. AES-GCM enc.</w:t>
            </w:r>
            <w:r/>
          </w:p>
        </w:tc>
      </w:tr>
      <w:tr>
        <w:trPr/>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800" w:type="dxa"/>
          </w:tcPr>
          <w:p>
            <w:pPr>
              <w:pBdr/>
              <w:spacing/>
              <w:ind/>
              <w:jc w:val="center"/>
              <w:rPr/>
            </w:pPr>
            <w:r>
              <w:rPr>
                <w:rFonts w:ascii="Times New Roman" w:hAnsi="Times New Roman" w:eastAsia="Times New Roman" w:cs="Times New Roman"/>
                <w:sz w:val="20"/>
                <w:szCs w:val="20"/>
              </w:rPr>
              <w:t xml:space="preserve">File Retrieval (1 MB)</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sz w:val="20"/>
                <w:szCs w:val="20"/>
              </w:rPr>
              <w:t xml:space="preserve">210 ms</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sz w:val="20"/>
                <w:szCs w:val="20"/>
              </w:rPr>
              <w:t xml:space="preserve">390 ms</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60" w:type="dxa"/>
          </w:tcPr>
          <w:p>
            <w:pPr>
              <w:pBdr/>
              <w:spacing/>
              <w:ind/>
              <w:jc w:val="center"/>
              <w:rPr/>
            </w:pPr>
            <w:r>
              <w:rPr>
                <w:rFonts w:ascii="Times New Roman" w:hAnsi="Times New Roman" w:eastAsia="Times New Roman" w:cs="Times New Roman"/>
                <w:sz w:val="20"/>
                <w:szCs w:val="20"/>
              </w:rPr>
              <w:t xml:space="preserve">Client-side decrypt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800" w:type="dxa"/>
          </w:tcPr>
          <w:p>
            <w:pPr>
              <w:pBdr/>
              <w:spacing/>
              <w:ind/>
              <w:jc w:val="center"/>
              <w:rPr/>
            </w:pPr>
            <w:r>
              <w:rPr>
                <w:rFonts w:ascii="Times New Roman" w:hAnsi="Times New Roman" w:eastAsia="Times New Roman" w:cs="Times New Roman"/>
                <w:sz w:val="20"/>
                <w:szCs w:val="20"/>
              </w:rPr>
              <w:t xml:space="preserve">Blockchain Log Entry</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sz w:val="20"/>
                <w:szCs w:val="20"/>
              </w:rPr>
              <w:t xml:space="preserve">8 ms</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sz w:val="20"/>
                <w:szCs w:val="20"/>
              </w:rPr>
              <w:t xml:space="preserve">22 ms</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60" w:type="dxa"/>
          </w:tcPr>
          <w:p>
            <w:pPr>
              <w:pBdr/>
              <w:spacing/>
              <w:ind/>
              <w:jc w:val="center"/>
              <w:rPr/>
            </w:pPr>
            <w:r>
              <w:rPr>
                <w:rFonts w:ascii="Times New Roman" w:hAnsi="Times New Roman" w:eastAsia="Times New Roman" w:cs="Times New Roman"/>
                <w:sz w:val="20"/>
                <w:szCs w:val="20"/>
              </w:rPr>
              <w:t xml:space="preserve">In-memory chain</w:t>
            </w:r>
            <w:r/>
          </w:p>
        </w:tc>
      </w:tr>
      <w:tr>
        <w:trPr/>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800" w:type="dxa"/>
          </w:tcPr>
          <w:p>
            <w:pPr>
              <w:pBdr/>
              <w:spacing/>
              <w:ind/>
              <w:jc w:val="center"/>
              <w:rPr/>
            </w:pPr>
            <w:r>
              <w:rPr>
                <w:rFonts w:ascii="Times New Roman" w:hAnsi="Times New Roman" w:eastAsia="Times New Roman" w:cs="Times New Roman"/>
                <w:sz w:val="20"/>
                <w:szCs w:val="20"/>
              </w:rPr>
              <w:t xml:space="preserve">Provider Health Check</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sz w:val="20"/>
                <w:szCs w:val="20"/>
              </w:rPr>
              <w:t xml:space="preserve">15 ms</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sz w:val="20"/>
                <w:szCs w:val="20"/>
              </w:rPr>
              <w:t xml:space="preserve">38 ms</w:t>
            </w:r>
            <w:r/>
          </w:p>
        </w:tc>
        <w:tc>
          <w:tcPr>
            <w:shd w:val="clear" w:color="auto" w:fill="f5f8fc"/>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60" w:type="dxa"/>
          </w:tcPr>
          <w:p>
            <w:pPr>
              <w:pBdr/>
              <w:spacing/>
              <w:ind/>
              <w:jc w:val="center"/>
              <w:rPr/>
            </w:pPr>
            <w:r>
              <w:rPr>
                <w:rFonts w:ascii="Times New Roman" w:hAnsi="Times New Roman" w:eastAsia="Times New Roman" w:cs="Times New Roman"/>
                <w:sz w:val="20"/>
                <w:szCs w:val="20"/>
              </w:rPr>
              <w:t xml:space="preserve">Single agent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3800" w:type="dxa"/>
          </w:tcPr>
          <w:p>
            <w:pPr>
              <w:pBdr/>
              <w:spacing/>
              <w:ind/>
              <w:jc w:val="center"/>
              <w:rPr/>
            </w:pPr>
            <w:r>
              <w:rPr>
                <w:rFonts w:ascii="Times New Roman" w:hAnsi="Times New Roman" w:eastAsia="Times New Roman" w:cs="Times New Roman"/>
                <w:sz w:val="20"/>
                <w:szCs w:val="20"/>
              </w:rPr>
              <w:t xml:space="preserve">Admin Dashboard Load</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sz w:val="20"/>
                <w:szCs w:val="20"/>
              </w:rPr>
              <w:t xml:space="preserve">95 ms</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2000" w:type="dxa"/>
          </w:tcPr>
          <w:p>
            <w:pPr>
              <w:pBdr/>
              <w:spacing/>
              <w:ind/>
              <w:jc w:val="center"/>
              <w:rPr/>
            </w:pPr>
            <w:r>
              <w:rPr>
                <w:rFonts w:ascii="Times New Roman" w:hAnsi="Times New Roman" w:eastAsia="Times New Roman" w:cs="Times New Roman"/>
                <w:sz w:val="20"/>
                <w:szCs w:val="20"/>
              </w:rPr>
              <w:t xml:space="preserve">160 ms</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W w:w="1560" w:type="dxa"/>
          </w:tcPr>
          <w:p>
            <w:pPr>
              <w:pBdr/>
              <w:spacing/>
              <w:ind/>
              <w:jc w:val="center"/>
              <w:rPr/>
            </w:pPr>
            <w:r>
              <w:rPr>
                <w:rFonts w:ascii="Times New Roman" w:hAnsi="Times New Roman" w:eastAsia="Times New Roman" w:cs="Times New Roman"/>
                <w:sz w:val="20"/>
                <w:szCs w:val="20"/>
              </w:rPr>
              <w:t xml:space="preserve">Aggregated query</w:t>
            </w:r>
            <w:r/>
          </w:p>
        </w:tc>
      </w:tr>
    </w:tbl>
    <w:p>
      <w:pPr>
        <w:pBdr/>
        <w:spacing w:after="120" w:before="60"/>
        <w:ind/>
        <w:jc w:val="center"/>
        <w:rPr/>
      </w:pPr>
      <w:r>
        <w:rPr>
          <w:rFonts w:ascii="Times New Roman" w:hAnsi="Times New Roman" w:eastAsia="Times New Roman" w:cs="Times New Roman"/>
          <w:i/>
          <w:iCs/>
          <w:sz w:val="20"/>
          <w:szCs w:val="20"/>
        </w:rPr>
        <w:t xml:space="preserve">Table III. Performance Benchmarks (Development Environment: Intel Core i7 12th Gen, 16 GB RAM, NVMe SSD)</w:t>
      </w:r>
      <w:r/>
    </w:p>
    <w:p>
      <w:pPr>
        <w:pBdr/>
        <w:spacing w:after="80" w:before="160"/>
        <w:ind/>
        <w:jc w:val="left"/>
        <w:rPr/>
      </w:pPr>
      <w:r>
        <w:rPr>
          <w:rFonts w:ascii="Times New Roman" w:hAnsi="Times New Roman" w:eastAsia="Times New Roman" w:cs="Times New Roman"/>
          <w:b/>
          <w:bCs/>
          <w:i/>
          <w:iCs/>
          <w:color w:val="000000"/>
          <w:sz w:val="22"/>
          <w:szCs w:val="22"/>
        </w:rPr>
        <w:t xml:space="preserve">C. Comparative Analysis</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Table IV situates the proposed system against representative commercial and open-source alternatives across key technical dimensions relevant to the research objectives.</w:t>
      </w:r>
      <w:r/>
    </w:p>
    <w:p>
      <w:pPr>
        <w:pBdr/>
        <w:spacing w:after="80" w:before="0"/>
        <w:ind/>
        <w:rPr/>
      </w:pPr>
      <w:r>
        <w:rPr>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40"/>
        <w:gridCol w:w="1840"/>
        <w:gridCol w:w="1840"/>
        <w:gridCol w:w="1640"/>
      </w:tblGrid>
      <w:tr>
        <w:trPr/>
        <w:tc>
          <w:tcPr>
            <w:shd w:val="clear" w:color="auto" w:fill="1f3864"/>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2200" w:type="dxa"/>
          </w:tcPr>
          <w:p>
            <w:pPr>
              <w:pBdr/>
              <w:spacing/>
              <w:ind/>
              <w:jc w:val="center"/>
              <w:rPr/>
            </w:pPr>
            <w:r>
              <w:rPr>
                <w:rFonts w:ascii="Times New Roman" w:hAnsi="Times New Roman" w:eastAsia="Times New Roman" w:cs="Times New Roman"/>
                <w:b/>
                <w:bCs/>
                <w:color w:val="ffffff"/>
                <w:sz w:val="19"/>
                <w:szCs w:val="19"/>
              </w:rPr>
              <w:t xml:space="preserve">Feature</w:t>
            </w:r>
            <w:r/>
          </w:p>
        </w:tc>
        <w:tc>
          <w:tcPr>
            <w:shd w:val="clear" w:color="auto" w:fill="1f3864"/>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bCs/>
                <w:color w:val="ffffff"/>
                <w:sz w:val="19"/>
                <w:szCs w:val="19"/>
              </w:rPr>
              <w:t xml:space="preserve">Proposed System</w:t>
            </w:r>
            <w:r/>
          </w:p>
        </w:tc>
        <w:tc>
          <w:tcPr>
            <w:shd w:val="clear" w:color="auto" w:fill="1f3864"/>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bCs/>
                <w:color w:val="ffffff"/>
                <w:sz w:val="19"/>
                <w:szCs w:val="19"/>
              </w:rPr>
              <w:t xml:space="preserve">Google Drive</w:t>
            </w:r>
            <w:r/>
          </w:p>
        </w:tc>
        <w:tc>
          <w:tcPr>
            <w:shd w:val="clear" w:color="auto" w:fill="1f3864"/>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bCs/>
                <w:color w:val="ffffff"/>
                <w:sz w:val="19"/>
                <w:szCs w:val="19"/>
              </w:rPr>
              <w:t xml:space="preserve">Dropbox</w:t>
            </w:r>
            <w:r/>
          </w:p>
        </w:tc>
        <w:tc>
          <w:tcPr>
            <w:shd w:val="clear" w:color="auto" w:fill="1f3864"/>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640" w:type="dxa"/>
          </w:tcPr>
          <w:p>
            <w:pPr>
              <w:pBdr/>
              <w:spacing/>
              <w:ind/>
              <w:jc w:val="center"/>
              <w:rPr/>
            </w:pPr>
            <w:r>
              <w:rPr>
                <w:rFonts w:ascii="Times New Roman" w:hAnsi="Times New Roman" w:eastAsia="Times New Roman" w:cs="Times New Roman"/>
                <w:b/>
                <w:bCs/>
                <w:color w:val="ffffff"/>
                <w:sz w:val="19"/>
                <w:szCs w:val="19"/>
              </w:rPr>
              <w:t xml:space="preserve">IPFS (Raw)</w:t>
            </w:r>
            <w:r/>
          </w:p>
        </w:tc>
      </w:tr>
      <w:tr>
        <w:trPr/>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2200" w:type="dxa"/>
          </w:tcPr>
          <w:p>
            <w:pPr>
              <w:pBdr/>
              <w:spacing/>
              <w:ind/>
              <w:jc w:val="center"/>
              <w:rPr/>
            </w:pPr>
            <w:r>
              <w:rPr>
                <w:rFonts w:ascii="Times New Roman" w:hAnsi="Times New Roman" w:eastAsia="Times New Roman" w:cs="Times New Roman"/>
                <w:b w:val="0"/>
                <w:bCs w:val="0"/>
                <w:sz w:val="19"/>
                <w:szCs w:val="19"/>
              </w:rPr>
              <w:t xml:space="preserve">Encryption</w:t>
            </w:r>
            <w:r/>
          </w:p>
        </w:tc>
        <w:tc>
          <w:tcPr>
            <w:shd w:val="clear" w:color="auto" w:fill="e2efda"/>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bCs/>
                <w:sz w:val="19"/>
                <w:szCs w:val="19"/>
              </w:rPr>
              <w:t xml:space="preserve">Client-Side AES-256-GCM</w:t>
            </w:r>
            <w:r/>
          </w:p>
        </w:tc>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Server-Side</w:t>
            </w:r>
            <w:r/>
          </w:p>
        </w:tc>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Server-Side</w:t>
            </w:r>
            <w:r/>
          </w:p>
        </w:tc>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640" w:type="dxa"/>
          </w:tcPr>
          <w:p>
            <w:pPr>
              <w:pBdr/>
              <w:spacing/>
              <w:ind/>
              <w:jc w:val="center"/>
              <w:rPr/>
            </w:pPr>
            <w:r>
              <w:rPr>
                <w:rFonts w:ascii="Times New Roman" w:hAnsi="Times New Roman" w:eastAsia="Times New Roman" w:cs="Times New Roman"/>
                <w:b w:val="0"/>
                <w:bCs w:val="0"/>
                <w:sz w:val="19"/>
                <w:szCs w:val="19"/>
              </w:rPr>
              <w:t xml:space="preserve">None (default)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2200" w:type="dxa"/>
          </w:tcPr>
          <w:p>
            <w:pPr>
              <w:pBdr/>
              <w:spacing/>
              <w:ind/>
              <w:jc w:val="center"/>
              <w:rPr/>
            </w:pPr>
            <w:r>
              <w:rPr>
                <w:rFonts w:ascii="Times New Roman" w:hAnsi="Times New Roman" w:eastAsia="Times New Roman" w:cs="Times New Roman"/>
                <w:b w:val="0"/>
                <w:bCs w:val="0"/>
                <w:sz w:val="19"/>
                <w:szCs w:val="19"/>
              </w:rPr>
              <w:t xml:space="preserve">Audit Trail</w:t>
            </w:r>
            <w:r/>
          </w:p>
        </w:tc>
        <w:tc>
          <w:tcPr>
            <w:shd w:val="clear" w:color="auto" w:fill="e2efda"/>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bCs/>
                <w:sz w:val="19"/>
                <w:szCs w:val="19"/>
              </w:rPr>
              <w:t xml:space="preserve">Blockchain (Immutable)</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Partial Logs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Activity Log</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640" w:type="dxa"/>
          </w:tcPr>
          <w:p>
            <w:pPr>
              <w:pBdr/>
              <w:spacing/>
              <w:ind/>
              <w:jc w:val="center"/>
              <w:rPr/>
            </w:pPr>
            <w:r>
              <w:rPr>
                <w:rFonts w:ascii="Times New Roman" w:hAnsi="Times New Roman" w:eastAsia="Times New Roman" w:cs="Times New Roman"/>
                <w:b w:val="0"/>
                <w:bCs w:val="0"/>
                <w:sz w:val="19"/>
                <w:szCs w:val="19"/>
              </w:rPr>
              <w:t xml:space="preserve">Hash only</w:t>
            </w:r>
            <w:r/>
          </w:p>
        </w:tc>
      </w:tr>
      <w:tr>
        <w:trPr/>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2200" w:type="dxa"/>
          </w:tcPr>
          <w:p>
            <w:pPr>
              <w:pBdr/>
              <w:spacing/>
              <w:ind/>
              <w:jc w:val="center"/>
              <w:rPr/>
            </w:pPr>
            <w:r>
              <w:rPr>
                <w:rFonts w:ascii="Times New Roman" w:hAnsi="Times New Roman" w:eastAsia="Times New Roman" w:cs="Times New Roman"/>
                <w:b w:val="0"/>
                <w:bCs w:val="0"/>
                <w:sz w:val="19"/>
                <w:szCs w:val="19"/>
              </w:rPr>
              <w:t xml:space="preserve">Decentralization</w:t>
            </w:r>
            <w:r/>
          </w:p>
        </w:tc>
        <w:tc>
          <w:tcPr>
            <w:shd w:val="clear" w:color="auto" w:fill="e2efda"/>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bCs/>
                <w:sz w:val="19"/>
                <w:szCs w:val="19"/>
              </w:rPr>
              <w:t xml:space="preserve">Multi-node agents</w:t>
            </w:r>
            <w:r/>
          </w:p>
        </w:tc>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Centralized</w:t>
            </w:r>
            <w:r/>
          </w:p>
        </w:tc>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Centralized</w:t>
            </w:r>
            <w:r/>
          </w:p>
        </w:tc>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640" w:type="dxa"/>
          </w:tcPr>
          <w:p>
            <w:pPr>
              <w:pBdr/>
              <w:spacing/>
              <w:ind/>
              <w:jc w:val="center"/>
              <w:rPr/>
            </w:pPr>
            <w:r>
              <w:rPr>
                <w:rFonts w:ascii="Times New Roman" w:hAnsi="Times New Roman" w:eastAsia="Times New Roman" w:cs="Times New Roman"/>
                <w:b w:val="0"/>
                <w:bCs w:val="0"/>
                <w:sz w:val="19"/>
                <w:szCs w:val="19"/>
              </w:rPr>
              <w:t xml:space="preserve">Full P2P</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2200" w:type="dxa"/>
          </w:tcPr>
          <w:p>
            <w:pPr>
              <w:pBdr/>
              <w:spacing/>
              <w:ind/>
              <w:jc w:val="center"/>
              <w:rPr/>
            </w:pPr>
            <w:r>
              <w:rPr>
                <w:rFonts w:ascii="Times New Roman" w:hAnsi="Times New Roman" w:eastAsia="Times New Roman" w:cs="Times New Roman"/>
                <w:b w:val="0"/>
                <w:bCs w:val="0"/>
                <w:sz w:val="19"/>
                <w:szCs w:val="19"/>
              </w:rPr>
              <w:t xml:space="preserve">Access Control</w:t>
            </w:r>
            <w:r/>
          </w:p>
        </w:tc>
        <w:tc>
          <w:tcPr>
            <w:shd w:val="clear" w:color="auto" w:fill="e2efda"/>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bCs/>
                <w:sz w:val="19"/>
                <w:szCs w:val="19"/>
              </w:rPr>
              <w:t xml:space="preserve">JWT + RBAC</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ACL-based</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ACL-based</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640" w:type="dxa"/>
          </w:tcPr>
          <w:p>
            <w:pPr>
              <w:pBdr/>
              <w:spacing/>
              <w:ind/>
              <w:jc w:val="center"/>
              <w:rPr/>
            </w:pPr>
            <w:r>
              <w:rPr>
                <w:rFonts w:ascii="Times New Roman" w:hAnsi="Times New Roman" w:eastAsia="Times New Roman" w:cs="Times New Roman"/>
                <w:b w:val="0"/>
                <w:bCs w:val="0"/>
                <w:sz w:val="19"/>
                <w:szCs w:val="19"/>
              </w:rPr>
              <w:t xml:space="preserve">None</w:t>
            </w:r>
            <w:r/>
          </w:p>
        </w:tc>
      </w:tr>
      <w:tr>
        <w:trPr/>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2200" w:type="dxa"/>
          </w:tcPr>
          <w:p>
            <w:pPr>
              <w:pBdr/>
              <w:spacing/>
              <w:ind/>
              <w:jc w:val="center"/>
              <w:rPr/>
            </w:pPr>
            <w:r>
              <w:rPr>
                <w:rFonts w:ascii="Times New Roman" w:hAnsi="Times New Roman" w:eastAsia="Times New Roman" w:cs="Times New Roman"/>
                <w:b w:val="0"/>
                <w:bCs w:val="0"/>
                <w:sz w:val="19"/>
                <w:szCs w:val="19"/>
              </w:rPr>
              <w:t xml:space="preserve">Token Economy</w:t>
            </w:r>
            <w:r/>
          </w:p>
        </w:tc>
        <w:tc>
          <w:tcPr>
            <w:shd w:val="clear" w:color="auto" w:fill="e2efda"/>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bCs/>
                <w:sz w:val="19"/>
                <w:szCs w:val="19"/>
              </w:rPr>
              <w:t xml:space="preserve">Custom internal</w:t>
            </w:r>
            <w:r/>
          </w:p>
        </w:tc>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Subscription</w:t>
            </w:r>
            <w:r/>
          </w:p>
        </w:tc>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Subscription</w:t>
            </w:r>
            <w:r/>
          </w:p>
        </w:tc>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640" w:type="dxa"/>
          </w:tcPr>
          <w:p>
            <w:pPr>
              <w:pBdr/>
              <w:spacing/>
              <w:ind/>
              <w:jc w:val="center"/>
              <w:rPr/>
            </w:pPr>
            <w:r>
              <w:rPr>
                <w:rFonts w:ascii="Times New Roman" w:hAnsi="Times New Roman" w:eastAsia="Times New Roman" w:cs="Times New Roman"/>
                <w:b w:val="0"/>
                <w:bCs w:val="0"/>
                <w:sz w:val="19"/>
                <w:szCs w:val="19"/>
              </w:rPr>
              <w:t xml:space="preserve">N/A</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2200" w:type="dxa"/>
          </w:tcPr>
          <w:p>
            <w:pPr>
              <w:pBdr/>
              <w:spacing/>
              <w:ind/>
              <w:jc w:val="center"/>
              <w:rPr/>
            </w:pPr>
            <w:r>
              <w:rPr>
                <w:rFonts w:ascii="Times New Roman" w:hAnsi="Times New Roman" w:eastAsia="Times New Roman" w:cs="Times New Roman"/>
                <w:b w:val="0"/>
                <w:bCs w:val="0"/>
                <w:sz w:val="19"/>
                <w:szCs w:val="19"/>
              </w:rPr>
              <w:t xml:space="preserve">Deployment</w:t>
            </w:r>
            <w:r/>
          </w:p>
        </w:tc>
        <w:tc>
          <w:tcPr>
            <w:shd w:val="clear" w:color="auto" w:fill="e2efda"/>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bCs/>
                <w:sz w:val="19"/>
                <w:szCs w:val="19"/>
              </w:rPr>
              <w:t xml:space="preserve">Docker Compose</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SaaS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SaaS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640" w:type="dxa"/>
          </w:tcPr>
          <w:p>
            <w:pPr>
              <w:pBdr/>
              <w:spacing/>
              <w:ind/>
              <w:jc w:val="center"/>
              <w:rPr/>
            </w:pPr>
            <w:r>
              <w:rPr>
                <w:rFonts w:ascii="Times New Roman" w:hAnsi="Times New Roman" w:eastAsia="Times New Roman" w:cs="Times New Roman"/>
                <w:b w:val="0"/>
                <w:bCs w:val="0"/>
                <w:sz w:val="19"/>
                <w:szCs w:val="19"/>
              </w:rPr>
              <w:t xml:space="preserve">Manual</w:t>
            </w:r>
            <w:r/>
          </w:p>
        </w:tc>
      </w:tr>
      <w:tr>
        <w:trPr/>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2200" w:type="dxa"/>
          </w:tcPr>
          <w:p>
            <w:pPr>
              <w:pBdr/>
              <w:spacing/>
              <w:ind/>
              <w:jc w:val="center"/>
              <w:rPr/>
            </w:pPr>
            <w:r>
              <w:rPr>
                <w:rFonts w:ascii="Times New Roman" w:hAnsi="Times New Roman" w:eastAsia="Times New Roman" w:cs="Times New Roman"/>
                <w:b w:val="0"/>
                <w:bCs w:val="0"/>
                <w:sz w:val="19"/>
                <w:szCs w:val="19"/>
              </w:rPr>
              <w:t xml:space="preserve">Open Source</w:t>
            </w:r>
            <w:r/>
          </w:p>
        </w:tc>
        <w:tc>
          <w:tcPr>
            <w:shd w:val="clear" w:color="auto" w:fill="e2efda"/>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bCs/>
                <w:sz w:val="19"/>
                <w:szCs w:val="19"/>
              </w:rPr>
              <w:t xml:space="preserve">Yes (Academic)</w:t>
            </w:r>
            <w:r/>
          </w:p>
        </w:tc>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No</w:t>
            </w:r>
            <w:r/>
          </w:p>
        </w:tc>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840" w:type="dxa"/>
          </w:tcPr>
          <w:p>
            <w:pPr>
              <w:pBdr/>
              <w:spacing/>
              <w:ind/>
              <w:jc w:val="center"/>
              <w:rPr/>
            </w:pPr>
            <w:r>
              <w:rPr>
                <w:rFonts w:ascii="Times New Roman" w:hAnsi="Times New Roman" w:eastAsia="Times New Roman" w:cs="Times New Roman"/>
                <w:b w:val="0"/>
                <w:bCs w:val="0"/>
                <w:sz w:val="19"/>
                <w:szCs w:val="19"/>
              </w:rPr>
              <w:t xml:space="preserve">No</w:t>
            </w:r>
            <w:r/>
          </w:p>
        </w:tc>
        <w:tc>
          <w:tcPr>
            <w:shd w:val="clear" w:color="auto" w:fill="f5f8fc"/>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640" w:type="dxa"/>
          </w:tcPr>
          <w:p>
            <w:pPr>
              <w:pBdr/>
              <w:spacing/>
              <w:ind/>
              <w:jc w:val="center"/>
              <w:rPr/>
            </w:pPr>
            <w:r>
              <w:rPr>
                <w:rFonts w:ascii="Times New Roman" w:hAnsi="Times New Roman" w:eastAsia="Times New Roman" w:cs="Times New Roman"/>
                <w:b w:val="0"/>
                <w:bCs w:val="0"/>
                <w:sz w:val="19"/>
                <w:szCs w:val="19"/>
              </w:rPr>
              <w:t xml:space="preserve">Yes</w:t>
            </w:r>
            <w:r/>
          </w:p>
        </w:tc>
      </w:tr>
    </w:tbl>
    <w:p>
      <w:pPr>
        <w:pBdr/>
        <w:spacing w:after="120" w:before="60"/>
        <w:ind/>
        <w:jc w:val="center"/>
        <w:rPr/>
      </w:pPr>
      <w:r>
        <w:rPr>
          <w:rFonts w:ascii="Times New Roman" w:hAnsi="Times New Roman" w:eastAsia="Times New Roman" w:cs="Times New Roman"/>
          <w:i/>
          <w:iCs/>
          <w:sz w:val="20"/>
          <w:szCs w:val="20"/>
        </w:rPr>
        <w:t xml:space="preserve">Table IV. Comparative Analysis Against Commercial and Open-Source Alternatives (Highlighted: Proposed System Advantages)</w:t>
      </w:r>
      <w:r/>
    </w:p>
    <w:p>
      <w:pPr>
        <w:pBdr/>
        <w:spacing w:after="80" w:before="160"/>
        <w:ind/>
        <w:jc w:val="left"/>
        <w:rPr/>
      </w:pPr>
      <w:r>
        <w:rPr>
          <w:rFonts w:ascii="Times New Roman" w:hAnsi="Times New Roman" w:eastAsia="Times New Roman" w:cs="Times New Roman"/>
          <w:b/>
          <w:bCs/>
          <w:i/>
          <w:iCs/>
          <w:color w:val="000000"/>
          <w:sz w:val="22"/>
          <w:szCs w:val="22"/>
        </w:rPr>
        <w:t xml:space="preserve">D. Security Review Findings</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A dedicated security review was conducted covering JWT secret management, bcrypt configuration, CORS policy, SQL injection resistance </w:t>
      </w:r>
      <w:r>
        <w:rPr>
          <w:rFonts w:ascii="Times New Roman" w:hAnsi="Times New Roman" w:eastAsia="Times New Roman" w:cs="Times New Roman"/>
          <w:b w:val="0"/>
          <w:bCs w:val="0"/>
          <w:i w:val="0"/>
          <w:iCs w:val="0"/>
          <w:color w:val="000000"/>
          <w:sz w:val="22"/>
          <w:szCs w:val="22"/>
        </w:rPr>
        <w:t xml:space="preserve">(addressed by SQLAlchemy ORM parameterization), environment variable isolation, and blockchain integrity verification. Four categories of hardening improvements were identified and resolved: (1) JWT secret rotation—the JWT secret was migrated from a hardco</w:t>
      </w:r>
      <w:r>
        <w:rPr>
          <w:rFonts w:ascii="Times New Roman" w:hAnsi="Times New Roman" w:eastAsia="Times New Roman" w:cs="Times New Roman"/>
          <w:b w:val="0"/>
          <w:bCs w:val="0"/>
          <w:i w:val="0"/>
          <w:iCs w:val="0"/>
          <w:color w:val="000000"/>
          <w:sz w:val="22"/>
          <w:szCs w:val="22"/>
        </w:rPr>
        <w:t xml:space="preserve">ded default to a mandatory environment variable with application startup refusal on absence; (2) CORS policy hardening—development-mode wildcard CORS was replaced with an explicit frontend-origin allowlist; (3) blockchain integrity endpoint—an admin-access</w:t>
      </w:r>
      <w:r>
        <w:rPr>
          <w:rFonts w:ascii="Times New Roman" w:hAnsi="Times New Roman" w:eastAsia="Times New Roman" w:cs="Times New Roman"/>
          <w:b w:val="0"/>
          <w:bCs w:val="0"/>
          <w:i w:val="0"/>
          <w:iCs w:val="0"/>
          <w:color w:val="000000"/>
          <w:sz w:val="22"/>
          <w:szCs w:val="22"/>
        </w:rPr>
        <w:t xml:space="preserve">ible chain verification endpoint was added enabling on-demand integrity audits of the full transaction history; and (4) sensitive log suppression—log output was audited to confirm that no token values, passwords, or file content appear in application logs.</w:t>
      </w:r>
      <w:r/>
    </w:p>
    <w:p>
      <w:pPr>
        <w:pBdr/>
        <w:spacing w:after="100" w:before="0"/>
        <w:ind/>
        <w:rPr/>
      </w:pPr>
      <w:r>
        <w:rPr>
          <w:sz w:val="22"/>
          <w:szCs w:val="22"/>
        </w:rPr>
      </w:r>
      <w:r/>
    </w:p>
    <w:p>
      <w:pPr>
        <w:pBdr/>
        <w:spacing w:after="100" w:before="200"/>
        <w:ind/>
        <w:jc w:val="left"/>
        <w:rPr/>
      </w:pPr>
      <w:r>
        <w:rPr>
          <w:rFonts w:ascii="Times New Roman" w:hAnsi="Times New Roman" w:eastAsia="Times New Roman" w:cs="Times New Roman"/>
          <w:b/>
          <w:bCs/>
          <w:color w:val="000000"/>
          <w:sz w:val="22"/>
          <w:szCs w:val="22"/>
        </w:rPr>
        <w:t xml:space="preserve">VII. DISCUSSION</w:t>
      </w:r>
      <w:r/>
    </w:p>
    <w:p>
      <w:pPr>
        <w:pBdr/>
        <w:spacing w:after="80" w:before="160"/>
        <w:ind/>
        <w:jc w:val="left"/>
        <w:rPr/>
      </w:pPr>
      <w:r>
        <w:rPr>
          <w:rFonts w:ascii="Times New Roman" w:hAnsi="Times New Roman" w:eastAsia="Times New Roman" w:cs="Times New Roman"/>
          <w:b/>
          <w:bCs/>
          <w:i/>
          <w:iCs/>
          <w:color w:val="000000"/>
          <w:sz w:val="22"/>
          <w:szCs w:val="22"/>
        </w:rPr>
        <w:t xml:space="preserve">A. Contributions</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This paper mak</w:t>
      </w:r>
      <w:r>
        <w:rPr>
          <w:rFonts w:ascii="Times New Roman" w:hAnsi="Times New Roman" w:eastAsia="Times New Roman" w:cs="Times New Roman"/>
          <w:b w:val="0"/>
          <w:bCs w:val="0"/>
          <w:i w:val="0"/>
          <w:iCs w:val="0"/>
          <w:color w:val="000000"/>
          <w:sz w:val="22"/>
          <w:szCs w:val="22"/>
        </w:rPr>
        <w:t xml:space="preserve">es five principal contributions to the field of decentralized storage systems. (1) A fully deployable, full-stack decentralized storage architecture combining client-side encryption, blockchain auditability, and distributed provider nodes in a coherent app</w:t>
      </w:r>
      <w:r>
        <w:rPr>
          <w:rFonts w:ascii="Times New Roman" w:hAnsi="Times New Roman" w:eastAsia="Times New Roman" w:cs="Times New Roman"/>
          <w:b w:val="0"/>
          <w:bCs w:val="0"/>
          <w:i w:val="0"/>
          <w:iCs w:val="0"/>
          <w:color w:val="000000"/>
          <w:sz w:val="22"/>
          <w:szCs w:val="22"/>
        </w:rPr>
        <w:t xml:space="preserve">lication stack—addressing a gap identified in the literature review. (2) A self-contained blockchain service that provides tamper-evident audit trails without external network dependencies, enabling practical academic demonstration and controlled deploymen</w:t>
      </w:r>
      <w:r>
        <w:rPr>
          <w:rFonts w:ascii="Times New Roman" w:hAnsi="Times New Roman" w:eastAsia="Times New Roman" w:cs="Times New Roman"/>
          <w:b w:val="0"/>
          <w:bCs w:val="0"/>
          <w:i w:val="0"/>
          <w:iCs w:val="0"/>
          <w:color w:val="000000"/>
          <w:sz w:val="22"/>
          <w:szCs w:val="22"/>
        </w:rPr>
        <w:t xml:space="preserve">t. (3) A complete client-side AES-GCM 256-bit encryption pipeline implemented exclusively via the W3C Web Crypto API, eliminating supply-chain risk from third-party cryptographic libraries. (4) A provider agent architecture with dynamic weighted least-conn</w:t>
      </w:r>
      <w:r>
        <w:rPr>
          <w:rFonts w:ascii="Times New Roman" w:hAnsi="Times New Roman" w:eastAsia="Times New Roman" w:cs="Times New Roman"/>
          <w:b w:val="0"/>
          <w:bCs w:val="0"/>
          <w:i w:val="0"/>
          <w:iCs w:val="0"/>
          <w:color w:val="000000"/>
          <w:sz w:val="22"/>
          <w:szCs w:val="22"/>
        </w:rPr>
        <w:t xml:space="preserve">ections routing and automatic heartbeat-based failover. (5) A Docker Compose orchestrated containerized deployment configuration enabling single-command reproducible system instantiation—directly addressing the reproducibility gap identified in prior work.</w:t>
      </w:r>
      <w:r/>
    </w:p>
    <w:p>
      <w:pPr>
        <w:pBdr/>
        <w:spacing w:after="80" w:before="160"/>
        <w:ind/>
        <w:jc w:val="left"/>
        <w:rPr/>
      </w:pPr>
      <w:r>
        <w:rPr>
          <w:rFonts w:ascii="Times New Roman" w:hAnsi="Times New Roman" w:eastAsia="Times New Roman" w:cs="Times New Roman"/>
          <w:b/>
          <w:bCs/>
          <w:i/>
          <w:iCs/>
          <w:color w:val="000000"/>
          <w:sz w:val="22"/>
          <w:szCs w:val="22"/>
        </w:rPr>
        <w:t xml:space="preserve">B. Limitations</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Several limitations of the current implementation warrant explicit acknowledgment. The blockchain s</w:t>
      </w:r>
      <w:r>
        <w:rPr>
          <w:rFonts w:ascii="Times New Roman" w:hAnsi="Times New Roman" w:eastAsia="Times New Roman" w:cs="Times New Roman"/>
          <w:b w:val="0"/>
          <w:bCs w:val="0"/>
          <w:i w:val="0"/>
          <w:iCs w:val="0"/>
          <w:color w:val="000000"/>
          <w:sz w:val="22"/>
          <w:szCs w:val="22"/>
        </w:rPr>
        <w:t xml:space="preserve">ervice is an in-process implementation rather than a distributed consensus network; it provides tamper-evidence but not decentralized consensus—meaning a malicious operator with access to the process could, in principle, reconstruct the chain with modified</w:t>
      </w:r>
      <w:r>
        <w:rPr>
          <w:rFonts w:ascii="Times New Roman" w:hAnsi="Times New Roman" w:eastAsia="Times New Roman" w:cs="Times New Roman"/>
          <w:b w:val="0"/>
          <w:bCs w:val="0"/>
          <w:i w:val="0"/>
          <w:iCs w:val="0"/>
          <w:color w:val="000000"/>
          <w:sz w:val="22"/>
          <w:szCs w:val="22"/>
        </w:rPr>
        <w:t xml:space="preserve"> entries. Provider agents operate as local subprocesses in the development and testing environment; production deployment would require network-distributed agent instances with TLS-secured inter-service communication. The token economy model implements acc</w:t>
      </w:r>
      <w:r>
        <w:rPr>
          <w:rFonts w:ascii="Times New Roman" w:hAnsi="Times New Roman" w:eastAsia="Times New Roman" w:cs="Times New Roman"/>
          <w:b w:val="0"/>
          <w:bCs w:val="0"/>
          <w:i w:val="0"/>
          <w:iCs w:val="0"/>
          <w:color w:val="000000"/>
          <w:sz w:val="22"/>
          <w:szCs w:val="22"/>
        </w:rPr>
        <w:t xml:space="preserve">ounting abstraction without cryptographic token issuance or blockchain-based transfer. Performance benchmarks were conducted on a single development machine; no distributed load testing across multiple physical nodes was performed within the project scope.</w:t>
      </w:r>
      <w:r/>
    </w:p>
    <w:p>
      <w:pPr>
        <w:pBdr/>
        <w:spacing w:after="100" w:before="0"/>
        <w:ind/>
        <w:rPr/>
      </w:pPr>
      <w:r>
        <w:rPr>
          <w:sz w:val="22"/>
          <w:szCs w:val="22"/>
        </w:rPr>
      </w:r>
      <w:r/>
    </w:p>
    <w:p>
      <w:pPr>
        <w:pBdr/>
        <w:spacing w:after="100" w:before="200"/>
        <w:ind/>
        <w:jc w:val="left"/>
        <w:rPr/>
      </w:pPr>
      <w:r>
        <w:rPr>
          <w:rFonts w:ascii="Times New Roman" w:hAnsi="Times New Roman" w:eastAsia="Times New Roman" w:cs="Times New Roman"/>
          <w:b/>
          <w:bCs/>
          <w:color w:val="000000"/>
          <w:sz w:val="22"/>
          <w:szCs w:val="22"/>
        </w:rPr>
        <w:t xml:space="preserve">VIII. CONCLUSION AND FUTURE WORK</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This paper has pres</w:t>
      </w:r>
      <w:r>
        <w:rPr>
          <w:rFonts w:ascii="Times New Roman" w:hAnsi="Times New Roman" w:eastAsia="Times New Roman" w:cs="Times New Roman"/>
          <w:b w:val="0"/>
          <w:bCs w:val="0"/>
          <w:i w:val="0"/>
          <w:iCs w:val="0"/>
          <w:color w:val="000000"/>
          <w:sz w:val="22"/>
          <w:szCs w:val="22"/>
        </w:rPr>
        <w:t xml:space="preserve">ented a decentralized cloud storage system that addresses the structural limitations of centralized architectures through the principled application of client-side cryptography, blockchain-based auditability, and distributed provider node management. The s</w:t>
      </w:r>
      <w:r>
        <w:rPr>
          <w:rFonts w:ascii="Times New Roman" w:hAnsi="Times New Roman" w:eastAsia="Times New Roman" w:cs="Times New Roman"/>
          <w:b w:val="0"/>
          <w:bCs w:val="0"/>
          <w:i w:val="0"/>
          <w:iCs w:val="0"/>
          <w:color w:val="000000"/>
          <w:sz w:val="22"/>
          <w:szCs w:val="22"/>
        </w:rPr>
        <w:t xml:space="preserve">ystem demonstrates that the core guarantees of decentralization—no single point of failure, user-controlled encryption, and tamper-evident audit trails—can be realized within a coherent, deployable full-stack web application. Integration testing across 100</w:t>
      </w:r>
      <w:r>
        <w:rPr>
          <w:rFonts w:ascii="Times New Roman" w:hAnsi="Times New Roman" w:eastAsia="Times New Roman" w:cs="Times New Roman"/>
          <w:b w:val="0"/>
          <w:bCs w:val="0"/>
          <w:i w:val="0"/>
          <w:iCs w:val="0"/>
          <w:color w:val="000000"/>
          <w:sz w:val="22"/>
          <w:szCs w:val="22"/>
        </w:rPr>
        <w:t xml:space="preserve"> test cases achieved a 97.3% pass rate; performance benchmarks confirmed sub-400 ms average latency for 1 MB encrypted uploads on development-class hardware; and a dedicated security review identified and resolved four categories of hardening improvements.</w:t>
      </w:r>
      <w:r/>
    </w:p>
    <w:p>
      <w:pPr>
        <w:pBdr/>
        <w:spacing w:after="80" w:before="0"/>
        <w:ind/>
        <w:rPr/>
      </w:pPr>
      <w:r>
        <w:rPr>
          <w:sz w:val="22"/>
          <w:szCs w:val="22"/>
        </w:rPr>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Future research directions include: (1) replacement of the in-p</w:t>
      </w:r>
      <w:r>
        <w:rPr>
          <w:rFonts w:ascii="Times New Roman" w:hAnsi="Times New Roman" w:eastAsia="Times New Roman" w:cs="Times New Roman"/>
          <w:b w:val="0"/>
          <w:bCs w:val="0"/>
          <w:i w:val="0"/>
          <w:iCs w:val="0"/>
          <w:color w:val="000000"/>
          <w:sz w:val="22"/>
          <w:szCs w:val="22"/>
        </w:rPr>
        <w:t xml:space="preserve">rocess blockchain with a multi-node consensus protocol (e.g., a simplified Raft or PBFT implementation) to achieve genuine distributed consensus of the audit ledger; (2) integration of an IPFS node as an alternative storage backend for immutable content-ad</w:t>
      </w:r>
      <w:r>
        <w:rPr>
          <w:rFonts w:ascii="Times New Roman" w:hAnsi="Times New Roman" w:eastAsia="Times New Roman" w:cs="Times New Roman"/>
          <w:b w:val="0"/>
          <w:bCs w:val="0"/>
          <w:i w:val="0"/>
          <w:iCs w:val="0"/>
          <w:color w:val="000000"/>
          <w:sz w:val="22"/>
          <w:szCs w:val="22"/>
        </w:rPr>
        <w:t xml:space="preserve">dressable file storage; (3) migration of access control rules to Ethereum smart contracts to enable trustless, self-enforcing permission management; (4) implementation of Shamir Secret Sharing for multi-custodian threshold key recovery without a trusted ke</w:t>
      </w:r>
      <w:r>
        <w:rPr>
          <w:rFonts w:ascii="Times New Roman" w:hAnsi="Times New Roman" w:eastAsia="Times New Roman" w:cs="Times New Roman"/>
          <w:b w:val="0"/>
          <w:bCs w:val="0"/>
          <w:i w:val="0"/>
          <w:iCs w:val="0"/>
          <w:color w:val="000000"/>
          <w:sz w:val="22"/>
          <w:szCs w:val="22"/>
        </w:rPr>
        <w:t xml:space="preserve">y escrow; (5) development of a React Native mobile client with the same client-side encryption pipeline; and (6) integration of Proof-of-Replication protocols to cryptographically verify that provider nodes are continuously retaining stored data over time.</w:t>
      </w:r>
      <w:r/>
    </w:p>
    <w:p>
      <w:pPr>
        <w:pBdr/>
        <w:spacing w:after="100" w:before="0"/>
        <w:ind/>
        <w:rPr/>
      </w:pPr>
      <w:r>
        <w:rPr>
          <w:sz w:val="22"/>
          <w:szCs w:val="22"/>
        </w:rPr>
      </w:r>
      <w:r/>
    </w:p>
    <w:p>
      <w:pPr>
        <w:pBdr/>
        <w:spacing w:after="100" w:before="200"/>
        <w:ind/>
        <w:jc w:val="left"/>
        <w:rPr/>
      </w:pPr>
      <w:r>
        <w:rPr>
          <w:rFonts w:ascii="Times New Roman" w:hAnsi="Times New Roman" w:eastAsia="Times New Roman" w:cs="Times New Roman"/>
          <w:b/>
          <w:bCs/>
          <w:color w:val="000000"/>
          <w:sz w:val="22"/>
          <w:szCs w:val="22"/>
        </w:rPr>
        <w:t xml:space="preserve">REFERENCES</w:t>
      </w:r>
      <w:r/>
    </w:p>
    <w:p>
      <w:pPr>
        <w:pBdr/>
        <w:spacing w:after="80" w:before="0" w:line="240" w:lineRule="auto"/>
        <w:ind w:hanging="400" w:left="400"/>
        <w:jc w:val="both"/>
        <w:rPr/>
      </w:pPr>
      <w:r>
        <w:rPr>
          <w:rFonts w:ascii="Times New Roman" w:hAnsi="Times New Roman" w:eastAsia="Times New Roman" w:cs="Times New Roman"/>
          <w:sz w:val="20"/>
          <w:szCs w:val="20"/>
        </w:rPr>
        <w:t xml:space="preserve">[1] M. Armbrust, A. Fox, R. Griffith, A. D. Joseph, R. Katz, A. Konwinski, G. Lee, D. Patterson, A. Rabkin, I. Stoica, and M. Zaharia, “A view of cloud computing,” Communications of the ACM, vol. 53, no. 4, pp. 50–58, 2010.</w:t>
      </w:r>
      <w:r/>
    </w:p>
    <w:p>
      <w:pPr>
        <w:pBdr/>
        <w:spacing w:after="80" w:before="0" w:line="240" w:lineRule="auto"/>
        <w:ind w:hanging="400" w:left="400"/>
        <w:jc w:val="both"/>
        <w:rPr/>
      </w:pPr>
      <w:r>
        <w:rPr>
          <w:rFonts w:ascii="Times New Roman" w:hAnsi="Times New Roman" w:eastAsia="Times New Roman" w:cs="Times New Roman"/>
          <w:sz w:val="20"/>
          <w:szCs w:val="20"/>
        </w:rPr>
        <w:t xml:space="preserve">[2] D. Zissis and D. Lekkas, “Addressing cloud computing security issues,” Future Generation Computer Systems, vol. 28, no. 3, pp. 583–591, 2012.</w:t>
      </w:r>
      <w:r/>
    </w:p>
    <w:p>
      <w:pPr>
        <w:pBdr/>
        <w:spacing w:after="80" w:before="0" w:line="240" w:lineRule="auto"/>
        <w:ind w:hanging="400" w:left="400"/>
        <w:jc w:val="both"/>
        <w:rPr/>
      </w:pPr>
      <w:r>
        <w:rPr>
          <w:rFonts w:ascii="Times New Roman" w:hAnsi="Times New Roman" w:eastAsia="Times New Roman" w:cs="Times New Roman"/>
          <w:sz w:val="20"/>
          <w:szCs w:val="20"/>
        </w:rPr>
        <w:t xml:space="preserve">[3] S. Subashini and V. Kavitha, “A survey on security issues in service delivery models of cloud computing,” Journal of Network and Computer Applications, vol. 34, no. 1, pp. 1–11, 2011.</w:t>
      </w:r>
      <w:r/>
    </w:p>
    <w:p>
      <w:pPr>
        <w:pBdr/>
        <w:spacing w:after="80" w:before="0" w:line="240" w:lineRule="auto"/>
        <w:ind w:hanging="400" w:left="400"/>
        <w:jc w:val="both"/>
        <w:rPr/>
      </w:pPr>
      <w:r>
        <w:rPr>
          <w:rFonts w:ascii="Times New Roman" w:hAnsi="Times New Roman" w:eastAsia="Times New Roman" w:cs="Times New Roman"/>
          <w:sz w:val="20"/>
          <w:szCs w:val="20"/>
        </w:rPr>
        <w:t xml:space="preserve">[4] S. Nakamoto, “Bitcoin: A peer-to-peer electronic cash system,” Cryptography Mailing List, 2008. [Online]. Available: https://bitcoin.org/bitcoin.pdf</w:t>
      </w:r>
      <w:r/>
    </w:p>
    <w:p>
      <w:pPr>
        <w:pBdr/>
        <w:spacing w:after="80" w:before="0" w:line="240" w:lineRule="auto"/>
        <w:ind w:hanging="400" w:left="400"/>
        <w:jc w:val="both"/>
        <w:rPr/>
      </w:pPr>
      <w:r>
        <w:rPr>
          <w:rFonts w:ascii="Times New Roman" w:hAnsi="Times New Roman" w:eastAsia="Times New Roman" w:cs="Times New Roman"/>
          <w:sz w:val="20"/>
          <w:szCs w:val="20"/>
        </w:rPr>
        <w:t xml:space="preserve">[5] S. Ghemawat, H. Gobioff, and S.-T. Leung, “The Google File System,” ACM SIGOPS Operating Systems Review, vol. 37, no. 5, pp. 29–43, 2003.</w:t>
      </w:r>
      <w:r/>
    </w:p>
    <w:p>
      <w:pPr>
        <w:pBdr/>
        <w:spacing w:after="80" w:before="0" w:line="240" w:lineRule="auto"/>
        <w:ind w:hanging="400" w:left="400"/>
        <w:jc w:val="both"/>
        <w:rPr/>
      </w:pPr>
      <w:r>
        <w:rPr>
          <w:rFonts w:ascii="Times New Roman" w:hAnsi="Times New Roman" w:eastAsia="Times New Roman" w:cs="Times New Roman"/>
          <w:sz w:val="20"/>
          <w:szCs w:val="20"/>
        </w:rPr>
        <w:t xml:space="preserve">[6] J. Benet, “IPFS — Content addressed, versioned, P2P file system,” arXiv preprint arXiv:1407.3561, 2014.</w:t>
      </w:r>
      <w:r/>
    </w:p>
    <w:p>
      <w:pPr>
        <w:pBdr/>
        <w:spacing w:after="80" w:before="0" w:line="240" w:lineRule="auto"/>
        <w:ind w:hanging="400" w:left="400"/>
        <w:jc w:val="both"/>
        <w:rPr/>
      </w:pPr>
      <w:r>
        <w:rPr>
          <w:rFonts w:ascii="Times New Roman" w:hAnsi="Times New Roman" w:eastAsia="Times New Roman" w:cs="Times New Roman"/>
          <w:sz w:val="20"/>
          <w:szCs w:val="20"/>
        </w:rPr>
        <w:t xml:space="preserve">[7] X. Xu, I. Weber, M. Staples, L. Zhu, J. Bosch, L. Bass, C. Pautasso, and P. Rimba, “A taxonomy of blockchain-based systems for architecture design,” in Proc. IEEE ICSA 2017, pp. 243–252.</w:t>
      </w:r>
      <w:r/>
    </w:p>
    <w:p>
      <w:pPr>
        <w:pBdr/>
        <w:spacing w:after="80" w:before="0" w:line="240" w:lineRule="auto"/>
        <w:ind w:hanging="400" w:left="400"/>
        <w:jc w:val="both"/>
        <w:rPr/>
      </w:pPr>
      <w:r>
        <w:rPr>
          <w:rFonts w:ascii="Times New Roman" w:hAnsi="Times New Roman" w:eastAsia="Times New Roman" w:cs="Times New Roman"/>
          <w:sz w:val="20"/>
          <w:szCs w:val="20"/>
        </w:rPr>
        <w:t xml:space="preserve">[8] M. Champion, M. Dahl, H. Halpin, and R. Sterne, “Web Cryptography API,” W3C Recommendation, World Wide Web Consortium, 2017.</w:t>
      </w:r>
      <w:r/>
    </w:p>
    <w:p>
      <w:pPr>
        <w:pBdr/>
        <w:spacing w:after="80" w:before="0" w:line="240" w:lineRule="auto"/>
        <w:ind w:hanging="400" w:left="400"/>
        <w:jc w:val="both"/>
        <w:rPr/>
      </w:pPr>
      <w:r>
        <w:rPr>
          <w:rFonts w:ascii="Times New Roman" w:hAnsi="Times New Roman" w:eastAsia="Times New Roman" w:cs="Times New Roman"/>
          <w:sz w:val="20"/>
          <w:szCs w:val="20"/>
        </w:rPr>
        <w:t xml:space="preserve">[9] S. A. Weil, S. A. Brandt, E. L. Miller, D. D. E. Long, and C. Maltzahn, “Ceph: A scalable, high-performance distributed file system,” in Proc. OSDI 2006, pp. 307–320.</w:t>
      </w:r>
      <w:r/>
    </w:p>
    <w:p>
      <w:pPr>
        <w:pBdr/>
        <w:spacing w:after="80" w:before="0" w:line="240" w:lineRule="auto"/>
        <w:ind w:hanging="400" w:left="400"/>
        <w:jc w:val="both"/>
        <w:rPr/>
      </w:pPr>
      <w:r>
        <w:rPr>
          <w:rFonts w:ascii="Times New Roman" w:hAnsi="Times New Roman" w:eastAsia="Times New Roman" w:cs="Times New Roman"/>
          <w:sz w:val="20"/>
          <w:szCs w:val="20"/>
        </w:rPr>
        <w:t xml:space="preserve">[10] A. Azaria, A. Ekblaw, T. Vieira, and A. Lippman, “MedRec: Using blockchain for medical data access and permission management,” in Proc. 2nd Int. Conf. Open and Big Data, 2016, pp. 25–30.</w:t>
      </w:r>
      <w:r/>
    </w:p>
    <w:p>
      <w:pPr>
        <w:pBdr/>
        <w:spacing w:after="80" w:before="0" w:line="240" w:lineRule="auto"/>
        <w:ind w:hanging="400" w:left="400"/>
        <w:jc w:val="both"/>
        <w:rPr/>
      </w:pPr>
      <w:r>
        <w:rPr>
          <w:rFonts w:ascii="Times New Roman" w:hAnsi="Times New Roman" w:eastAsia="Times New Roman" w:cs="Times New Roman"/>
          <w:sz w:val="20"/>
          <w:szCs w:val="20"/>
        </w:rPr>
        <w:t xml:space="preserve">[11] H. Takabi, J. B. Joshi, and G.-J. Ahn, “Security and privacy challenges in cloud computing environments,” IEEE Security &amp; Privacy, vol. 8, no. 6, pp. 24–31, 2010.</w:t>
      </w:r>
      <w:r/>
    </w:p>
    <w:p>
      <w:pPr>
        <w:pBdr/>
        <w:spacing w:after="80" w:before="0" w:line="240" w:lineRule="auto"/>
        <w:ind w:hanging="400" w:left="400"/>
        <w:jc w:val="both"/>
        <w:rPr/>
      </w:pPr>
      <w:r>
        <w:rPr>
          <w:rFonts w:ascii="Times New Roman" w:hAnsi="Times New Roman" w:eastAsia="Times New Roman" w:cs="Times New Roman"/>
          <w:sz w:val="20"/>
          <w:szCs w:val="20"/>
        </w:rPr>
        <w:t xml:space="preserve">[12] FastAPI Documentation. (2024). FastAPI — Modern, fast web framework for building APIs with Python. [Online]. Available: https://fastapi.tiangolo.com</w:t>
      </w:r>
      <w:r/>
    </w:p>
    <w:p>
      <w:pPr>
        <w:pBdr/>
        <w:spacing w:after="80" w:before="0" w:line="240" w:lineRule="auto"/>
        <w:ind w:hanging="400" w:left="400"/>
        <w:jc w:val="both"/>
        <w:rPr/>
      </w:pPr>
      <w:r>
        <w:rPr>
          <w:rFonts w:ascii="Times New Roman" w:hAnsi="Times New Roman" w:eastAsia="Times New Roman" w:cs="Times New Roman"/>
          <w:sz w:val="20"/>
          <w:szCs w:val="20"/>
        </w:rPr>
        <w:t xml:space="preserve">[13] React Documentation. (2024). React — The library for web and native user interfaces. [Online]. Available: https://react.dev</w:t>
      </w:r>
      <w:r/>
    </w:p>
    <w:p>
      <w:pPr>
        <w:pBdr/>
        <w:spacing w:after="80" w:before="0" w:line="240" w:lineRule="auto"/>
        <w:ind w:hanging="400" w:left="400"/>
        <w:jc w:val="both"/>
        <w:rPr/>
      </w:pPr>
      <w:r>
        <w:rPr>
          <w:rFonts w:ascii="Times New Roman" w:hAnsi="Times New Roman" w:eastAsia="Times New Roman" w:cs="Times New Roman"/>
          <w:sz w:val="20"/>
          <w:szCs w:val="20"/>
        </w:rPr>
        <w:t xml:space="preserve">[14] Docker Documentation. (2024). Docker: Accelerated container application development. [Online]. Available: https://docs.docker.com</w:t>
      </w:r>
      <w:r/>
    </w:p>
    <w:p>
      <w:pPr>
        <w:pBdr/>
        <w:spacing w:after="100" w:before="0"/>
        <w:ind/>
        <w:rPr/>
      </w:pPr>
      <w:r>
        <w:rPr>
          <w:sz w:val="22"/>
          <w:szCs w:val="22"/>
        </w:rPr>
      </w:r>
      <w:r/>
    </w:p>
    <w:p>
      <w:pPr>
        <w:pBdr>
          <w:bottom w:val="single" w:color="000000" w:sz="4" w:space="1"/>
        </w:pBdr>
        <w:spacing w:after="80" w:before="80"/>
        <w:ind/>
        <w:rPr/>
      </w:pPr>
      <w:r>
        <w:rPr>
          <w:sz w:val="2"/>
          <w:szCs w:val="2"/>
        </w:rPr>
      </w:r>
      <w:r/>
    </w:p>
    <w:p>
      <w:pPr>
        <w:pBdr/>
        <w:spacing w:after="80" w:before="120"/>
        <w:ind/>
        <w:jc w:val="center"/>
        <w:rPr/>
      </w:pPr>
      <w:r>
        <w:rPr>
          <w:rFonts w:ascii="Times New Roman" w:hAnsi="Times New Roman" w:eastAsia="Times New Roman" w:cs="Times New Roman"/>
          <w:b/>
          <w:bCs/>
          <w:sz w:val="22"/>
          <w:szCs w:val="22"/>
        </w:rPr>
        <w:t xml:space="preserve">Declaration of Originality</w:t>
      </w:r>
      <w:r/>
    </w:p>
    <w:p>
      <w:pPr>
        <w:pBdr/>
        <w:spacing w:after="120" w:before="0" w:line="276" w:lineRule="auto"/>
        <w:ind/>
        <w:jc w:val="both"/>
        <w:rPr/>
      </w:pPr>
      <w:r>
        <w:rPr>
          <w:rFonts w:ascii="Times New Roman" w:hAnsi="Times New Roman" w:eastAsia="Times New Roman" w:cs="Times New Roman"/>
          <w:b w:val="0"/>
          <w:bCs w:val="0"/>
          <w:i w:val="0"/>
          <w:iCs w:val="0"/>
          <w:color w:val="000000"/>
          <w:sz w:val="22"/>
          <w:szCs w:val="22"/>
        </w:rPr>
        <w:t xml:space="preserve">We hereby declare that this research paper and the underlying project work constitute an authentic and original contribution by the undersigned authors, conducted during</w:t>
      </w:r>
      <w:r>
        <w:rPr>
          <w:rFonts w:ascii="Times New Roman" w:hAnsi="Times New Roman" w:eastAsia="Times New Roman" w:cs="Times New Roman"/>
          <w:b w:val="0"/>
          <w:bCs w:val="0"/>
          <w:i w:val="0"/>
          <w:iCs w:val="0"/>
          <w:color w:val="000000"/>
          <w:sz w:val="22"/>
          <w:szCs w:val="22"/>
        </w:rPr>
        <w:t xml:space="preserve"> the B.Tech Final Year academic programme (2025–26) at the Department of Computer Science &amp; Engineering, Bundelkhand University, Jhansi. The work documented herein has not been submitted elsewhere for the award of any other degree, diploma, or publication.</w:t>
      </w:r>
      <w:r/>
    </w:p>
    <w:p>
      <w:pPr>
        <w:pBdr/>
        <w:spacing w:after="120" w:before="0"/>
        <w:ind/>
        <w:rPr/>
      </w:pPr>
      <w:r>
        <w:rPr>
          <w:sz w:val="22"/>
          <w:szCs w:val="22"/>
        </w:r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tc>
          <w:tcPr>
            <w:tcBorders>
              <w:top w:val="none" w:color="ffffff" w:sz="0" w:space="0"/>
              <w:left w:val="none" w:color="ffffff" w:sz="0" w:space="0"/>
              <w:bottom w:val="none" w:color="ffffff" w:sz="0" w:space="0"/>
              <w:right w:val="none" w:color="ffffff" w:sz="0" w:space="0"/>
            </w:tcBorders>
            <w:tcMar>
              <w:left w:w="0" w:type="dxa"/>
              <w:top w:w="80" w:type="dxa"/>
              <w:right w:w="0" w:type="dxa"/>
              <w:bottom w:w="80" w:type="dxa"/>
            </w:tcMar>
            <w:tcW w:w="4680" w:type="dxa"/>
          </w:tcPr>
          <w:p>
            <w:pPr>
              <w:pBdr/>
              <w:spacing/>
              <w:ind/>
              <w:rPr/>
            </w:pPr>
            <w:r>
              <w:rPr>
                <w:rFonts w:ascii="Times New Roman" w:hAnsi="Times New Roman" w:eastAsia="Times New Roman" w:cs="Times New Roman"/>
                <w:b/>
                <w:bCs/>
                <w:sz w:val="22"/>
                <w:szCs w:val="22"/>
              </w:rPr>
              <w:t xml:space="preserve">Anshuman Tripathi (Leader)</w:t>
            </w:r>
            <w:r/>
          </w:p>
          <w:p>
            <w:pPr>
              <w:pBdr/>
              <w:spacing/>
              <w:ind/>
              <w:rPr/>
            </w:pPr>
            <w:r>
              <w:rPr>
                <w:rFonts w:ascii="Times New Roman" w:hAnsi="Times New Roman" w:eastAsia="Times New Roman" w:cs="Times New Roman"/>
                <w:sz w:val="20"/>
                <w:szCs w:val="20"/>
              </w:rPr>
              <w:t xml:space="preserve">Roll No.: ________________</w:t>
            </w:r>
            <w:r/>
          </w:p>
          <w:p>
            <w:pPr>
              <w:pBdr/>
              <w:spacing w:after="100"/>
              <w:ind/>
              <w:rPr/>
            </w:pPr>
            <w:r>
              <w:rPr>
                <w:rFonts w:ascii="Times New Roman" w:hAnsi="Times New Roman" w:eastAsia="Times New Roman" w:cs="Times New Roman"/>
                <w:sz w:val="20"/>
                <w:szCs w:val="20"/>
              </w:rPr>
              <w:t xml:space="preserve">Signature: _______________</w:t>
            </w:r>
            <w:r/>
          </w:p>
        </w:tc>
        <w:tc>
          <w:tcPr>
            <w:tcBorders>
              <w:top w:val="none" w:color="ffffff" w:sz="0" w:space="0"/>
              <w:left w:val="none" w:color="ffffff" w:sz="0" w:space="0"/>
              <w:bottom w:val="none" w:color="ffffff" w:sz="0" w:space="0"/>
              <w:right w:val="none" w:color="ffffff" w:sz="0" w:space="0"/>
            </w:tcBorders>
            <w:tcMar>
              <w:left w:w="100" w:type="dxa"/>
              <w:top w:w="80" w:type="dxa"/>
              <w:right w:w="0" w:type="dxa"/>
              <w:bottom w:w="80" w:type="dxa"/>
            </w:tcMar>
            <w:tcW w:w="4680" w:type="dxa"/>
          </w:tcPr>
          <w:p w14:paraId="1F097619">
            <w:pPr>
              <w:pBdr/>
              <w:spacing/>
              <w:ind/>
              <w:rPr/>
            </w:pPr>
            <w:r/>
            <w:r/>
          </w:p>
        </w:tc>
      </w:tr>
      <w:tr>
        <w:trPr/>
        <w:tc>
          <w:tcPr>
            <w:gridSpan w:val="2"/>
            <w:tcBorders>
              <w:top w:val="none" w:color="ffffff" w:sz="0" w:space="0"/>
              <w:left w:val="none" w:color="ffffff" w:sz="0" w:space="0"/>
              <w:bottom w:val="none" w:color="ffffff" w:sz="0" w:space="0"/>
              <w:right w:val="none" w:color="ffffff" w:sz="0" w:space="0"/>
            </w:tcBorders>
            <w:tcMar>
              <w:left w:w="0" w:type="dxa"/>
              <w:top w:w="120" w:type="dxa"/>
              <w:right w:w="0" w:type="dxa"/>
              <w:bottom w:w="80" w:type="dxa"/>
            </w:tcMar>
            <w:tcW w:w="9360" w:type="dxa"/>
          </w:tcPr>
          <w:p>
            <w:pPr>
              <w:pBdr/>
              <w:spacing/>
              <w:ind/>
              <w:rPr/>
            </w:pPr>
            <w:r>
              <w:rPr>
                <w:rFonts w:ascii="Times New Roman" w:hAnsi="Times New Roman" w:eastAsia="Times New Roman" w:cs="Times New Roman"/>
                <w:sz w:val="20"/>
                <w:szCs w:val="20"/>
              </w:rPr>
              <w:t xml:space="preserve">Project Guide: Dr. Lalit Kumar Gupta  |  Date: _____________</w:t>
            </w:r>
            <w:r/>
          </w:p>
          <w:p>
            <w:pPr>
              <w:pBdr/>
              <w:spacing w:before="60"/>
              <w:ind/>
              <w:rPr/>
            </w:pPr>
            <w:r>
              <w:rPr>
                <w:rFonts w:ascii="Times New Roman" w:hAnsi="Times New Roman" w:eastAsia="Times New Roman" w:cs="Times New Roman"/>
                <w:sz w:val="20"/>
                <w:szCs w:val="20"/>
              </w:rPr>
              <w:t xml:space="preserve">HOD Signature: _________________________________  |  Date: _____________</w:t>
            </w:r>
            <w:r/>
          </w:p>
        </w:tc>
      </w:tr>
    </w:tbl>
    <w:sectPr>
      <w:headerReference w:type="default" r:id="rId9"/>
      <w:footerReference w:type="default" r:id="rId10"/>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000000" w:sz="4" w:space="1"/>
      </w:pBdr>
      <w:spacing w:before="80"/>
      <w:ind/>
      <w:jc w:val="center"/>
      <w:rPr/>
    </w:pPr>
    <w:r>
      <w:rPr>
        <w:rFonts w:ascii="Times New Roman" w:hAnsi="Times New Roman" w:eastAsia="Times New Roman" w:cs="Times New Roman"/>
        <w:color w:val="444444"/>
        <w:sz w:val="18"/>
        <w:szCs w:val="18"/>
      </w:rPr>
      <w:t xml:space="preserve">Page </w:t>
    </w:r>
    <w:r>
      <w:rPr>
        <w:rFonts w:ascii="Times New Roman" w:hAnsi="Times New Roman" w:eastAsia="Times New Roman" w:cs="Times New Roman"/>
        <w:color w:val="444444"/>
        <w:sz w:val="18"/>
        <w:szCs w:val="18"/>
      </w:rPr>
      <w:fldChar w:fldCharType="begin"/>
      <w:instrText xml:space="preserve">PAGE</w:instrText>
      <w:fldChar w:fldCharType="separate"/>
      <w:fldChar w:fldCharType="end"/>
    </w:r>
    <w:r>
      <w:rPr>
        <w:rFonts w:ascii="Times New Roman" w:hAnsi="Times New Roman" w:eastAsia="Times New Roman" w:cs="Times New Roman"/>
        <w:color w:val="444444"/>
        <w:sz w:val="18"/>
        <w:szCs w:val="18"/>
      </w:rPr>
      <w:t xml:space="preserve"> | Decentralized Cloud Storage with Blockchain Auditability</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000000" w:sz="4" w:space="1"/>
      </w:pBdr>
      <w:spacing w:after="80"/>
      <w:ind/>
      <w:jc w:val="center"/>
      <w:rPr/>
    </w:pPr>
    <w:r>
      <w:rPr>
        <w:rFonts w:ascii="Times New Roman" w:hAnsi="Times New Roman" w:eastAsia="Times New Roman" w:cs="Times New Roman"/>
        <w:i/>
        <w:iCs/>
        <w:color w:val="444444"/>
        <w:sz w:val="18"/>
        <w:szCs w:val="18"/>
      </w:rPr>
      <w:t xml:space="preserve">Decentralized Cloud Storage System Research Paper</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2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9">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0">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1">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2">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3">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default="1">
    <w:name w:val="Normal"/>
    <w:qFormat/>
    <w:pPr>
      <w:pBdr/>
      <w:spacing/>
      <w:ind/>
    </w:pPr>
  </w:style>
  <w:style w:type="paragraph" w:styleId="855">
    <w:name w:val="Heading 7"/>
    <w:basedOn w:val="854"/>
    <w:next w:val="854"/>
    <w:link w:val="86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854"/>
    <w:next w:val="854"/>
    <w:link w:val="8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854"/>
    <w:next w:val="854"/>
    <w:link w:val="8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numbering" w:styleId="859" w:default="1">
    <w:name w:val="No List"/>
    <w:uiPriority w:val="99"/>
    <w:semiHidden/>
    <w:unhideWhenUsed/>
    <w:pPr>
      <w:pBdr/>
      <w:spacing/>
      <w:ind/>
    </w:pPr>
  </w:style>
  <w:style w:type="character" w:styleId="860">
    <w:name w:val="Heading 1 Char"/>
    <w:basedOn w:val="858"/>
    <w:link w:val="902"/>
    <w:uiPriority w:val="9"/>
    <w:pPr>
      <w:pBdr/>
      <w:spacing/>
      <w:ind/>
    </w:pPr>
    <w:rPr>
      <w:rFonts w:ascii="Arial" w:hAnsi="Arial" w:eastAsia="Arial" w:cs="Arial"/>
      <w:color w:val="0f4761" w:themeColor="accent1" w:themeShade="BF"/>
      <w:sz w:val="40"/>
      <w:szCs w:val="40"/>
    </w:rPr>
  </w:style>
  <w:style w:type="character" w:styleId="861">
    <w:name w:val="Heading 2 Char"/>
    <w:basedOn w:val="858"/>
    <w:link w:val="903"/>
    <w:uiPriority w:val="9"/>
    <w:pPr>
      <w:pBdr/>
      <w:spacing/>
      <w:ind/>
    </w:pPr>
    <w:rPr>
      <w:rFonts w:ascii="Arial" w:hAnsi="Arial" w:eastAsia="Arial" w:cs="Arial"/>
      <w:color w:val="0f4761" w:themeColor="accent1" w:themeShade="BF"/>
      <w:sz w:val="32"/>
      <w:szCs w:val="32"/>
    </w:rPr>
  </w:style>
  <w:style w:type="character" w:styleId="862">
    <w:name w:val="Heading 3 Char"/>
    <w:basedOn w:val="858"/>
    <w:link w:val="904"/>
    <w:uiPriority w:val="9"/>
    <w:pPr>
      <w:pBdr/>
      <w:spacing/>
      <w:ind/>
    </w:pPr>
    <w:rPr>
      <w:rFonts w:ascii="Arial" w:hAnsi="Arial" w:eastAsia="Arial" w:cs="Arial"/>
      <w:color w:val="0f4761" w:themeColor="accent1" w:themeShade="BF"/>
      <w:sz w:val="28"/>
      <w:szCs w:val="28"/>
    </w:rPr>
  </w:style>
  <w:style w:type="character" w:styleId="863">
    <w:name w:val="Heading 4 Char"/>
    <w:basedOn w:val="858"/>
    <w:link w:val="905"/>
    <w:uiPriority w:val="9"/>
    <w:pPr>
      <w:pBdr/>
      <w:spacing/>
      <w:ind/>
    </w:pPr>
    <w:rPr>
      <w:rFonts w:ascii="Arial" w:hAnsi="Arial" w:eastAsia="Arial" w:cs="Arial"/>
      <w:i/>
      <w:iCs/>
      <w:color w:val="0f4761" w:themeColor="accent1" w:themeShade="BF"/>
    </w:rPr>
  </w:style>
  <w:style w:type="character" w:styleId="864">
    <w:name w:val="Heading 5 Char"/>
    <w:basedOn w:val="858"/>
    <w:link w:val="906"/>
    <w:uiPriority w:val="9"/>
    <w:pPr>
      <w:pBdr/>
      <w:spacing/>
      <w:ind/>
    </w:pPr>
    <w:rPr>
      <w:rFonts w:ascii="Arial" w:hAnsi="Arial" w:eastAsia="Arial" w:cs="Arial"/>
      <w:color w:val="0f4761" w:themeColor="accent1" w:themeShade="BF"/>
    </w:rPr>
  </w:style>
  <w:style w:type="character" w:styleId="865">
    <w:name w:val="Heading 6 Char"/>
    <w:basedOn w:val="858"/>
    <w:link w:val="907"/>
    <w:uiPriority w:val="9"/>
    <w:pPr>
      <w:pBdr/>
      <w:spacing/>
      <w:ind/>
    </w:pPr>
    <w:rPr>
      <w:rFonts w:ascii="Arial" w:hAnsi="Arial" w:eastAsia="Arial" w:cs="Arial"/>
      <w:i/>
      <w:iCs/>
      <w:color w:val="595959" w:themeColor="text1" w:themeTint="A6"/>
    </w:rPr>
  </w:style>
  <w:style w:type="character" w:styleId="866">
    <w:name w:val="Heading 7 Char"/>
    <w:basedOn w:val="858"/>
    <w:link w:val="855"/>
    <w:uiPriority w:val="9"/>
    <w:pPr>
      <w:pBdr/>
      <w:spacing/>
      <w:ind/>
    </w:pPr>
    <w:rPr>
      <w:rFonts w:ascii="Arial" w:hAnsi="Arial" w:eastAsia="Arial" w:cs="Arial"/>
      <w:color w:val="595959" w:themeColor="text1" w:themeTint="A6"/>
    </w:rPr>
  </w:style>
  <w:style w:type="character" w:styleId="867">
    <w:name w:val="Heading 8 Char"/>
    <w:basedOn w:val="858"/>
    <w:link w:val="856"/>
    <w:uiPriority w:val="9"/>
    <w:pPr>
      <w:pBdr/>
      <w:spacing/>
      <w:ind/>
    </w:pPr>
    <w:rPr>
      <w:rFonts w:ascii="Arial" w:hAnsi="Arial" w:eastAsia="Arial" w:cs="Arial"/>
      <w:i/>
      <w:iCs/>
      <w:color w:val="272727" w:themeColor="text1" w:themeTint="D8"/>
    </w:rPr>
  </w:style>
  <w:style w:type="character" w:styleId="868">
    <w:name w:val="Heading 9 Char"/>
    <w:basedOn w:val="858"/>
    <w:link w:val="857"/>
    <w:uiPriority w:val="9"/>
    <w:pPr>
      <w:pBdr/>
      <w:spacing/>
      <w:ind/>
    </w:pPr>
    <w:rPr>
      <w:rFonts w:ascii="Arial" w:hAnsi="Arial" w:eastAsia="Arial" w:cs="Arial"/>
      <w:i/>
      <w:iCs/>
      <w:color w:val="272727" w:themeColor="text1" w:themeTint="D8"/>
    </w:rPr>
  </w:style>
  <w:style w:type="character" w:styleId="869">
    <w:name w:val="Title Char"/>
    <w:basedOn w:val="858"/>
    <w:link w:val="901"/>
    <w:uiPriority w:val="10"/>
    <w:pPr>
      <w:pBdr/>
      <w:spacing/>
      <w:ind/>
    </w:pPr>
    <w:rPr>
      <w:rFonts w:ascii="Arial" w:hAnsi="Arial" w:eastAsia="Arial" w:cs="Arial"/>
      <w:spacing w:val="-10"/>
      <w:sz w:val="56"/>
      <w:szCs w:val="56"/>
    </w:rPr>
  </w:style>
  <w:style w:type="paragraph" w:styleId="870">
    <w:name w:val="Subtitle"/>
    <w:basedOn w:val="854"/>
    <w:next w:val="854"/>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854"/>
    <w:next w:val="854"/>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854"/>
    <w:next w:val="854"/>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paragraph" w:styleId="878">
    <w:name w:val="No Spacing"/>
    <w:basedOn w:val="854"/>
    <w:uiPriority w:val="1"/>
    <w:qFormat/>
    <w:pPr>
      <w:pBdr/>
      <w:spacing w:after="0" w:line="240" w:lineRule="auto"/>
      <w:ind/>
    </w:pPr>
  </w:style>
  <w:style w:type="character" w:styleId="879">
    <w:name w:val="Subtle Emphasis"/>
    <w:basedOn w:val="858"/>
    <w:uiPriority w:val="19"/>
    <w:qFormat/>
    <w:pPr>
      <w:pBdr/>
      <w:spacing/>
      <w:ind/>
    </w:pPr>
    <w:rPr>
      <w:i/>
      <w:iCs/>
      <w:color w:val="404040" w:themeColor="text1" w:themeTint="BF"/>
    </w:rPr>
  </w:style>
  <w:style w:type="character" w:styleId="880">
    <w:name w:val="Emphasis"/>
    <w:basedOn w:val="858"/>
    <w:uiPriority w:val="20"/>
    <w:qFormat/>
    <w:pPr>
      <w:pBdr/>
      <w:spacing/>
      <w:ind/>
    </w:pPr>
    <w:rPr>
      <w:i/>
      <w:i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854"/>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854"/>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854"/>
    <w:next w:val="854"/>
    <w:uiPriority w:val="35"/>
    <w:unhideWhenUsed/>
    <w:qFormat/>
    <w:pPr>
      <w:pBdr/>
      <w:spacing w:after="200" w:line="240" w:lineRule="auto"/>
      <w:ind/>
    </w:pPr>
    <w:rPr>
      <w:i/>
      <w:iCs/>
      <w:color w:val="0e2841" w:themeColor="text2"/>
      <w:sz w:val="18"/>
      <w:szCs w:val="18"/>
    </w:rPr>
  </w:style>
  <w:style w:type="character" w:styleId="888">
    <w:name w:val="FollowedHyperlink"/>
    <w:basedOn w:val="858"/>
    <w:uiPriority w:val="99"/>
    <w:semiHidden/>
    <w:unhideWhenUsed/>
    <w:pPr>
      <w:pBdr/>
      <w:spacing/>
      <w:ind/>
    </w:pPr>
    <w:rPr>
      <w:color w:val="954f72" w:themeColor="followedHyperlink"/>
      <w:u w:val="single"/>
    </w:rPr>
  </w:style>
  <w:style w:type="paragraph" w:styleId="889">
    <w:name w:val="toc 1"/>
    <w:basedOn w:val="854"/>
    <w:next w:val="854"/>
    <w:uiPriority w:val="39"/>
    <w:unhideWhenUsed/>
    <w:pPr>
      <w:pBdr/>
      <w:spacing w:after="100"/>
      <w:ind/>
    </w:pPr>
  </w:style>
  <w:style w:type="paragraph" w:styleId="890">
    <w:name w:val="toc 2"/>
    <w:basedOn w:val="854"/>
    <w:next w:val="854"/>
    <w:uiPriority w:val="39"/>
    <w:unhideWhenUsed/>
    <w:pPr>
      <w:pBdr/>
      <w:spacing w:after="100"/>
      <w:ind w:left="220"/>
    </w:pPr>
  </w:style>
  <w:style w:type="paragraph" w:styleId="891">
    <w:name w:val="toc 3"/>
    <w:basedOn w:val="854"/>
    <w:next w:val="854"/>
    <w:uiPriority w:val="39"/>
    <w:unhideWhenUsed/>
    <w:pPr>
      <w:pBdr/>
      <w:spacing w:after="100"/>
      <w:ind w:left="440"/>
    </w:pPr>
  </w:style>
  <w:style w:type="paragraph" w:styleId="892">
    <w:name w:val="toc 4"/>
    <w:basedOn w:val="854"/>
    <w:next w:val="854"/>
    <w:uiPriority w:val="39"/>
    <w:unhideWhenUsed/>
    <w:pPr>
      <w:pBdr/>
      <w:spacing w:after="100"/>
      <w:ind w:left="660"/>
    </w:pPr>
  </w:style>
  <w:style w:type="paragraph" w:styleId="893">
    <w:name w:val="toc 5"/>
    <w:basedOn w:val="854"/>
    <w:next w:val="854"/>
    <w:uiPriority w:val="39"/>
    <w:unhideWhenUsed/>
    <w:pPr>
      <w:pBdr/>
      <w:spacing w:after="100"/>
      <w:ind w:left="880"/>
    </w:pPr>
  </w:style>
  <w:style w:type="paragraph" w:styleId="894">
    <w:name w:val="toc 6"/>
    <w:basedOn w:val="854"/>
    <w:next w:val="854"/>
    <w:uiPriority w:val="39"/>
    <w:unhideWhenUsed/>
    <w:pPr>
      <w:pBdr/>
      <w:spacing w:after="100"/>
      <w:ind w:left="1100"/>
    </w:pPr>
  </w:style>
  <w:style w:type="paragraph" w:styleId="895">
    <w:name w:val="toc 7"/>
    <w:basedOn w:val="854"/>
    <w:next w:val="854"/>
    <w:uiPriority w:val="39"/>
    <w:unhideWhenUsed/>
    <w:pPr>
      <w:pBdr/>
      <w:spacing w:after="100"/>
      <w:ind w:left="1320"/>
    </w:pPr>
  </w:style>
  <w:style w:type="paragraph" w:styleId="896">
    <w:name w:val="toc 8"/>
    <w:basedOn w:val="854"/>
    <w:next w:val="854"/>
    <w:uiPriority w:val="39"/>
    <w:unhideWhenUsed/>
    <w:pPr>
      <w:pBdr/>
      <w:spacing w:after="100"/>
      <w:ind w:left="1540"/>
    </w:pPr>
  </w:style>
  <w:style w:type="paragraph" w:styleId="897">
    <w:name w:val="toc 9"/>
    <w:basedOn w:val="854"/>
    <w:next w:val="854"/>
    <w:uiPriority w:val="39"/>
    <w:unhideWhenUsed/>
    <w:pPr>
      <w:pBdr/>
      <w:spacing w:after="100"/>
      <w:ind w:left="1760"/>
    </w:pPr>
  </w:style>
  <w:style w:type="character" w:styleId="898">
    <w:name w:val="Placeholder Text"/>
    <w:basedOn w:val="858"/>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854"/>
    <w:next w:val="854"/>
    <w:uiPriority w:val="99"/>
    <w:unhideWhenUsed/>
    <w:pPr>
      <w:pBdr/>
      <w:spacing w:after="0" w:afterAutospacing="0"/>
      <w:ind/>
    </w:pPr>
  </w:style>
  <w:style w:type="paragraph" w:styleId="901">
    <w:name w:val="Title"/>
    <w:qFormat/>
    <w:pPr>
      <w:pBdr/>
      <w:spacing/>
      <w:ind/>
    </w:pPr>
    <w:rPr>
      <w:sz w:val="56"/>
      <w:szCs w:val="56"/>
    </w:rPr>
  </w:style>
  <w:style w:type="paragraph" w:styleId="902">
    <w:name w:val="Heading 1"/>
    <w:qFormat/>
    <w:pPr>
      <w:pBdr/>
      <w:spacing/>
      <w:ind/>
    </w:pPr>
    <w:rPr>
      <w:color w:val="2e74b5"/>
      <w:sz w:val="32"/>
      <w:szCs w:val="32"/>
    </w:rPr>
  </w:style>
  <w:style w:type="paragraph" w:styleId="903">
    <w:name w:val="Heading 2"/>
    <w:qFormat/>
    <w:pPr>
      <w:pBdr/>
      <w:spacing/>
      <w:ind/>
    </w:pPr>
    <w:rPr>
      <w:color w:val="2e74b5"/>
      <w:sz w:val="26"/>
      <w:szCs w:val="26"/>
    </w:rPr>
  </w:style>
  <w:style w:type="paragraph" w:styleId="904">
    <w:name w:val="Heading 3"/>
    <w:qFormat/>
    <w:pPr>
      <w:pBdr/>
      <w:spacing/>
      <w:ind/>
    </w:pPr>
    <w:rPr>
      <w:color w:val="1f4d78"/>
      <w:sz w:val="24"/>
      <w:szCs w:val="24"/>
    </w:rPr>
  </w:style>
  <w:style w:type="paragraph" w:styleId="905">
    <w:name w:val="Heading 4"/>
    <w:qFormat/>
    <w:pPr>
      <w:pBdr/>
      <w:spacing/>
      <w:ind/>
    </w:pPr>
    <w:rPr>
      <w:i/>
      <w:iCs/>
      <w:color w:val="2e74b5"/>
    </w:rPr>
  </w:style>
  <w:style w:type="paragraph" w:styleId="906">
    <w:name w:val="Heading 5"/>
    <w:qFormat/>
    <w:pPr>
      <w:pBdr/>
      <w:spacing/>
      <w:ind/>
    </w:pPr>
    <w:rPr>
      <w:color w:val="2e74b5"/>
    </w:rPr>
  </w:style>
  <w:style w:type="paragraph" w:styleId="907">
    <w:name w:val="Heading 6"/>
    <w:qFormat/>
    <w:pPr>
      <w:pBdr/>
      <w:spacing/>
      <w:ind/>
    </w:pPr>
    <w:rPr>
      <w:color w:val="1f4d78"/>
    </w:rPr>
  </w:style>
  <w:style w:type="paragraph" w:styleId="908">
    <w:name w:val="Strong"/>
    <w:qFormat/>
    <w:pPr>
      <w:pBdr/>
      <w:spacing/>
      <w:ind/>
    </w:pPr>
    <w:rPr>
      <w:b/>
      <w:bCs/>
    </w:rPr>
  </w:style>
  <w:style w:type="paragraph" w:styleId="909">
    <w:name w:val="List Paragraph"/>
    <w:qFormat/>
    <w:pPr>
      <w:pBdr/>
      <w:spacing/>
      <w:ind/>
    </w:pPr>
  </w:style>
  <w:style w:type="character" w:styleId="910">
    <w:name w:val="Hyperlink"/>
    <w:uiPriority w:val="99"/>
    <w:unhideWhenUsed/>
    <w:pPr>
      <w:pBdr/>
      <w:spacing/>
      <w:ind/>
    </w:pPr>
    <w:rPr>
      <w:color w:val="0563c1"/>
      <w:u w:val="single"/>
    </w:rPr>
  </w:style>
  <w:style w:type="character" w:styleId="911">
    <w:name w:val="footnote reference"/>
    <w:uiPriority w:val="99"/>
    <w:semiHidden/>
    <w:unhideWhenUsed/>
    <w:pPr>
      <w:pBdr/>
      <w:spacing/>
      <w:ind/>
    </w:pPr>
    <w:rPr>
      <w:vertAlign w:val="superscript"/>
    </w:rPr>
  </w:style>
  <w:style w:type="paragraph" w:styleId="912">
    <w:name w:val="footnote text"/>
    <w:link w:val="913"/>
    <w:uiPriority w:val="99"/>
    <w:semiHidden/>
    <w:unhideWhenUsed/>
    <w:pPr>
      <w:pBdr/>
      <w:spacing w:after="0" w:line="240" w:lineRule="auto"/>
      <w:ind/>
    </w:pPr>
    <w:rPr>
      <w:sz w:val="20"/>
      <w:szCs w:val="20"/>
    </w:rPr>
  </w:style>
  <w:style w:type="character" w:styleId="913">
    <w:name w:val="Footnote Text Char"/>
    <w:link w:val="912"/>
    <w:uiPriority w:val="99"/>
    <w:semiHidden/>
    <w:unhideWhenUsed/>
    <w:pPr>
      <w:pBdr/>
      <w:spacing/>
      <w:ind/>
    </w:pPr>
    <w:rPr>
      <w:sz w:val="20"/>
      <w:szCs w:val="20"/>
    </w:rPr>
  </w:style>
  <w:style w:type="character" w:styleId="914">
    <w:name w:val="endnote reference"/>
    <w:uiPriority w:val="99"/>
    <w:semiHidden/>
    <w:unhideWhenUsed/>
    <w:pPr>
      <w:pBdr/>
      <w:spacing/>
      <w:ind/>
    </w:pPr>
    <w:rPr>
      <w:vertAlign w:val="superscript"/>
    </w:rPr>
  </w:style>
  <w:style w:type="paragraph" w:styleId="915">
    <w:name w:val="endnote text"/>
    <w:link w:val="916"/>
    <w:uiPriority w:val="99"/>
    <w:semiHidden/>
    <w:unhideWhenUsed/>
    <w:pPr>
      <w:pBdr/>
      <w:spacing w:after="0" w:line="240" w:lineRule="auto"/>
      <w:ind/>
    </w:pPr>
    <w:rPr>
      <w:sz w:val="20"/>
      <w:szCs w:val="20"/>
    </w:rPr>
  </w:style>
  <w:style w:type="character" w:styleId="916">
    <w:name w:val="Endnote Text Char"/>
    <w:link w:val="915"/>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2026-04-06T09:04:40Z</dcterms:created>
  <dcterms:modified xsi:type="dcterms:W3CDTF">2026-04-08T17:51:36Z</dcterms:modified>
</cp:coreProperties>
</file>