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E3A8A"/>
          <w:sz w:val="48"/>
        </w:rPr>
        <w:t>SAKSHI (साक्षी)</w:t>
      </w:r>
    </w:p>
    <w:p>
      <w:pPr>
        <w:spacing w:after="240"/>
      </w:pPr>
      <w:r>
        <w:rPr>
          <w:b/>
          <w:color w:val="475569"/>
          <w:sz w:val="26"/>
        </w:rPr>
        <w:t>Zero-Knowledge Contract Conformance Assurance for Digital Lending</w:t>
        <w:br/>
        <w:t>Single Source of Truth (SSOT) &amp; Technical Master Reference</w:t>
      </w:r>
    </w:p>
    <w:tbl>
      <w:tblPr>
        <w:tblW w:type="auto" w:w="0"/>
        <w:jc w:val="center"/>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1E3A8A"/>
                <w:sz w:val="17"/>
              </w:rPr>
              <w:t>Project Scope</w:t>
            </w:r>
          </w:p>
        </w:tc>
        <w:tc>
          <w:tcPr>
            <w:tcW w:type="dxa" w:w="7200"/>
            <w:tcMar>
              <w:top w:w="60" w:type="dxa"/>
              <w:bottom w:w="60" w:type="dxa"/>
              <w:left w:w="100" w:type="dxa"/>
              <w:right w:w="100" w:type="dxa"/>
            </w:tcMar>
          </w:tcPr>
          <w:p>
            <w:r>
              <w:rPr>
                <w:sz w:val="17"/>
              </w:rPr>
              <w:t>ZK-Proof Verification Appliance for RBI Digital Lending Directions 2025 &amp; DPDP Act 2023</w:t>
            </w:r>
          </w:p>
        </w:tc>
      </w:tr>
      <w:tr>
        <w:tc>
          <w:tcPr>
            <w:tcW w:type="dxa" w:w="2880"/>
            <w:shd w:fill="F1F5F9"/>
            <w:tcMar>
              <w:top w:w="60" w:type="dxa"/>
              <w:bottom w:w="60" w:type="dxa"/>
              <w:left w:w="100" w:type="dxa"/>
              <w:right w:w="100" w:type="dxa"/>
            </w:tcMar>
          </w:tcPr>
          <w:p>
            <w:r>
              <w:rPr>
                <w:b/>
                <w:color w:val="1E3A8A"/>
                <w:sz w:val="17"/>
              </w:rPr>
              <w:t>Target Users</w:t>
            </w:r>
          </w:p>
        </w:tc>
        <w:tc>
          <w:tcPr>
            <w:tcW w:type="dxa" w:w="7200"/>
            <w:tcMar>
              <w:top w:w="60" w:type="dxa"/>
              <w:bottom w:w="60" w:type="dxa"/>
              <w:left w:w="100" w:type="dxa"/>
              <w:right w:w="100" w:type="dxa"/>
            </w:tcMar>
          </w:tcPr>
          <w:p>
            <w:r>
              <w:rPr>
                <w:sz w:val="17"/>
              </w:rPr>
              <w:t>Regulated Entities (Lending Banks, NBFCs) &amp; Loan Service Providers (FinTech Enclaves)</w:t>
            </w:r>
          </w:p>
        </w:tc>
      </w:tr>
      <w:tr>
        <w:tc>
          <w:tcPr>
            <w:tcW w:type="dxa" w:w="2880"/>
            <w:shd w:fill="F1F5F9"/>
            <w:tcMar>
              <w:top w:w="60" w:type="dxa"/>
              <w:bottom w:w="60" w:type="dxa"/>
              <w:left w:w="100" w:type="dxa"/>
              <w:right w:w="100" w:type="dxa"/>
            </w:tcMar>
          </w:tcPr>
          <w:p>
            <w:r>
              <w:rPr>
                <w:b/>
                <w:color w:val="1E3A8A"/>
                <w:sz w:val="17"/>
              </w:rPr>
              <w:t>Production Topology</w:t>
            </w:r>
          </w:p>
        </w:tc>
        <w:tc>
          <w:tcPr>
            <w:tcW w:type="dxa" w:w="7200"/>
            <w:tcMar>
              <w:top w:w="60" w:type="dxa"/>
              <w:bottom w:w="60" w:type="dxa"/>
              <w:left w:w="100" w:type="dxa"/>
              <w:right w:w="100" w:type="dxa"/>
            </w:tcMar>
          </w:tcPr>
          <w:p>
            <w:r>
              <w:rPr>
                <w:sz w:val="17"/>
              </w:rPr>
              <w:t>Two-Zone Isolated Appliance: Meridian Digital (Lender) &amp; Quick FinCorp Pvt Ltd (LSP)</w:t>
            </w:r>
          </w:p>
        </w:tc>
      </w:tr>
      <w:tr>
        <w:tc>
          <w:tcPr>
            <w:tcW w:type="dxa" w:w="2880"/>
            <w:shd w:fill="F1F5F9"/>
            <w:tcMar>
              <w:top w:w="60" w:type="dxa"/>
              <w:bottom w:w="60" w:type="dxa"/>
              <w:left w:w="100" w:type="dxa"/>
              <w:right w:w="100" w:type="dxa"/>
            </w:tcMar>
          </w:tcPr>
          <w:p>
            <w:r>
              <w:rPr>
                <w:b/>
                <w:color w:val="1E3A8A"/>
                <w:sz w:val="17"/>
              </w:rPr>
              <w:t>Hackathon Target</w:t>
            </w:r>
          </w:p>
        </w:tc>
        <w:tc>
          <w:tcPr>
            <w:tcW w:type="dxa" w:w="7200"/>
            <w:tcMar>
              <w:top w:w="60" w:type="dxa"/>
              <w:bottom w:w="60" w:type="dxa"/>
              <w:left w:w="100" w:type="dxa"/>
              <w:right w:w="100" w:type="dxa"/>
            </w:tcMar>
          </w:tcPr>
          <w:p>
            <w:r>
              <w:rPr>
                <w:sz w:val="17"/>
              </w:rPr>
              <w:t>Comprehensive Rubric Alignment: 100/100 Total Score Optimization</w:t>
            </w:r>
          </w:p>
        </w:tc>
      </w:tr>
    </w:tbl>
    <w:p>
      <w:pPr>
        <w:spacing w:after="160"/>
      </w:pPr>
    </w:p>
    <w:p>
      <w:pPr>
        <w:pStyle w:val="Heading1"/>
        <w:spacing w:before="320"/>
      </w:pPr>
      <w:r>
        <w:t>1. Hackathon Evaluation Rubric &amp; 100-Mark Strategy</w:t>
      </w:r>
    </w:p>
    <w:p>
      <w:r>
        <w:t>This master document serves as the absolute Single Source of Truth (SSOT) for the Sakshi platform. Every architectural decision, cryptographic primitive, mathematical assertion, and financial projection has been structured to address the hackathon evaluation parameters.</w:t>
      </w:r>
    </w:p>
    <w:tbl>
      <w:tblPr>
        <w:tblW w:type="auto" w:w="0"/>
        <w:jc w:val="center"/>
        <w:tblLook w:firstColumn="1" w:firstRow="1" w:lastColumn="0" w:lastRow="0" w:noHBand="0" w:noVBand="1" w:val="04A0"/>
      </w:tblPr>
      <w:tblGrid>
        <w:gridCol w:w="2484"/>
        <w:gridCol w:w="2484"/>
        <w:gridCol w:w="2484"/>
        <w:gridCol w:w="2484"/>
      </w:tblGrid>
      <w:tr>
        <w:tc>
          <w:tcPr>
            <w:tcW w:type="dxa" w:w="2016"/>
            <w:shd w:fill="1E3A8A"/>
            <w:tcMar>
              <w:top w:w="120" w:type="dxa"/>
              <w:bottom w:w="120" w:type="dxa"/>
              <w:left w:w="140" w:type="dxa"/>
              <w:right w:w="140" w:type="dxa"/>
            </w:tcMar>
          </w:tcPr>
          <w:p>
            <w:pPr>
              <w:jc w:val="left"/>
            </w:pPr>
            <w:r>
              <w:rPr>
                <w:b/>
                <w:color w:val="FFFFFF"/>
                <w:sz w:val="18"/>
              </w:rPr>
              <w:t>Parameter</w:t>
            </w:r>
          </w:p>
        </w:tc>
        <w:tc>
          <w:tcPr>
            <w:tcW w:type="dxa" w:w="1152"/>
            <w:shd w:fill="1E3A8A"/>
            <w:tcMar>
              <w:top w:w="120" w:type="dxa"/>
              <w:bottom w:w="120" w:type="dxa"/>
              <w:left w:w="140" w:type="dxa"/>
              <w:right w:w="140" w:type="dxa"/>
            </w:tcMar>
          </w:tcPr>
          <w:p>
            <w:pPr>
              <w:jc w:val="left"/>
            </w:pPr>
            <w:r>
              <w:rPr>
                <w:b/>
                <w:color w:val="FFFFFF"/>
                <w:sz w:val="18"/>
              </w:rPr>
              <w:t>Max Marks</w:t>
            </w:r>
          </w:p>
        </w:tc>
        <w:tc>
          <w:tcPr>
            <w:tcW w:type="dxa" w:w="4896"/>
            <w:shd w:fill="1E3A8A"/>
            <w:tcMar>
              <w:top w:w="120" w:type="dxa"/>
              <w:bottom w:w="120" w:type="dxa"/>
              <w:left w:w="140" w:type="dxa"/>
              <w:right w:w="140" w:type="dxa"/>
            </w:tcMar>
          </w:tcPr>
          <w:p>
            <w:pPr>
              <w:jc w:val="left"/>
            </w:pPr>
            <w:r>
              <w:rPr>
                <w:b/>
                <w:color w:val="FFFFFF"/>
                <w:sz w:val="18"/>
              </w:rPr>
              <w:t>Core Proof Points in Sakshi</w:t>
            </w:r>
          </w:p>
        </w:tc>
        <w:tc>
          <w:tcPr>
            <w:tcW w:type="dxa" w:w="2016"/>
            <w:shd w:fill="1E3A8A"/>
            <w:tcMar>
              <w:top w:w="120" w:type="dxa"/>
              <w:bottom w:w="120" w:type="dxa"/>
              <w:left w:w="140" w:type="dxa"/>
              <w:right w:w="140" w:type="dxa"/>
            </w:tcMar>
          </w:tcPr>
          <w:p>
            <w:pPr>
              <w:jc w:val="left"/>
            </w:pPr>
            <w:r>
              <w:rPr>
                <w:b/>
                <w:color w:val="FFFFFF"/>
                <w:sz w:val="18"/>
              </w:rPr>
              <w:t>Direct Document Section</w:t>
            </w:r>
          </w:p>
        </w:tc>
      </w:tr>
      <w:tr>
        <w:tc>
          <w:tcPr>
            <w:tcW w:type="dxa" w:w="2016"/>
            <w:tcMar>
              <w:top w:w="100" w:type="dxa"/>
              <w:bottom w:w="100" w:type="dxa"/>
              <w:left w:w="140" w:type="dxa"/>
              <w:right w:w="140" w:type="dxa"/>
            </w:tcMar>
          </w:tcPr>
          <w:p>
            <w:pPr>
              <w:jc w:val="left"/>
            </w:pPr>
            <w:r>
              <w:rPr>
                <w:color w:val="1E293B"/>
                <w:sz w:val="17"/>
              </w:rPr>
              <w:t>Problem &amp; Relevance</w:t>
            </w:r>
          </w:p>
        </w:tc>
        <w:tc>
          <w:tcPr>
            <w:tcW w:type="dxa" w:w="1152"/>
            <w:tcMar>
              <w:top w:w="100" w:type="dxa"/>
              <w:bottom w:w="100" w:type="dxa"/>
              <w:left w:w="140" w:type="dxa"/>
              <w:right w:w="140" w:type="dxa"/>
            </w:tcMar>
          </w:tcPr>
          <w:p>
            <w:pPr>
              <w:jc w:val="left"/>
            </w:pPr>
            <w:r>
              <w:rPr>
                <w:color w:val="1E293B"/>
                <w:sz w:val="17"/>
              </w:rPr>
              <w:t>15</w:t>
            </w:r>
          </w:p>
        </w:tc>
        <w:tc>
          <w:tcPr>
            <w:tcW w:type="dxa" w:w="4896"/>
            <w:tcMar>
              <w:top w:w="100" w:type="dxa"/>
              <w:bottom w:w="100" w:type="dxa"/>
              <w:left w:w="140" w:type="dxa"/>
              <w:right w:w="140" w:type="dxa"/>
            </w:tcMar>
          </w:tcPr>
          <w:p>
            <w:pPr>
              <w:jc w:val="left"/>
            </w:pPr>
            <w:r>
              <w:rPr>
                <w:color w:val="1E293B"/>
                <w:sz w:val="17"/>
              </w:rPr>
              <w:t>Solves the multi-billion dollar impasse between Indian banks and FinTechs created by RBI 2022/2025 guidelines and DPDP Act 2023; resolves 'shadow underwriting' and unverified algorithmic drift.</w:t>
            </w:r>
          </w:p>
        </w:tc>
        <w:tc>
          <w:tcPr>
            <w:tcW w:type="dxa" w:w="2016"/>
            <w:tcMar>
              <w:top w:w="100" w:type="dxa"/>
              <w:bottom w:w="100" w:type="dxa"/>
              <w:left w:w="140" w:type="dxa"/>
              <w:right w:w="140" w:type="dxa"/>
            </w:tcMar>
          </w:tcPr>
          <w:p>
            <w:pPr>
              <w:jc w:val="left"/>
            </w:pPr>
            <w:r>
              <w:rPr>
                <w:color w:val="1E293B"/>
                <w:sz w:val="17"/>
              </w:rPr>
              <w:t>Section 2 &amp; 3</w:t>
            </w:r>
          </w:p>
        </w:tc>
      </w:tr>
      <w:tr>
        <w:tc>
          <w:tcPr>
            <w:tcW w:type="dxa" w:w="2016"/>
            <w:shd w:fill="F8FAFC"/>
            <w:tcMar>
              <w:top w:w="100" w:type="dxa"/>
              <w:bottom w:w="100" w:type="dxa"/>
              <w:left w:w="140" w:type="dxa"/>
              <w:right w:w="140" w:type="dxa"/>
            </w:tcMar>
          </w:tcPr>
          <w:p>
            <w:pPr>
              <w:jc w:val="left"/>
            </w:pPr>
            <w:r>
              <w:rPr>
                <w:color w:val="1E293B"/>
                <w:sz w:val="17"/>
              </w:rPr>
              <w:t>Innovation</w:t>
            </w:r>
          </w:p>
        </w:tc>
        <w:tc>
          <w:tcPr>
            <w:tcW w:type="dxa" w:w="1152"/>
            <w:shd w:fill="F8FAFC"/>
            <w:tcMar>
              <w:top w:w="100" w:type="dxa"/>
              <w:bottom w:w="100" w:type="dxa"/>
              <w:left w:w="140" w:type="dxa"/>
              <w:right w:w="140" w:type="dxa"/>
            </w:tcMar>
          </w:tcPr>
          <w:p>
            <w:pPr>
              <w:jc w:val="left"/>
            </w:pPr>
            <w:r>
              <w:rPr>
                <w:color w:val="1E293B"/>
                <w:sz w:val="17"/>
              </w:rPr>
              <w:t>20</w:t>
            </w:r>
          </w:p>
        </w:tc>
        <w:tc>
          <w:tcPr>
            <w:tcW w:type="dxa" w:w="4896"/>
            <w:shd w:fill="F8FAFC"/>
            <w:tcMar>
              <w:top w:w="100" w:type="dxa"/>
              <w:bottom w:w="100" w:type="dxa"/>
              <w:left w:w="140" w:type="dxa"/>
              <w:right w:w="140" w:type="dxa"/>
            </w:tcMar>
          </w:tcPr>
          <w:p>
            <w:pPr>
              <w:jc w:val="left"/>
            </w:pPr>
            <w:r>
              <w:rPr>
                <w:color w:val="1E293B"/>
                <w:sz w:val="17"/>
              </w:rPr>
              <w:t>First-of-its-kind application of zero-knowledge polynomial commitments (Halo2 KZG SNARKs) to enforce dual-signed credit policy contracts without exposing proprietary weights or borrower PII.</w:t>
            </w:r>
          </w:p>
        </w:tc>
        <w:tc>
          <w:tcPr>
            <w:tcW w:type="dxa" w:w="2016"/>
            <w:shd w:fill="F8FAFC"/>
            <w:tcMar>
              <w:top w:w="100" w:type="dxa"/>
              <w:bottom w:w="100" w:type="dxa"/>
              <w:left w:w="140" w:type="dxa"/>
              <w:right w:w="140" w:type="dxa"/>
            </w:tcMar>
          </w:tcPr>
          <w:p>
            <w:pPr>
              <w:jc w:val="left"/>
            </w:pPr>
            <w:r>
              <w:rPr>
                <w:color w:val="1E293B"/>
                <w:sz w:val="17"/>
              </w:rPr>
              <w:t>Section 4 &amp; 5</w:t>
            </w:r>
          </w:p>
        </w:tc>
      </w:tr>
      <w:tr>
        <w:tc>
          <w:tcPr>
            <w:tcW w:type="dxa" w:w="2016"/>
            <w:tcMar>
              <w:top w:w="100" w:type="dxa"/>
              <w:bottom w:w="100" w:type="dxa"/>
              <w:left w:w="140" w:type="dxa"/>
              <w:right w:w="140" w:type="dxa"/>
            </w:tcMar>
          </w:tcPr>
          <w:p>
            <w:pPr>
              <w:jc w:val="left"/>
            </w:pPr>
            <w:r>
              <w:rPr>
                <w:color w:val="1E293B"/>
                <w:sz w:val="17"/>
              </w:rPr>
              <w:t>Technical</w:t>
            </w:r>
          </w:p>
        </w:tc>
        <w:tc>
          <w:tcPr>
            <w:tcW w:type="dxa" w:w="1152"/>
            <w:tcMar>
              <w:top w:w="100" w:type="dxa"/>
              <w:bottom w:w="100" w:type="dxa"/>
              <w:left w:w="140" w:type="dxa"/>
              <w:right w:w="140" w:type="dxa"/>
            </w:tcMar>
          </w:tcPr>
          <w:p>
            <w:pPr>
              <w:jc w:val="left"/>
            </w:pPr>
            <w:r>
              <w:rPr>
                <w:color w:val="1E293B"/>
                <w:sz w:val="17"/>
              </w:rPr>
              <w:t>20</w:t>
            </w:r>
          </w:p>
        </w:tc>
        <w:tc>
          <w:tcPr>
            <w:tcW w:type="dxa" w:w="4896"/>
            <w:tcMar>
              <w:top w:w="100" w:type="dxa"/>
              <w:bottom w:w="100" w:type="dxa"/>
              <w:left w:w="140" w:type="dxa"/>
              <w:right w:w="140" w:type="dxa"/>
            </w:tcMar>
          </w:tcPr>
          <w:p>
            <w:pPr>
              <w:jc w:val="left"/>
            </w:pPr>
            <w:r>
              <w:rPr>
                <w:color w:val="1E293B"/>
                <w:sz w:val="17"/>
              </w:rPr>
              <w:t>End-to-end operational implementation: isolated LSP prover sidecar, sequential 9-step verifier pipeline, fail-closed disbursal gate, and SHA-256 hash-chained audit ledger.</w:t>
            </w:r>
          </w:p>
        </w:tc>
        <w:tc>
          <w:tcPr>
            <w:tcW w:type="dxa" w:w="2016"/>
            <w:tcMar>
              <w:top w:w="100" w:type="dxa"/>
              <w:bottom w:w="100" w:type="dxa"/>
              <w:left w:w="140" w:type="dxa"/>
              <w:right w:w="140" w:type="dxa"/>
            </w:tcMar>
          </w:tcPr>
          <w:p>
            <w:pPr>
              <w:jc w:val="left"/>
            </w:pPr>
            <w:r>
              <w:rPr>
                <w:color w:val="1E293B"/>
                <w:sz w:val="17"/>
              </w:rPr>
              <w:t>Section 5 &amp; 6</w:t>
            </w:r>
          </w:p>
        </w:tc>
      </w:tr>
      <w:tr>
        <w:tc>
          <w:tcPr>
            <w:tcW w:type="dxa" w:w="2016"/>
            <w:shd w:fill="F8FAFC"/>
            <w:tcMar>
              <w:top w:w="100" w:type="dxa"/>
              <w:bottom w:w="100" w:type="dxa"/>
              <w:left w:w="140" w:type="dxa"/>
              <w:right w:w="140" w:type="dxa"/>
            </w:tcMar>
          </w:tcPr>
          <w:p>
            <w:pPr>
              <w:jc w:val="left"/>
            </w:pPr>
            <w:r>
              <w:rPr>
                <w:color w:val="1E293B"/>
                <w:sz w:val="17"/>
              </w:rPr>
              <w:t>AI / Technology</w:t>
            </w:r>
          </w:p>
        </w:tc>
        <w:tc>
          <w:tcPr>
            <w:tcW w:type="dxa" w:w="1152"/>
            <w:shd w:fill="F8FAFC"/>
            <w:tcMar>
              <w:top w:w="100" w:type="dxa"/>
              <w:bottom w:w="100" w:type="dxa"/>
              <w:left w:w="140" w:type="dxa"/>
              <w:right w:w="140" w:type="dxa"/>
            </w:tcMar>
          </w:tcPr>
          <w:p>
            <w:pPr>
              <w:jc w:val="left"/>
            </w:pPr>
            <w:r>
              <w:rPr>
                <w:color w:val="1E293B"/>
                <w:sz w:val="17"/>
              </w:rPr>
              <w:t>15</w:t>
            </w:r>
          </w:p>
        </w:tc>
        <w:tc>
          <w:tcPr>
            <w:tcW w:type="dxa" w:w="4896"/>
            <w:shd w:fill="F8FAFC"/>
            <w:tcMar>
              <w:top w:w="100" w:type="dxa"/>
              <w:bottom w:w="100" w:type="dxa"/>
              <w:left w:w="140" w:type="dxa"/>
              <w:right w:w="140" w:type="dxa"/>
            </w:tcMar>
          </w:tcPr>
          <w:p>
            <w:pPr>
              <w:jc w:val="left"/>
            </w:pPr>
            <w:r>
              <w:rPr>
                <w:color w:val="1E293B"/>
                <w:sz w:val="17"/>
              </w:rPr>
              <w:t>Machine-verifiable credit scorecard; ONNX graph quantization (fixed-point 1024); empirical parity report proving &gt;98.5% decision agreement between float and ZK representations.</w:t>
            </w:r>
          </w:p>
        </w:tc>
        <w:tc>
          <w:tcPr>
            <w:tcW w:type="dxa" w:w="2016"/>
            <w:shd w:fill="F8FAFC"/>
            <w:tcMar>
              <w:top w:w="100" w:type="dxa"/>
              <w:bottom w:w="100" w:type="dxa"/>
              <w:left w:w="140" w:type="dxa"/>
              <w:right w:w="140" w:type="dxa"/>
            </w:tcMar>
          </w:tcPr>
          <w:p>
            <w:pPr>
              <w:jc w:val="left"/>
            </w:pPr>
            <w:r>
              <w:rPr>
                <w:color w:val="1E293B"/>
                <w:sz w:val="17"/>
              </w:rPr>
              <w:t>Section 7</w:t>
            </w:r>
          </w:p>
        </w:tc>
      </w:tr>
      <w:tr>
        <w:tc>
          <w:tcPr>
            <w:tcW w:type="dxa" w:w="2016"/>
            <w:tcMar>
              <w:top w:w="100" w:type="dxa"/>
              <w:bottom w:w="100" w:type="dxa"/>
              <w:left w:w="140" w:type="dxa"/>
              <w:right w:w="140" w:type="dxa"/>
            </w:tcMar>
          </w:tcPr>
          <w:p>
            <w:pPr>
              <w:jc w:val="left"/>
            </w:pPr>
            <w:r>
              <w:rPr>
                <w:color w:val="1E293B"/>
                <w:sz w:val="17"/>
              </w:rPr>
              <w:t>Impact</w:t>
            </w:r>
          </w:p>
        </w:tc>
        <w:tc>
          <w:tcPr>
            <w:tcW w:type="dxa" w:w="1152"/>
            <w:tcMar>
              <w:top w:w="100" w:type="dxa"/>
              <w:bottom w:w="100" w:type="dxa"/>
              <w:left w:w="140" w:type="dxa"/>
              <w:right w:w="140" w:type="dxa"/>
            </w:tcMar>
          </w:tcPr>
          <w:p>
            <w:pPr>
              <w:jc w:val="left"/>
            </w:pPr>
            <w:r>
              <w:rPr>
                <w:color w:val="1E293B"/>
                <w:sz w:val="17"/>
              </w:rPr>
              <w:t>15</w:t>
            </w:r>
          </w:p>
        </w:tc>
        <w:tc>
          <w:tcPr>
            <w:tcW w:type="dxa" w:w="4896"/>
            <w:tcMar>
              <w:top w:w="100" w:type="dxa"/>
              <w:bottom w:w="100" w:type="dxa"/>
              <w:left w:w="140" w:type="dxa"/>
              <w:right w:w="140" w:type="dxa"/>
            </w:tcMar>
          </w:tcPr>
          <w:p>
            <w:pPr>
              <w:jc w:val="left"/>
            </w:pPr>
            <w:r>
              <w:rPr>
                <w:color w:val="1E293B"/>
                <w:sz w:val="17"/>
              </w:rPr>
              <w:t>Protects ₹3,50,000+ Cr digital lending ecosystem; cuts lender audit costs by 90%; eliminates FLDG default disputes; enforces fair credit under DPDP Act data minimization.</w:t>
            </w:r>
          </w:p>
        </w:tc>
        <w:tc>
          <w:tcPr>
            <w:tcW w:type="dxa" w:w="2016"/>
            <w:tcMar>
              <w:top w:w="100" w:type="dxa"/>
              <w:bottom w:w="100" w:type="dxa"/>
              <w:left w:w="140" w:type="dxa"/>
              <w:right w:w="140" w:type="dxa"/>
            </w:tcMar>
          </w:tcPr>
          <w:p>
            <w:pPr>
              <w:jc w:val="left"/>
            </w:pPr>
            <w:r>
              <w:rPr>
                <w:color w:val="1E293B"/>
                <w:sz w:val="17"/>
              </w:rPr>
              <w:t>Section 10 &amp; 11</w:t>
            </w:r>
          </w:p>
        </w:tc>
      </w:tr>
      <w:tr>
        <w:tc>
          <w:tcPr>
            <w:tcW w:type="dxa" w:w="2016"/>
            <w:shd w:fill="F8FAFC"/>
            <w:tcMar>
              <w:top w:w="100" w:type="dxa"/>
              <w:bottom w:w="100" w:type="dxa"/>
              <w:left w:w="140" w:type="dxa"/>
              <w:right w:w="140" w:type="dxa"/>
            </w:tcMar>
          </w:tcPr>
          <w:p>
            <w:pPr>
              <w:jc w:val="left"/>
            </w:pPr>
            <w:r>
              <w:rPr>
                <w:color w:val="1E293B"/>
                <w:sz w:val="17"/>
              </w:rPr>
              <w:t>Scalability</w:t>
            </w:r>
          </w:p>
        </w:tc>
        <w:tc>
          <w:tcPr>
            <w:tcW w:type="dxa" w:w="1152"/>
            <w:shd w:fill="F8FAFC"/>
            <w:tcMar>
              <w:top w:w="100" w:type="dxa"/>
              <w:bottom w:w="100" w:type="dxa"/>
              <w:left w:w="140" w:type="dxa"/>
              <w:right w:w="140" w:type="dxa"/>
            </w:tcMar>
          </w:tcPr>
          <w:p>
            <w:pPr>
              <w:jc w:val="left"/>
            </w:pPr>
            <w:r>
              <w:rPr>
                <w:color w:val="1E293B"/>
                <w:sz w:val="17"/>
              </w:rPr>
              <w:t>10</w:t>
            </w:r>
          </w:p>
        </w:tc>
        <w:tc>
          <w:tcPr>
            <w:tcW w:type="dxa" w:w="4896"/>
            <w:shd w:fill="F8FAFC"/>
            <w:tcMar>
              <w:top w:w="100" w:type="dxa"/>
              <w:bottom w:w="100" w:type="dxa"/>
              <w:left w:w="140" w:type="dxa"/>
              <w:right w:w="140" w:type="dxa"/>
            </w:tcMar>
          </w:tcPr>
          <w:p>
            <w:pPr>
              <w:jc w:val="left"/>
            </w:pPr>
            <w:r>
              <w:rPr>
                <w:color w:val="1E293B"/>
                <w:sz w:val="17"/>
              </w:rPr>
              <w:t>Stateless verifiers with &lt;10ms execution; recursive SNARK proof folding for 1M+ loans/day; automated multi-tenant LSP onboarding with isolated sidecar containers.</w:t>
            </w:r>
          </w:p>
        </w:tc>
        <w:tc>
          <w:tcPr>
            <w:tcW w:type="dxa" w:w="2016"/>
            <w:shd w:fill="F8FAFC"/>
            <w:tcMar>
              <w:top w:w="100" w:type="dxa"/>
              <w:bottom w:w="100" w:type="dxa"/>
              <w:left w:w="140" w:type="dxa"/>
              <w:right w:w="140" w:type="dxa"/>
            </w:tcMar>
          </w:tcPr>
          <w:p>
            <w:pPr>
              <w:jc w:val="left"/>
            </w:pPr>
            <w:r>
              <w:rPr>
                <w:color w:val="1E293B"/>
                <w:sz w:val="17"/>
              </w:rPr>
              <w:t>Section 8 &amp; 9</w:t>
            </w:r>
          </w:p>
        </w:tc>
      </w:tr>
      <w:tr>
        <w:tc>
          <w:tcPr>
            <w:tcW w:type="dxa" w:w="2016"/>
            <w:tcMar>
              <w:top w:w="100" w:type="dxa"/>
              <w:bottom w:w="100" w:type="dxa"/>
              <w:left w:w="140" w:type="dxa"/>
              <w:right w:w="140" w:type="dxa"/>
            </w:tcMar>
          </w:tcPr>
          <w:p>
            <w:pPr>
              <w:jc w:val="left"/>
            </w:pPr>
            <w:r>
              <w:rPr>
                <w:color w:val="1E293B"/>
                <w:sz w:val="17"/>
              </w:rPr>
              <w:t>Presentation</w:t>
            </w:r>
          </w:p>
        </w:tc>
        <w:tc>
          <w:tcPr>
            <w:tcW w:type="dxa" w:w="1152"/>
            <w:tcMar>
              <w:top w:w="100" w:type="dxa"/>
              <w:bottom w:w="100" w:type="dxa"/>
              <w:left w:w="140" w:type="dxa"/>
              <w:right w:w="140" w:type="dxa"/>
            </w:tcMar>
          </w:tcPr>
          <w:p>
            <w:pPr>
              <w:jc w:val="left"/>
            </w:pPr>
            <w:r>
              <w:rPr>
                <w:color w:val="1E293B"/>
                <w:sz w:val="17"/>
              </w:rPr>
              <w:t>5</w:t>
            </w:r>
          </w:p>
        </w:tc>
        <w:tc>
          <w:tcPr>
            <w:tcW w:type="dxa" w:w="4896"/>
            <w:tcMar>
              <w:top w:w="100" w:type="dxa"/>
              <w:bottom w:w="100" w:type="dxa"/>
              <w:left w:w="140" w:type="dxa"/>
              <w:right w:w="140" w:type="dxa"/>
            </w:tcMar>
          </w:tcPr>
          <w:p>
            <w:pPr>
              <w:jc w:val="left"/>
            </w:pPr>
            <w:r>
              <w:rPr>
                <w:color w:val="1E293B"/>
                <w:sz w:val="17"/>
              </w:rPr>
              <w:t>Live interactive demonstration sandbox featuring 7 exhaustive scenarios (2 honest, 5 attack vectors) with real-time cryptographic mismatch inspection.</w:t>
            </w:r>
          </w:p>
        </w:tc>
        <w:tc>
          <w:tcPr>
            <w:tcW w:type="dxa" w:w="2016"/>
            <w:tcMar>
              <w:top w:w="100" w:type="dxa"/>
              <w:bottom w:w="100" w:type="dxa"/>
              <w:left w:w="140" w:type="dxa"/>
              <w:right w:w="140" w:type="dxa"/>
            </w:tcMar>
          </w:tcPr>
          <w:p>
            <w:pPr>
              <w:jc w:val="left"/>
            </w:pPr>
            <w:r>
              <w:rPr>
                <w:color w:val="1E293B"/>
                <w:sz w:val="17"/>
              </w:rPr>
              <w:t>Section 12</w:t>
            </w:r>
          </w:p>
        </w:tc>
      </w:tr>
    </w:tbl>
    <w:p>
      <w:pPr>
        <w:pStyle w:val="Heading1"/>
      </w:pPr>
      <w:r>
        <w:t>2. Problem Statement: The Trillion-Dollar Impasse</w:t>
      </w:r>
    </w:p>
    <w:p>
      <w:r>
        <w:t>India's digital lending market is expanding at an unprecedented velocity, projected by EY and RBI to surpass $350 Billion (₹29,00,000+ Crores) by 2026. This explosive expansion is powered by co-lending partnerships between Regulated Entities (REs—Scheduled Commercial Banks and NBFCs, e.g., Meridian Digital) who hold the capital, and Lending Service Providers (LSPs—agile consumer FinTech platforms, e.g., Quick FinCorp Pvt Ltd) who control the customer acquisition funnel.</w:t>
      </w:r>
    </w:p>
    <w:p>
      <w:r>
        <w:t>However, this partnership model has reached a dangerous structural deadlock characterized by three irreconcilable forces:</w:t>
      </w:r>
    </w:p>
    <w:p>
      <w:pPr>
        <w:pStyle w:val="ListBullet"/>
      </w:pPr>
      <w:r>
        <w:rPr>
          <w:b/>
        </w:rPr>
        <w:t xml:space="preserve">1. The Regulatory Hammer (RBI Digital Lending Directions &amp; FLDG Cap): </w:t>
      </w:r>
      <w:r>
        <w:t>Under RBI's Master Directions, the Regulated Entity is solely and strictly accountable for all underwriting compliance, customer grievances, and loan defaults. The RBI caps First Loss Default Guarantees (FLDG) at 5%, meaning banks absorb 95%+ of credit losses while outsourcing front-end credit assessment to FinTech algorithms.</w:t>
      </w:r>
    </w:p>
    <w:p>
      <w:pPr>
        <w:pStyle w:val="ListBullet"/>
      </w:pPr>
      <w:r>
        <w:rPr>
          <w:b/>
        </w:rPr>
        <w:t xml:space="preserve">2. The Data Privacy Trap (DPDP Act 2023): </w:t>
      </w:r>
      <w:r>
        <w:t>The Digital Personal Data Protection (DPDP) Act of 2023 enforces strict 'purpose limitation' and 'data minimization'. FinTechs capture rich smartphone telemetry, device metadata, and transactional behavioral features in their private enclaves. Transferring this granular raw PII to the lender's servers violates Indian privacy statutes and creates immense cyber-liability.</w:t>
      </w:r>
    </w:p>
    <w:p>
      <w:pPr>
        <w:pStyle w:val="ListBullet"/>
      </w:pPr>
      <w:r>
        <w:rPr>
          <w:b/>
        </w:rPr>
        <w:t xml:space="preserve">3. The Intellectual Property Stalemate: </w:t>
      </w:r>
      <w:r>
        <w:t>FinTechs view their custom proprietary scoring models and weight matrices as trade secrets that justify multi-billion-dollar venture valuations. They adamantly refuse to hand over model weights to banks. Conversely, banks refuse to blindly disburse public depositors' funds based on a black-box API response from an unregulated FinTech.</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24" w:space="0" w:color="1E3A8A"/>
              <w:bottom w:val="none"/>
              <w:right w:val="none"/>
            </w:tcBorders>
          </w:tcPr>
          <w:p>
            <w:pPr>
              <w:spacing w:before="40" w:after="40"/>
            </w:pPr>
            <w:r>
              <w:rPr>
                <w:b/>
                <w:color w:val="1E3A8A"/>
                <w:sz w:val="19"/>
              </w:rPr>
              <w:t>[THE OPERATIONAL VULNERABILITY]</w:t>
              <w:br/>
            </w:r>
            <w:r>
              <w:rPr>
                <w:color w:val="334155"/>
                <w:sz w:val="19"/>
              </w:rPr>
              <w:t>THE SHADOW UNDERWRITING PHENOMENON:</w:t>
              <w:br/>
              <w:t>In current industry practice, FinTech LSPs frequently commit 'cutoff creep'—silently lowering approval thresholds during monthend volume squeezes, or modifying scoring features without the bank's knowledge. Today, banks discover unauthorized underwriting drift 90 to 180 days later when non-performing assets (NPAs) spike and FLDG reserves are exhausted. The industry relies on sample-based retrospective audits that catch less than 2% of non-compliant loans.</w:t>
            </w:r>
          </w:p>
        </w:tc>
      </w:tr>
    </w:tbl>
    <w:p>
      <w:pPr>
        <w:spacing w:after="80"/>
      </w:pPr>
    </w:p>
    <w:p>
      <w:pPr>
        <w:pStyle w:val="Heading1"/>
      </w:pPr>
      <w:r>
        <w:t>3. Empirical Research &amp; Regulatory Mandates Enforcing Sakshi</w:t>
      </w:r>
    </w:p>
    <w:p>
      <w:r>
        <w:t>The necessity of Sakshi is underpinned by authoritative empirical research and recent central bank jurisprudence:</w:t>
      </w:r>
    </w:p>
    <w:tbl>
      <w:tblPr>
        <w:tblW w:type="auto" w:w="0"/>
        <w:jc w:val="center"/>
        <w:tblLook w:firstColumn="1" w:firstRow="1" w:lastColumn="0" w:lastRow="0" w:noHBand="0" w:noVBand="1" w:val="04A0"/>
      </w:tblPr>
      <w:tblGrid>
        <w:gridCol w:w="3312"/>
        <w:gridCol w:w="3312"/>
        <w:gridCol w:w="3312"/>
      </w:tblGrid>
      <w:tr>
        <w:tc>
          <w:tcPr>
            <w:tcW w:type="dxa" w:w="3168"/>
            <w:shd w:fill="1E3A8A"/>
            <w:tcMar>
              <w:top w:w="120" w:type="dxa"/>
              <w:bottom w:w="120" w:type="dxa"/>
              <w:left w:w="140" w:type="dxa"/>
              <w:right w:w="140" w:type="dxa"/>
            </w:tcMar>
          </w:tcPr>
          <w:p>
            <w:pPr>
              <w:jc w:val="left"/>
            </w:pPr>
            <w:r>
              <w:rPr>
                <w:b/>
                <w:color w:val="FFFFFF"/>
                <w:sz w:val="18"/>
              </w:rPr>
              <w:t>Authority / Study</w:t>
            </w:r>
          </w:p>
        </w:tc>
        <w:tc>
          <w:tcPr>
            <w:tcW w:type="dxa" w:w="3600"/>
            <w:shd w:fill="1E3A8A"/>
            <w:tcMar>
              <w:top w:w="120" w:type="dxa"/>
              <w:bottom w:w="120" w:type="dxa"/>
              <w:left w:w="140" w:type="dxa"/>
              <w:right w:w="140" w:type="dxa"/>
            </w:tcMar>
          </w:tcPr>
          <w:p>
            <w:pPr>
              <w:jc w:val="left"/>
            </w:pPr>
            <w:r>
              <w:rPr>
                <w:b/>
                <w:color w:val="FFFFFF"/>
                <w:sz w:val="18"/>
              </w:rPr>
              <w:t>Empirical Finding / Mandate</w:t>
            </w:r>
          </w:p>
        </w:tc>
        <w:tc>
          <w:tcPr>
            <w:tcW w:type="dxa" w:w="3312"/>
            <w:shd w:fill="1E3A8A"/>
            <w:tcMar>
              <w:top w:w="120" w:type="dxa"/>
              <w:bottom w:w="120" w:type="dxa"/>
              <w:left w:w="140" w:type="dxa"/>
              <w:right w:w="140" w:type="dxa"/>
            </w:tcMar>
          </w:tcPr>
          <w:p>
            <w:pPr>
              <w:jc w:val="left"/>
            </w:pPr>
            <w:r>
              <w:rPr>
                <w:b/>
                <w:color w:val="FFFFFF"/>
                <w:sz w:val="18"/>
              </w:rPr>
              <w:t>Implication for System Design</w:t>
            </w:r>
          </w:p>
        </w:tc>
      </w:tr>
      <w:tr>
        <w:tc>
          <w:tcPr>
            <w:tcW w:type="dxa" w:w="3168"/>
            <w:tcMar>
              <w:top w:w="100" w:type="dxa"/>
              <w:bottom w:w="100" w:type="dxa"/>
              <w:left w:w="140" w:type="dxa"/>
              <w:right w:w="140" w:type="dxa"/>
            </w:tcMar>
          </w:tcPr>
          <w:p>
            <w:pPr>
              <w:jc w:val="left"/>
            </w:pPr>
            <w:r>
              <w:rPr>
                <w:color w:val="1E293B"/>
                <w:sz w:val="17"/>
              </w:rPr>
              <w:t>RBI Financial Stability Report (2023-2025)</w:t>
            </w:r>
          </w:p>
        </w:tc>
        <w:tc>
          <w:tcPr>
            <w:tcW w:type="dxa" w:w="3600"/>
            <w:tcMar>
              <w:top w:w="100" w:type="dxa"/>
              <w:bottom w:w="100" w:type="dxa"/>
              <w:left w:w="140" w:type="dxa"/>
              <w:right w:w="140" w:type="dxa"/>
            </w:tcMar>
          </w:tcPr>
          <w:p>
            <w:pPr>
              <w:jc w:val="left"/>
            </w:pPr>
            <w:r>
              <w:rPr>
                <w:color w:val="1E293B"/>
                <w:sz w:val="17"/>
              </w:rPr>
              <w:t>FinTech-sourced digital loans exhibited default rates 2.8x higher than traditional bank branches in the sub-₹1 Lakh unsecured personal loan category.</w:t>
            </w:r>
          </w:p>
        </w:tc>
        <w:tc>
          <w:tcPr>
            <w:tcW w:type="dxa" w:w="3312"/>
            <w:tcMar>
              <w:top w:w="100" w:type="dxa"/>
              <w:bottom w:w="100" w:type="dxa"/>
              <w:left w:w="140" w:type="dxa"/>
              <w:right w:w="140" w:type="dxa"/>
            </w:tcMar>
          </w:tcPr>
          <w:p>
            <w:pPr>
              <w:jc w:val="left"/>
            </w:pPr>
            <w:r>
              <w:rPr>
                <w:color w:val="1E293B"/>
                <w:sz w:val="17"/>
              </w:rPr>
              <w:t>Lenders require real-time, per-loan cryptographic guarantees that agreed credit risk models were strictly executed.</w:t>
            </w:r>
          </w:p>
        </w:tc>
      </w:tr>
      <w:tr>
        <w:tc>
          <w:tcPr>
            <w:tcW w:type="dxa" w:w="3168"/>
            <w:shd w:fill="F8FAFC"/>
            <w:tcMar>
              <w:top w:w="100" w:type="dxa"/>
              <w:bottom w:w="100" w:type="dxa"/>
              <w:left w:w="140" w:type="dxa"/>
              <w:right w:w="140" w:type="dxa"/>
            </w:tcMar>
          </w:tcPr>
          <w:p>
            <w:pPr>
              <w:jc w:val="left"/>
            </w:pPr>
            <w:r>
              <w:rPr>
                <w:color w:val="1E293B"/>
                <w:sz w:val="17"/>
              </w:rPr>
              <w:t>RBI Digital Lending Directions (Sept 2022 / Draft 2025)</w:t>
            </w:r>
          </w:p>
        </w:tc>
        <w:tc>
          <w:tcPr>
            <w:tcW w:type="dxa" w:w="3600"/>
            <w:shd w:fill="F8FAFC"/>
            <w:tcMar>
              <w:top w:w="100" w:type="dxa"/>
              <w:bottom w:w="100" w:type="dxa"/>
              <w:left w:w="140" w:type="dxa"/>
              <w:right w:w="140" w:type="dxa"/>
            </w:tcMar>
          </w:tcPr>
          <w:p>
            <w:pPr>
              <w:jc w:val="left"/>
            </w:pPr>
            <w:r>
              <w:rPr>
                <w:color w:val="1E293B"/>
                <w:sz w:val="17"/>
              </w:rPr>
              <w:t>Mandates direct disbursal between bank and borrower; prohibits pass-through pools; holds RE boards directly liable for algorithmic discrimination.</w:t>
            </w:r>
          </w:p>
        </w:tc>
        <w:tc>
          <w:tcPr>
            <w:tcW w:type="dxa" w:w="3312"/>
            <w:shd w:fill="F8FAFC"/>
            <w:tcMar>
              <w:top w:w="100" w:type="dxa"/>
              <w:bottom w:w="100" w:type="dxa"/>
              <w:left w:w="140" w:type="dxa"/>
              <w:right w:w="140" w:type="dxa"/>
            </w:tcMar>
          </w:tcPr>
          <w:p>
            <w:pPr>
              <w:jc w:val="left"/>
            </w:pPr>
            <w:r>
              <w:rPr>
                <w:color w:val="1E293B"/>
                <w:sz w:val="17"/>
              </w:rPr>
              <w:t>Disbursal engines must feature an automated 'Fail-Closed Disbursal Gate' that blocks funds transfer until policy proof verification.</w:t>
            </w:r>
          </w:p>
        </w:tc>
      </w:tr>
      <w:tr>
        <w:tc>
          <w:tcPr>
            <w:tcW w:type="dxa" w:w="3168"/>
            <w:tcMar>
              <w:top w:w="100" w:type="dxa"/>
              <w:bottom w:w="100" w:type="dxa"/>
              <w:left w:w="140" w:type="dxa"/>
              <w:right w:w="140" w:type="dxa"/>
            </w:tcMar>
          </w:tcPr>
          <w:p>
            <w:pPr>
              <w:jc w:val="left"/>
            </w:pPr>
            <w:r>
              <w:rPr>
                <w:color w:val="1E293B"/>
                <w:sz w:val="17"/>
              </w:rPr>
              <w:t>Digital Personal Data Protection Act (DPDP 2023)</w:t>
            </w:r>
          </w:p>
        </w:tc>
        <w:tc>
          <w:tcPr>
            <w:tcW w:type="dxa" w:w="3600"/>
            <w:tcMar>
              <w:top w:w="100" w:type="dxa"/>
              <w:bottom w:w="100" w:type="dxa"/>
              <w:left w:w="140" w:type="dxa"/>
              <w:right w:w="140" w:type="dxa"/>
            </w:tcMar>
          </w:tcPr>
          <w:p>
            <w:pPr>
              <w:jc w:val="left"/>
            </w:pPr>
            <w:r>
              <w:rPr>
                <w:color w:val="1E293B"/>
                <w:sz w:val="17"/>
              </w:rPr>
              <w:t>Section 6 mandates data minimization. Transfer of non-essential behavioral features from LSP to Lender constitutes unauthorized data processing.</w:t>
            </w:r>
          </w:p>
        </w:tc>
        <w:tc>
          <w:tcPr>
            <w:tcW w:type="dxa" w:w="3312"/>
            <w:tcMar>
              <w:top w:w="100" w:type="dxa"/>
              <w:bottom w:w="100" w:type="dxa"/>
              <w:left w:w="140" w:type="dxa"/>
              <w:right w:w="140" w:type="dxa"/>
            </w:tcMar>
          </w:tcPr>
          <w:p>
            <w:pPr>
              <w:jc w:val="left"/>
            </w:pPr>
            <w:r>
              <w:rPr>
                <w:color w:val="1E293B"/>
                <w:sz w:val="17"/>
              </w:rPr>
              <w:t>Inference verification must be performed using Zero-Knowledge proofs—enforcing mathematical validity without moving raw features.</w:t>
            </w:r>
          </w:p>
        </w:tc>
      </w:tr>
      <w:tr>
        <w:tc>
          <w:tcPr>
            <w:tcW w:type="dxa" w:w="3168"/>
            <w:shd w:fill="F8FAFC"/>
            <w:tcMar>
              <w:top w:w="100" w:type="dxa"/>
              <w:bottom w:w="100" w:type="dxa"/>
              <w:left w:w="140" w:type="dxa"/>
              <w:right w:w="140" w:type="dxa"/>
            </w:tcMar>
          </w:tcPr>
          <w:p>
            <w:pPr>
              <w:jc w:val="left"/>
            </w:pPr>
            <w:r>
              <w:rPr>
                <w:color w:val="1E293B"/>
                <w:sz w:val="17"/>
              </w:rPr>
              <w:t>Bank for International Settlements (BIS) Working Paper #1048</w:t>
            </w:r>
          </w:p>
        </w:tc>
        <w:tc>
          <w:tcPr>
            <w:tcW w:type="dxa" w:w="3600"/>
            <w:shd w:fill="F8FAFC"/>
            <w:tcMar>
              <w:top w:w="100" w:type="dxa"/>
              <w:bottom w:w="100" w:type="dxa"/>
              <w:left w:w="140" w:type="dxa"/>
              <w:right w:w="140" w:type="dxa"/>
            </w:tcMar>
          </w:tcPr>
          <w:p>
            <w:pPr>
              <w:jc w:val="left"/>
            </w:pPr>
            <w:r>
              <w:rPr>
                <w:color w:val="1E293B"/>
                <w:sz w:val="17"/>
              </w:rPr>
              <w:t>'Embedded Supervision' study demonstrates that retrospective compliance audits increase financial overhead by 14% compared to cryptographically verifiable computation.</w:t>
            </w:r>
          </w:p>
        </w:tc>
        <w:tc>
          <w:tcPr>
            <w:tcW w:type="dxa" w:w="3312"/>
            <w:shd w:fill="F8FAFC"/>
            <w:tcMar>
              <w:top w:w="100" w:type="dxa"/>
              <w:bottom w:w="100" w:type="dxa"/>
              <w:left w:w="140" w:type="dxa"/>
              <w:right w:w="140" w:type="dxa"/>
            </w:tcMar>
          </w:tcPr>
          <w:p>
            <w:pPr>
              <w:jc w:val="left"/>
            </w:pPr>
            <w:r>
              <w:rPr>
                <w:color w:val="1E293B"/>
                <w:sz w:val="17"/>
              </w:rPr>
              <w:t>Contract conformance must be validated in real-time (&lt;10ms) at the protocol level, producing a tamper-proof audit trail.</w:t>
            </w:r>
          </w:p>
        </w:tc>
      </w:tr>
    </w:tbl>
    <w:p>
      <w:pPr>
        <w:pStyle w:val="Heading1"/>
      </w:pPr>
      <w:r>
        <w:t>4. System Philosophy: 'Don't Trust, Verify via Math'</w:t>
      </w:r>
    </w:p>
    <w:p>
      <w:r>
        <w:t>Sakshi eliminates the reliance on trust, legal warranties, and post-facto sampling. It introduces computational contract assurance through three foundational axioms:</w:t>
      </w:r>
    </w:p>
    <w:p>
      <w:r>
        <w:t>Axiom 1: Mutual Cryptographic Commitment. Before any loans are processed, the Lender (Meridian Digital) and the LSP (Quick FinCorp) jointly define an Underwriting Policy Document. This document codifies model parameters, decision thresholds, feature schemas, and hard rules. The model weights are serialized deterministically and hashed with a high-entropy salt to produce Commitment C. Both parties sign the canonical policy using Ed25519 digital signatures, establishing an unalterable bilateral contract.</w:t>
      </w:r>
    </w:p>
    <w:p>
      <w:r>
        <w:t>Axiom 2: Zero-Knowledge Model Execution. For each loan applicant, Quick FinCorp runs inference within its own secure infrastructure. An isolated sidecar generates a Halo2 KZG zero-knowledge proof. This proof mathematically attests: 'An input vector matching hash X was evaluated using model weights matching commitment C, yielding score S. Score S exceeds policy threshold tau, resulting in decision=1.' Crucially, the proof leaks zero bits regarding model weights or borrower income/bureau numbers.</w:t>
      </w:r>
    </w:p>
    <w:p>
      <w:r>
        <w:t>Axiom 3: Fail-Closed Disbursal Gate. The Lender Node operates a Disbursal Gate API directly integrated into the Core Banking / Loan Management System (LMS). If a loan decision is missing a proof, arrives past the 10-minute SLA window, or fails any step of the 9-step verifier pipeline, the gate strictly holds funds release (Fail-Closed). Zero Rupees can leave the lender's vault without a verified mathematical proof.</w:t>
      </w:r>
    </w:p>
    <w:p>
      <w:pPr>
        <w:pStyle w:val="Heading1"/>
      </w:pPr>
      <w:r>
        <w:t>5. Complete End-to-End Architecture</w:t>
      </w:r>
    </w:p>
    <w:p>
      <w:r>
        <w:t>Sakshi is engineered as a clean, two-zone isolated deployment mirroring real-world enterprise infrastructure:</w:t>
      </w:r>
    </w:p>
    <w:p>
      <w:r>
        <w:t>Topological Architecture Breakdown:</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Pr>
          <w:p>
            <w:pPr>
              <w:jc w:val="left"/>
            </w:pPr>
            <w:r>
              <w:rPr>
                <w:b/>
                <w:color w:val="FFFFFF"/>
                <w:sz w:val="18"/>
              </w:rPr>
              <w:t>Zone</w:t>
            </w:r>
          </w:p>
        </w:tc>
        <w:tc>
          <w:tcPr>
            <w:tcW w:type="dxa" w:w="3600"/>
            <w:shd w:fill="1E3A8A"/>
            <w:tcMar>
              <w:top w:w="120" w:type="dxa"/>
              <w:bottom w:w="120" w:type="dxa"/>
              <w:left w:w="140" w:type="dxa"/>
              <w:right w:w="140" w:type="dxa"/>
            </w:tcMar>
          </w:tcPr>
          <w:p>
            <w:pPr>
              <w:jc w:val="left"/>
            </w:pPr>
            <w:r>
              <w:rPr>
                <w:b/>
                <w:color w:val="FFFFFF"/>
                <w:sz w:val="18"/>
              </w:rPr>
              <w:t>Component Services</w:t>
            </w:r>
          </w:p>
        </w:tc>
        <w:tc>
          <w:tcPr>
            <w:tcW w:type="dxa" w:w="3888"/>
            <w:shd w:fill="1E3A8A"/>
            <w:tcMar>
              <w:top w:w="120" w:type="dxa"/>
              <w:bottom w:w="120" w:type="dxa"/>
              <w:left w:w="140" w:type="dxa"/>
              <w:right w:w="140" w:type="dxa"/>
            </w:tcMar>
          </w:tcPr>
          <w:p>
            <w:pPr>
              <w:jc w:val="left"/>
            </w:pPr>
            <w:r>
              <w:rPr>
                <w:b/>
                <w:color w:val="FFFFFF"/>
                <w:sz w:val="18"/>
              </w:rPr>
              <w:t>Operational Boundary &amp; Guarantees</w:t>
            </w:r>
          </w:p>
        </w:tc>
      </w:tr>
      <w:tr>
        <w:tc>
          <w:tcPr>
            <w:tcW w:type="dxa" w:w="2592"/>
            <w:tcMar>
              <w:top w:w="100" w:type="dxa"/>
              <w:bottom w:w="100" w:type="dxa"/>
              <w:left w:w="140" w:type="dxa"/>
              <w:right w:w="140" w:type="dxa"/>
            </w:tcMar>
          </w:tcPr>
          <w:p>
            <w:pPr>
              <w:jc w:val="left"/>
            </w:pPr>
            <w:r>
              <w:rPr>
                <w:color w:val="1E293B"/>
                <w:sz w:val="17"/>
              </w:rPr>
              <w:t>Zone 1: LSP Private Zone (FinTech Enclave)</w:t>
            </w:r>
          </w:p>
        </w:tc>
        <w:tc>
          <w:tcPr>
            <w:tcW w:type="dxa" w:w="3600"/>
            <w:tcMar>
              <w:top w:w="100" w:type="dxa"/>
              <w:bottom w:w="100" w:type="dxa"/>
              <w:left w:w="140" w:type="dxa"/>
              <w:right w:w="140" w:type="dxa"/>
            </w:tcMar>
          </w:tcPr>
          <w:p>
            <w:pPr>
              <w:jc w:val="left"/>
            </w:pPr>
            <w:r>
              <w:rPr>
                <w:color w:val="1E293B"/>
                <w:sz w:val="17"/>
              </w:rPr>
              <w:t>1. Proprietary Scoring Model (LR / XGBoost)</w:t>
              <w:br/>
              <w:t>2. EZKL Halo2 Prover Sidecar (:8001)</w:t>
              <w:br/>
              <w:t>3. Transactional Outbox (SQLite/Async Queue)</w:t>
              <w:br/>
              <w:t>4. Raw Feature Vault &amp; Salt Store</w:t>
            </w:r>
          </w:p>
        </w:tc>
        <w:tc>
          <w:tcPr>
            <w:tcW w:type="dxa" w:w="3888"/>
            <w:tcMar>
              <w:top w:w="100" w:type="dxa"/>
              <w:bottom w:w="100" w:type="dxa"/>
              <w:left w:w="140" w:type="dxa"/>
              <w:right w:w="140" w:type="dxa"/>
            </w:tcMar>
          </w:tcPr>
          <w:p>
            <w:pPr>
              <w:jc w:val="left"/>
            </w:pPr>
            <w:r>
              <w:rPr>
                <w:color w:val="1E293B"/>
                <w:sz w:val="17"/>
              </w:rPr>
              <w:t>Zero inbound public ports. Completely isolated inside FinTech VPC. Retains all borrower PII, raw bureau numbers, and unquantized model weights. Posts outbound cryptographic proofs to Lender.</w:t>
            </w:r>
          </w:p>
        </w:tc>
      </w:tr>
      <w:tr>
        <w:tc>
          <w:tcPr>
            <w:tcW w:type="dxa" w:w="2592"/>
            <w:shd w:fill="F8FAFC"/>
            <w:tcMar>
              <w:top w:w="100" w:type="dxa"/>
              <w:bottom w:w="100" w:type="dxa"/>
              <w:left w:w="140" w:type="dxa"/>
              <w:right w:w="140" w:type="dxa"/>
            </w:tcMar>
          </w:tcPr>
          <w:p>
            <w:pPr>
              <w:jc w:val="left"/>
            </w:pPr>
            <w:r>
              <w:rPr>
                <w:color w:val="1E293B"/>
                <w:sz w:val="17"/>
              </w:rPr>
              <w:t>Zone 2: Trust Anchor &amp; Contract Boundary</w:t>
            </w:r>
          </w:p>
        </w:tc>
        <w:tc>
          <w:tcPr>
            <w:tcW w:type="dxa" w:w="3600"/>
            <w:shd w:fill="F8FAFC"/>
            <w:tcMar>
              <w:top w:w="100" w:type="dxa"/>
              <w:bottom w:w="100" w:type="dxa"/>
              <w:left w:w="140" w:type="dxa"/>
              <w:right w:w="140" w:type="dxa"/>
            </w:tcMar>
          </w:tcPr>
          <w:p>
            <w:pPr>
              <w:jc w:val="left"/>
            </w:pPr>
            <w:r>
              <w:rPr>
                <w:color w:val="1E293B"/>
                <w:sz w:val="17"/>
              </w:rPr>
              <w:t>1. Ed25519 Dual-Signed Policy Contracts</w:t>
              <w:br/>
              <w:t>2. Public Model Commitment Registry (C)</w:t>
              <w:br/>
              <w:t>3. Canonical Feature Schema Definition</w:t>
              <w:br/>
              <w:t>4. Immutable Replay Window Epochs</w:t>
            </w:r>
          </w:p>
        </w:tc>
        <w:tc>
          <w:tcPr>
            <w:tcW w:type="dxa" w:w="3888"/>
            <w:shd w:fill="F8FAFC"/>
            <w:tcMar>
              <w:top w:w="100" w:type="dxa"/>
              <w:bottom w:w="100" w:type="dxa"/>
              <w:left w:w="140" w:type="dxa"/>
              <w:right w:w="140" w:type="dxa"/>
            </w:tcMar>
          </w:tcPr>
          <w:p>
            <w:pPr>
              <w:jc w:val="left"/>
            </w:pPr>
            <w:r>
              <w:rPr>
                <w:color w:val="1E293B"/>
                <w:sz w:val="17"/>
              </w:rPr>
              <w:t>Shared contractual standard. Establishes machine-readable rules. Governs fixed-point scale factor (1024), threshold tau (0.500), and SLA timers (10 minutes).</w:t>
            </w:r>
          </w:p>
        </w:tc>
      </w:tr>
      <w:tr>
        <w:tc>
          <w:tcPr>
            <w:tcW w:type="dxa" w:w="2592"/>
            <w:tcMar>
              <w:top w:w="100" w:type="dxa"/>
              <w:bottom w:w="100" w:type="dxa"/>
              <w:left w:w="140" w:type="dxa"/>
              <w:right w:w="140" w:type="dxa"/>
            </w:tcMar>
          </w:tcPr>
          <w:p>
            <w:pPr>
              <w:jc w:val="left"/>
            </w:pPr>
            <w:r>
              <w:rPr>
                <w:color w:val="1E293B"/>
                <w:sz w:val="17"/>
              </w:rPr>
              <w:t>Zone 3: Lender / Regulated Entity Zone</w:t>
            </w:r>
          </w:p>
        </w:tc>
        <w:tc>
          <w:tcPr>
            <w:tcW w:type="dxa" w:w="3600"/>
            <w:tcMar>
              <w:top w:w="100" w:type="dxa"/>
              <w:bottom w:w="100" w:type="dxa"/>
              <w:left w:w="140" w:type="dxa"/>
              <w:right w:w="140" w:type="dxa"/>
            </w:tcMar>
          </w:tcPr>
          <w:p>
            <w:pPr>
              <w:jc w:val="left"/>
            </w:pPr>
            <w:r>
              <w:rPr>
                <w:color w:val="1E293B"/>
                <w:sz w:val="17"/>
              </w:rPr>
              <w:t>1. Lender Verifier Node (:8000)</w:t>
              <w:br/>
              <w:t>2. Sequential 9-Step Verification Pipeline</w:t>
              <w:br/>
              <w:t>3. Append-Only Hash-Chained Audit Ledger</w:t>
              <w:br/>
              <w:t>4. Input Binding Adapter (X' ?= X)</w:t>
              <w:br/>
              <w:t>5. Disbursal Gate &amp; Mock LMS Engine</w:t>
            </w:r>
          </w:p>
        </w:tc>
        <w:tc>
          <w:tcPr>
            <w:tcW w:type="dxa" w:w="3888"/>
            <w:tcMar>
              <w:top w:w="100" w:type="dxa"/>
              <w:bottom w:w="100" w:type="dxa"/>
              <w:left w:w="140" w:type="dxa"/>
              <w:right w:w="140" w:type="dxa"/>
            </w:tcMar>
          </w:tcPr>
          <w:p>
            <w:pPr>
              <w:jc w:val="left"/>
            </w:pPr>
            <w:r>
              <w:rPr>
                <w:color w:val="1E293B"/>
                <w:sz w:val="17"/>
              </w:rPr>
              <w:t>Exposed to Core Banking and internal credit ops. Validates ZK proofs in &lt;10ms. Maintains SHA-256 tamper-evident ledger. Authorizes instant disbursals only upon proof verification.</w:t>
            </w:r>
          </w:p>
        </w:tc>
      </w:tr>
    </w:tbl>
    <w:p>
      <w:pPr>
        <w:pStyle w:val="Heading2"/>
      </w:pPr>
      <w:r>
        <w:t>The Sequential 9-Step Verification Pipeline (V1 to V9)</w:t>
      </w:r>
    </w:p>
    <w:p>
      <w:r>
        <w:t>When the Lender Node receives a proof payload from the LSP, it executes an ultra-fast (&lt;10ms) deterministic verification pipeline ordered deliberately from cheapest memory lookups to cryptographic pairing operations:</w:t>
      </w:r>
    </w:p>
    <w:tbl>
      <w:tblPr>
        <w:tblW w:type="auto" w:w="0"/>
        <w:jc w:val="center"/>
        <w:tblLook w:firstColumn="1" w:firstRow="1" w:lastColumn="0" w:lastRow="0" w:noHBand="0" w:noVBand="1" w:val="04A0"/>
      </w:tblPr>
      <w:tblGrid>
        <w:gridCol w:w="2484"/>
        <w:gridCol w:w="2484"/>
        <w:gridCol w:w="2484"/>
        <w:gridCol w:w="2484"/>
      </w:tblGrid>
      <w:tr>
        <w:tc>
          <w:tcPr>
            <w:tcW w:type="dxa" w:w="864"/>
            <w:shd w:fill="1E3A8A"/>
            <w:tcMar>
              <w:top w:w="120" w:type="dxa"/>
              <w:bottom w:w="120" w:type="dxa"/>
              <w:left w:w="140" w:type="dxa"/>
              <w:right w:w="140" w:type="dxa"/>
            </w:tcMar>
          </w:tcPr>
          <w:p>
            <w:pPr>
              <w:jc w:val="left"/>
            </w:pPr>
            <w:r>
              <w:rPr>
                <w:b/>
                <w:color w:val="FFFFFF"/>
                <w:sz w:val="18"/>
              </w:rPr>
              <w:t>Step</w:t>
            </w:r>
          </w:p>
        </w:tc>
        <w:tc>
          <w:tcPr>
            <w:tcW w:type="dxa" w:w="2880"/>
            <w:shd w:fill="1E3A8A"/>
            <w:tcMar>
              <w:top w:w="120" w:type="dxa"/>
              <w:bottom w:w="120" w:type="dxa"/>
              <w:left w:w="140" w:type="dxa"/>
              <w:right w:w="140" w:type="dxa"/>
            </w:tcMar>
          </w:tcPr>
          <w:p>
            <w:pPr>
              <w:jc w:val="left"/>
            </w:pPr>
            <w:r>
              <w:rPr>
                <w:b/>
                <w:color w:val="FFFFFF"/>
                <w:sz w:val="18"/>
              </w:rPr>
              <w:t>Verification Check</w:t>
            </w:r>
          </w:p>
        </w:tc>
        <w:tc>
          <w:tcPr>
            <w:tcW w:type="dxa" w:w="4032"/>
            <w:shd w:fill="1E3A8A"/>
            <w:tcMar>
              <w:top w:w="120" w:type="dxa"/>
              <w:bottom w:w="120" w:type="dxa"/>
              <w:left w:w="140" w:type="dxa"/>
              <w:right w:w="140" w:type="dxa"/>
            </w:tcMar>
          </w:tcPr>
          <w:p>
            <w:pPr>
              <w:jc w:val="left"/>
            </w:pPr>
            <w:r>
              <w:rPr>
                <w:b/>
                <w:color w:val="FFFFFF"/>
                <w:sz w:val="18"/>
              </w:rPr>
              <w:t>Computational Logic</w:t>
            </w:r>
          </w:p>
        </w:tc>
        <w:tc>
          <w:tcPr>
            <w:tcW w:type="dxa" w:w="2304"/>
            <w:shd w:fill="1E3A8A"/>
            <w:tcMar>
              <w:top w:w="120" w:type="dxa"/>
              <w:bottom w:w="120" w:type="dxa"/>
              <w:left w:w="140" w:type="dxa"/>
              <w:right w:w="140" w:type="dxa"/>
            </w:tcMar>
          </w:tcPr>
          <w:p>
            <w:pPr>
              <w:jc w:val="left"/>
            </w:pPr>
            <w:r>
              <w:rPr>
                <w:b/>
                <w:color w:val="FFFFFF"/>
                <w:sz w:val="18"/>
              </w:rPr>
              <w:t>Tamper Scenario Caught</w:t>
            </w:r>
          </w:p>
        </w:tc>
      </w:tr>
      <w:tr>
        <w:tc>
          <w:tcPr>
            <w:tcW w:type="dxa" w:w="864"/>
            <w:tcMar>
              <w:top w:w="100" w:type="dxa"/>
              <w:bottom w:w="100" w:type="dxa"/>
              <w:left w:w="140" w:type="dxa"/>
              <w:right w:w="140" w:type="dxa"/>
            </w:tcMar>
          </w:tcPr>
          <w:p>
            <w:pPr>
              <w:jc w:val="left"/>
            </w:pPr>
            <w:r>
              <w:rPr>
                <w:color w:val="1E293B"/>
                <w:sz w:val="17"/>
              </w:rPr>
              <w:t>V1</w:t>
            </w:r>
          </w:p>
        </w:tc>
        <w:tc>
          <w:tcPr>
            <w:tcW w:type="dxa" w:w="2880"/>
            <w:tcMar>
              <w:top w:w="100" w:type="dxa"/>
              <w:bottom w:w="100" w:type="dxa"/>
              <w:left w:w="140" w:type="dxa"/>
              <w:right w:w="140" w:type="dxa"/>
            </w:tcMar>
          </w:tcPr>
          <w:p>
            <w:pPr>
              <w:jc w:val="left"/>
            </w:pPr>
            <w:r>
              <w:rPr>
                <w:color w:val="1E293B"/>
                <w:sz w:val="17"/>
              </w:rPr>
              <w:t>Policy Active &amp; Valid</w:t>
            </w:r>
          </w:p>
        </w:tc>
        <w:tc>
          <w:tcPr>
            <w:tcW w:type="dxa" w:w="4032"/>
            <w:tcMar>
              <w:top w:w="100" w:type="dxa"/>
              <w:bottom w:w="100" w:type="dxa"/>
              <w:left w:w="140" w:type="dxa"/>
              <w:right w:w="140" w:type="dxa"/>
            </w:tcMar>
          </w:tcPr>
          <w:p>
            <w:pPr>
              <w:jc w:val="left"/>
            </w:pPr>
            <w:r>
              <w:rPr>
                <w:color w:val="1E293B"/>
                <w:sz w:val="17"/>
              </w:rPr>
              <w:t>Assert policy_id exists in registry, status == ACTIVE, and currentTime between valid_from and valid_to.</w:t>
            </w:r>
          </w:p>
        </w:tc>
        <w:tc>
          <w:tcPr>
            <w:tcW w:type="dxa" w:w="2304"/>
            <w:tcMar>
              <w:top w:w="100" w:type="dxa"/>
              <w:bottom w:w="100" w:type="dxa"/>
              <w:left w:w="140" w:type="dxa"/>
              <w:right w:w="140" w:type="dxa"/>
            </w:tcMar>
          </w:tcPr>
          <w:p>
            <w:pPr>
              <w:jc w:val="left"/>
            </w:pPr>
            <w:r>
              <w:rPr>
                <w:color w:val="1E293B"/>
                <w:sz w:val="17"/>
              </w:rPr>
              <w:t>Expired or revoked credit policies.</w:t>
            </w:r>
          </w:p>
        </w:tc>
      </w:tr>
      <w:tr>
        <w:tc>
          <w:tcPr>
            <w:tcW w:type="dxa" w:w="864"/>
            <w:shd w:fill="F8FAFC"/>
            <w:tcMar>
              <w:top w:w="100" w:type="dxa"/>
              <w:bottom w:w="100" w:type="dxa"/>
              <w:left w:w="140" w:type="dxa"/>
              <w:right w:w="140" w:type="dxa"/>
            </w:tcMar>
          </w:tcPr>
          <w:p>
            <w:pPr>
              <w:jc w:val="left"/>
            </w:pPr>
            <w:r>
              <w:rPr>
                <w:color w:val="1E293B"/>
                <w:sz w:val="17"/>
              </w:rPr>
              <w:t>V2</w:t>
            </w:r>
          </w:p>
        </w:tc>
        <w:tc>
          <w:tcPr>
            <w:tcW w:type="dxa" w:w="2880"/>
            <w:shd w:fill="F8FAFC"/>
            <w:tcMar>
              <w:top w:w="100" w:type="dxa"/>
              <w:bottom w:w="100" w:type="dxa"/>
              <w:left w:w="140" w:type="dxa"/>
              <w:right w:w="140" w:type="dxa"/>
            </w:tcMar>
          </w:tcPr>
          <w:p>
            <w:pPr>
              <w:jc w:val="left"/>
            </w:pPr>
            <w:r>
              <w:rPr>
                <w:color w:val="1E293B"/>
                <w:sz w:val="17"/>
              </w:rPr>
              <w:t>Model Commitment Approved</w:t>
            </w:r>
          </w:p>
        </w:tc>
        <w:tc>
          <w:tcPr>
            <w:tcW w:type="dxa" w:w="4032"/>
            <w:shd w:fill="F8FAFC"/>
            <w:tcMar>
              <w:top w:w="100" w:type="dxa"/>
              <w:bottom w:w="100" w:type="dxa"/>
              <w:left w:w="140" w:type="dxa"/>
              <w:right w:w="140" w:type="dxa"/>
            </w:tcMar>
          </w:tcPr>
          <w:p>
            <w:pPr>
              <w:jc w:val="left"/>
            </w:pPr>
            <w:r>
              <w:rPr>
                <w:color w:val="1E293B"/>
                <w:sz w:val="17"/>
              </w:rPr>
              <w:t>Compare public_inputs.C against registered &amp; approved model commitment in database.</w:t>
            </w:r>
          </w:p>
        </w:tc>
        <w:tc>
          <w:tcPr>
            <w:tcW w:type="dxa" w:w="2304"/>
            <w:shd w:fill="F8FAFC"/>
            <w:tcMar>
              <w:top w:w="100" w:type="dxa"/>
              <w:bottom w:w="100" w:type="dxa"/>
              <w:left w:w="140" w:type="dxa"/>
              <w:right w:w="140" w:type="dxa"/>
            </w:tcMar>
          </w:tcPr>
          <w:p>
            <w:pPr>
              <w:jc w:val="left"/>
            </w:pPr>
            <w:r>
              <w:rPr>
                <w:color w:val="1E293B"/>
                <w:sz w:val="17"/>
              </w:rPr>
              <w:t>Scenario 3: Unauthorized Model Swap.</w:t>
            </w:r>
          </w:p>
        </w:tc>
      </w:tr>
      <w:tr>
        <w:tc>
          <w:tcPr>
            <w:tcW w:type="dxa" w:w="864"/>
            <w:tcMar>
              <w:top w:w="100" w:type="dxa"/>
              <w:bottom w:w="100" w:type="dxa"/>
              <w:left w:w="140" w:type="dxa"/>
              <w:right w:w="140" w:type="dxa"/>
            </w:tcMar>
          </w:tcPr>
          <w:p>
            <w:pPr>
              <w:jc w:val="left"/>
            </w:pPr>
            <w:r>
              <w:rPr>
                <w:color w:val="1E293B"/>
                <w:sz w:val="17"/>
              </w:rPr>
              <w:t>V3</w:t>
            </w:r>
          </w:p>
        </w:tc>
        <w:tc>
          <w:tcPr>
            <w:tcW w:type="dxa" w:w="2880"/>
            <w:tcMar>
              <w:top w:w="100" w:type="dxa"/>
              <w:bottom w:w="100" w:type="dxa"/>
              <w:left w:w="140" w:type="dxa"/>
              <w:right w:w="140" w:type="dxa"/>
            </w:tcMar>
          </w:tcPr>
          <w:p>
            <w:pPr>
              <w:jc w:val="left"/>
            </w:pPr>
            <w:r>
              <w:rPr>
                <w:color w:val="1E293B"/>
                <w:sz w:val="17"/>
              </w:rPr>
              <w:t>Policy Hash Match</w:t>
            </w:r>
          </w:p>
        </w:tc>
        <w:tc>
          <w:tcPr>
            <w:tcW w:type="dxa" w:w="4032"/>
            <w:tcMar>
              <w:top w:w="100" w:type="dxa"/>
              <w:bottom w:w="100" w:type="dxa"/>
              <w:left w:w="140" w:type="dxa"/>
              <w:right w:w="140" w:type="dxa"/>
            </w:tcMar>
          </w:tcPr>
          <w:p>
            <w:pPr>
              <w:jc w:val="left"/>
            </w:pPr>
            <w:r>
              <w:rPr>
                <w:color w:val="1E293B"/>
                <w:sz w:val="17"/>
              </w:rPr>
              <w:t>Compute SHA256(canonical(policy)) and compare to public_inputs.policy_hash.</w:t>
            </w:r>
          </w:p>
        </w:tc>
        <w:tc>
          <w:tcPr>
            <w:tcW w:type="dxa" w:w="2304"/>
            <w:tcMar>
              <w:top w:w="100" w:type="dxa"/>
              <w:bottom w:w="100" w:type="dxa"/>
              <w:left w:w="140" w:type="dxa"/>
              <w:right w:w="140" w:type="dxa"/>
            </w:tcMar>
          </w:tcPr>
          <w:p>
            <w:pPr>
              <w:jc w:val="left"/>
            </w:pPr>
            <w:r>
              <w:rPr>
                <w:color w:val="1E293B"/>
                <w:sz w:val="17"/>
              </w:rPr>
              <w:t>Subtle policy parameter tampering.</w:t>
            </w:r>
          </w:p>
        </w:tc>
      </w:tr>
      <w:tr>
        <w:tc>
          <w:tcPr>
            <w:tcW w:type="dxa" w:w="864"/>
            <w:shd w:fill="F8FAFC"/>
            <w:tcMar>
              <w:top w:w="100" w:type="dxa"/>
              <w:bottom w:w="100" w:type="dxa"/>
              <w:left w:w="140" w:type="dxa"/>
              <w:right w:w="140" w:type="dxa"/>
            </w:tcMar>
          </w:tcPr>
          <w:p>
            <w:pPr>
              <w:jc w:val="left"/>
            </w:pPr>
            <w:r>
              <w:rPr>
                <w:color w:val="1E293B"/>
                <w:sz w:val="17"/>
              </w:rPr>
              <w:t>V4</w:t>
            </w:r>
          </w:p>
        </w:tc>
        <w:tc>
          <w:tcPr>
            <w:tcW w:type="dxa" w:w="2880"/>
            <w:shd w:fill="F8FAFC"/>
            <w:tcMar>
              <w:top w:w="100" w:type="dxa"/>
              <w:bottom w:w="100" w:type="dxa"/>
              <w:left w:w="140" w:type="dxa"/>
              <w:right w:w="140" w:type="dxa"/>
            </w:tcMar>
          </w:tcPr>
          <w:p>
            <w:pPr>
              <w:jc w:val="left"/>
            </w:pPr>
            <w:r>
              <w:rPr>
                <w:color w:val="1E293B"/>
                <w:sz w:val="17"/>
              </w:rPr>
              <w:t>Exact Cutoff Threshold Match</w:t>
            </w:r>
          </w:p>
        </w:tc>
        <w:tc>
          <w:tcPr>
            <w:tcW w:type="dxa" w:w="4032"/>
            <w:shd w:fill="F8FAFC"/>
            <w:tcMar>
              <w:top w:w="100" w:type="dxa"/>
              <w:bottom w:w="100" w:type="dxa"/>
              <w:left w:w="140" w:type="dxa"/>
              <w:right w:w="140" w:type="dxa"/>
            </w:tcMar>
          </w:tcPr>
          <w:p>
            <w:pPr>
              <w:jc w:val="left"/>
            </w:pPr>
            <w:r>
              <w:rPr>
                <w:color w:val="1E293B"/>
                <w:sz w:val="17"/>
              </w:rPr>
              <w:t>Assert abs(public_inputs.threshold - policy.decision_threshold) &lt; 1e-6.</w:t>
            </w:r>
          </w:p>
        </w:tc>
        <w:tc>
          <w:tcPr>
            <w:tcW w:type="dxa" w:w="2304"/>
            <w:shd w:fill="F8FAFC"/>
            <w:tcMar>
              <w:top w:w="100" w:type="dxa"/>
              <w:bottom w:w="100" w:type="dxa"/>
              <w:left w:w="140" w:type="dxa"/>
              <w:right w:w="140" w:type="dxa"/>
            </w:tcMar>
          </w:tcPr>
          <w:p>
            <w:pPr>
              <w:jc w:val="left"/>
            </w:pPr>
            <w:r>
              <w:rPr>
                <w:color w:val="1E293B"/>
                <w:sz w:val="17"/>
              </w:rPr>
              <w:t>Scenario 4: Cutoff Creep / Threshold lowering.</w:t>
            </w:r>
          </w:p>
        </w:tc>
      </w:tr>
      <w:tr>
        <w:tc>
          <w:tcPr>
            <w:tcW w:type="dxa" w:w="864"/>
            <w:tcMar>
              <w:top w:w="100" w:type="dxa"/>
              <w:bottom w:w="100" w:type="dxa"/>
              <w:left w:w="140" w:type="dxa"/>
              <w:right w:w="140" w:type="dxa"/>
            </w:tcMar>
          </w:tcPr>
          <w:p>
            <w:pPr>
              <w:jc w:val="left"/>
            </w:pPr>
            <w:r>
              <w:rPr>
                <w:color w:val="1E293B"/>
                <w:sz w:val="17"/>
              </w:rPr>
              <w:t>V5</w:t>
            </w:r>
          </w:p>
        </w:tc>
        <w:tc>
          <w:tcPr>
            <w:tcW w:type="dxa" w:w="2880"/>
            <w:tcMar>
              <w:top w:w="100" w:type="dxa"/>
              <w:bottom w:w="100" w:type="dxa"/>
              <w:left w:w="140" w:type="dxa"/>
              <w:right w:w="140" w:type="dxa"/>
            </w:tcMar>
          </w:tcPr>
          <w:p>
            <w:pPr>
              <w:jc w:val="left"/>
            </w:pPr>
            <w:r>
              <w:rPr>
                <w:color w:val="1E293B"/>
                <w:sz w:val="17"/>
              </w:rPr>
              <w:t>Replay Window Validity</w:t>
            </w:r>
          </w:p>
        </w:tc>
        <w:tc>
          <w:tcPr>
            <w:tcW w:type="dxa" w:w="4032"/>
            <w:tcMar>
              <w:top w:w="100" w:type="dxa"/>
              <w:bottom w:w="100" w:type="dxa"/>
              <w:left w:w="140" w:type="dxa"/>
              <w:right w:w="140" w:type="dxa"/>
            </w:tcMar>
          </w:tcPr>
          <w:p>
            <w:pPr>
              <w:jc w:val="left"/>
            </w:pPr>
            <w:r>
              <w:rPr>
                <w:color w:val="1E293B"/>
                <w:sz w:val="17"/>
              </w:rPr>
              <w:t>Check public_inputs.epoch matches current or previous calendar date (YYYYMMDD).</w:t>
            </w:r>
          </w:p>
        </w:tc>
        <w:tc>
          <w:tcPr>
            <w:tcW w:type="dxa" w:w="2304"/>
            <w:tcMar>
              <w:top w:w="100" w:type="dxa"/>
              <w:bottom w:w="100" w:type="dxa"/>
              <w:left w:w="140" w:type="dxa"/>
              <w:right w:w="140" w:type="dxa"/>
            </w:tcMar>
          </w:tcPr>
          <w:p>
            <w:pPr>
              <w:jc w:val="left"/>
            </w:pPr>
            <w:r>
              <w:rPr>
                <w:color w:val="1E293B"/>
                <w:sz w:val="17"/>
              </w:rPr>
              <w:t>Stale proof reuse across epochs.</w:t>
            </w:r>
          </w:p>
        </w:tc>
      </w:tr>
      <w:tr>
        <w:tc>
          <w:tcPr>
            <w:tcW w:type="dxa" w:w="864"/>
            <w:shd w:fill="F8FAFC"/>
            <w:tcMar>
              <w:top w:w="100" w:type="dxa"/>
              <w:bottom w:w="100" w:type="dxa"/>
              <w:left w:w="140" w:type="dxa"/>
              <w:right w:w="140" w:type="dxa"/>
            </w:tcMar>
          </w:tcPr>
          <w:p>
            <w:pPr>
              <w:jc w:val="left"/>
            </w:pPr>
            <w:r>
              <w:rPr>
                <w:color w:val="1E293B"/>
                <w:sz w:val="17"/>
              </w:rPr>
              <w:t>V6</w:t>
            </w:r>
          </w:p>
        </w:tc>
        <w:tc>
          <w:tcPr>
            <w:tcW w:type="dxa" w:w="2880"/>
            <w:shd w:fill="F8FAFC"/>
            <w:tcMar>
              <w:top w:w="100" w:type="dxa"/>
              <w:bottom w:w="100" w:type="dxa"/>
              <w:left w:w="140" w:type="dxa"/>
              <w:right w:w="140" w:type="dxa"/>
            </w:tcMar>
          </w:tcPr>
          <w:p>
            <w:pPr>
              <w:jc w:val="left"/>
            </w:pPr>
            <w:r>
              <w:rPr>
                <w:color w:val="1E293B"/>
                <w:sz w:val="17"/>
              </w:rPr>
              <w:t>Proof Uniqueness</w:t>
            </w:r>
          </w:p>
        </w:tc>
        <w:tc>
          <w:tcPr>
            <w:tcW w:type="dxa" w:w="4032"/>
            <w:shd w:fill="F8FAFC"/>
            <w:tcMar>
              <w:top w:w="100" w:type="dxa"/>
              <w:bottom w:w="100" w:type="dxa"/>
              <w:left w:w="140" w:type="dxa"/>
              <w:right w:w="140" w:type="dxa"/>
            </w:tcMar>
          </w:tcPr>
          <w:p>
            <w:pPr>
              <w:jc w:val="left"/>
            </w:pPr>
            <w:r>
              <w:rPr>
                <w:color w:val="1E293B"/>
                <w:sz w:val="17"/>
              </w:rPr>
              <w:t>Check SHA256(proof_bytes) does not exist in proof_records ledger database.</w:t>
            </w:r>
          </w:p>
        </w:tc>
        <w:tc>
          <w:tcPr>
            <w:tcW w:type="dxa" w:w="2304"/>
            <w:shd w:fill="F8FAFC"/>
            <w:tcMar>
              <w:top w:w="100" w:type="dxa"/>
              <w:bottom w:w="100" w:type="dxa"/>
              <w:left w:w="140" w:type="dxa"/>
              <w:right w:w="140" w:type="dxa"/>
            </w:tcMar>
          </w:tcPr>
          <w:p>
            <w:pPr>
              <w:jc w:val="left"/>
            </w:pPr>
            <w:r>
              <w:rPr>
                <w:color w:val="1E293B"/>
                <w:sz w:val="17"/>
              </w:rPr>
              <w:t>Scenario 6: Replay of previously verified proofs.</w:t>
            </w:r>
          </w:p>
        </w:tc>
      </w:tr>
      <w:tr>
        <w:tc>
          <w:tcPr>
            <w:tcW w:type="dxa" w:w="864"/>
            <w:tcMar>
              <w:top w:w="100" w:type="dxa"/>
              <w:bottom w:w="100" w:type="dxa"/>
              <w:left w:w="140" w:type="dxa"/>
              <w:right w:w="140" w:type="dxa"/>
            </w:tcMar>
          </w:tcPr>
          <w:p>
            <w:pPr>
              <w:jc w:val="left"/>
            </w:pPr>
            <w:r>
              <w:rPr>
                <w:color w:val="1E293B"/>
                <w:sz w:val="17"/>
              </w:rPr>
              <w:t>V7</w:t>
            </w:r>
          </w:p>
        </w:tc>
        <w:tc>
          <w:tcPr>
            <w:tcW w:type="dxa" w:w="2880"/>
            <w:tcMar>
              <w:top w:w="100" w:type="dxa"/>
              <w:bottom w:w="100" w:type="dxa"/>
              <w:left w:w="140" w:type="dxa"/>
              <w:right w:w="140" w:type="dxa"/>
            </w:tcMar>
          </w:tcPr>
          <w:p>
            <w:pPr>
              <w:jc w:val="left"/>
            </w:pPr>
            <w:r>
              <w:rPr>
                <w:color w:val="1E293B"/>
                <w:sz w:val="17"/>
              </w:rPr>
              <w:t>Decision Notice Parity</w:t>
            </w:r>
          </w:p>
        </w:tc>
        <w:tc>
          <w:tcPr>
            <w:tcW w:type="dxa" w:w="4032"/>
            <w:tcMar>
              <w:top w:w="100" w:type="dxa"/>
              <w:bottom w:w="100" w:type="dxa"/>
              <w:left w:w="140" w:type="dxa"/>
              <w:right w:w="140" w:type="dxa"/>
            </w:tcMar>
          </w:tcPr>
          <w:p>
            <w:pPr>
              <w:jc w:val="left"/>
            </w:pPr>
            <w:r>
              <w:rPr>
                <w:color w:val="1E293B"/>
                <w:sz w:val="17"/>
              </w:rPr>
              <w:t>Assert public_inputs.decision == stored_decision from prior Decision Notice.</w:t>
            </w:r>
          </w:p>
        </w:tc>
        <w:tc>
          <w:tcPr>
            <w:tcW w:type="dxa" w:w="2304"/>
            <w:tcMar>
              <w:top w:w="100" w:type="dxa"/>
              <w:bottom w:w="100" w:type="dxa"/>
              <w:left w:w="140" w:type="dxa"/>
              <w:right w:w="140" w:type="dxa"/>
            </w:tcMar>
          </w:tcPr>
          <w:p>
            <w:pPr>
              <w:jc w:val="left"/>
            </w:pPr>
            <w:r>
              <w:rPr>
                <w:color w:val="1E293B"/>
                <w:sz w:val="17"/>
              </w:rPr>
              <w:t>Front-running decision flipping.</w:t>
            </w:r>
          </w:p>
        </w:tc>
      </w:tr>
      <w:tr>
        <w:tc>
          <w:tcPr>
            <w:tcW w:type="dxa" w:w="864"/>
            <w:shd w:fill="F8FAFC"/>
            <w:tcMar>
              <w:top w:w="100" w:type="dxa"/>
              <w:bottom w:w="100" w:type="dxa"/>
              <w:left w:w="140" w:type="dxa"/>
              <w:right w:w="140" w:type="dxa"/>
            </w:tcMar>
          </w:tcPr>
          <w:p>
            <w:pPr>
              <w:jc w:val="left"/>
            </w:pPr>
            <w:r>
              <w:rPr>
                <w:color w:val="1E293B"/>
                <w:sz w:val="17"/>
              </w:rPr>
              <w:t>V8</w:t>
            </w:r>
          </w:p>
        </w:tc>
        <w:tc>
          <w:tcPr>
            <w:tcW w:type="dxa" w:w="2880"/>
            <w:shd w:fill="F8FAFC"/>
            <w:tcMar>
              <w:top w:w="100" w:type="dxa"/>
              <w:bottom w:w="100" w:type="dxa"/>
              <w:left w:w="140" w:type="dxa"/>
              <w:right w:w="140" w:type="dxa"/>
            </w:tcMar>
          </w:tcPr>
          <w:p>
            <w:pPr>
              <w:jc w:val="left"/>
            </w:pPr>
            <w:r>
              <w:rPr>
                <w:color w:val="1E293B"/>
                <w:sz w:val="17"/>
              </w:rPr>
              <w:t>Halo2 KZG SNARK Verify</w:t>
            </w:r>
          </w:p>
        </w:tc>
        <w:tc>
          <w:tcPr>
            <w:tcW w:type="dxa" w:w="4032"/>
            <w:shd w:fill="F8FAFC"/>
            <w:tcMar>
              <w:top w:w="100" w:type="dxa"/>
              <w:bottom w:w="100" w:type="dxa"/>
              <w:left w:w="140" w:type="dxa"/>
              <w:right w:w="140" w:type="dxa"/>
            </w:tcMar>
          </w:tcPr>
          <w:p>
            <w:pPr>
              <w:jc w:val="left"/>
            </w:pPr>
            <w:r>
              <w:rPr>
                <w:color w:val="1E293B"/>
                <w:sz w:val="17"/>
              </w:rPr>
              <w:t>Call EZKL verifier using pre-shared Verification Key (VK) and public inputs vector.</w:t>
            </w:r>
          </w:p>
        </w:tc>
        <w:tc>
          <w:tcPr>
            <w:tcW w:type="dxa" w:w="2304"/>
            <w:shd w:fill="F8FAFC"/>
            <w:tcMar>
              <w:top w:w="100" w:type="dxa"/>
              <w:bottom w:w="100" w:type="dxa"/>
              <w:left w:w="140" w:type="dxa"/>
              <w:right w:w="140" w:type="dxa"/>
            </w:tcMar>
          </w:tcPr>
          <w:p>
            <w:pPr>
              <w:jc w:val="left"/>
            </w:pPr>
            <w:r>
              <w:rPr>
                <w:color w:val="1E293B"/>
                <w:sz w:val="17"/>
              </w:rPr>
              <w:t>Scenario 7: Forged polynomial proof bytes.</w:t>
            </w:r>
          </w:p>
        </w:tc>
      </w:tr>
      <w:tr>
        <w:tc>
          <w:tcPr>
            <w:tcW w:type="dxa" w:w="864"/>
            <w:tcMar>
              <w:top w:w="100" w:type="dxa"/>
              <w:bottom w:w="100" w:type="dxa"/>
              <w:left w:w="140" w:type="dxa"/>
              <w:right w:w="140" w:type="dxa"/>
            </w:tcMar>
          </w:tcPr>
          <w:p>
            <w:pPr>
              <w:jc w:val="left"/>
            </w:pPr>
            <w:r>
              <w:rPr>
                <w:color w:val="1E293B"/>
                <w:sz w:val="17"/>
              </w:rPr>
              <w:t>V9</w:t>
            </w:r>
          </w:p>
        </w:tc>
        <w:tc>
          <w:tcPr>
            <w:tcW w:type="dxa" w:w="2880"/>
            <w:tcMar>
              <w:top w:w="100" w:type="dxa"/>
              <w:bottom w:w="100" w:type="dxa"/>
              <w:left w:w="140" w:type="dxa"/>
              <w:right w:w="140" w:type="dxa"/>
            </w:tcMar>
          </w:tcPr>
          <w:p>
            <w:pPr>
              <w:jc w:val="left"/>
            </w:pPr>
            <w:r>
              <w:rPr>
                <w:color w:val="1E293B"/>
                <w:sz w:val="17"/>
              </w:rPr>
              <w:t>Deterministic Hard Rules</w:t>
            </w:r>
          </w:p>
        </w:tc>
        <w:tc>
          <w:tcPr>
            <w:tcW w:type="dxa" w:w="4032"/>
            <w:tcMar>
              <w:top w:w="100" w:type="dxa"/>
              <w:bottom w:w="100" w:type="dxa"/>
              <w:left w:w="140" w:type="dxa"/>
              <w:right w:w="140" w:type="dxa"/>
            </w:tcMar>
          </w:tcPr>
          <w:p>
            <w:pPr>
              <w:jc w:val="left"/>
            </w:pPr>
            <w:r>
              <w:rPr>
                <w:color w:val="1E293B"/>
                <w:sz w:val="17"/>
              </w:rPr>
              <w:t>Evaluate hard policy boundary constraints (e.g. minimum age, sanction lists).</w:t>
            </w:r>
          </w:p>
        </w:tc>
        <w:tc>
          <w:tcPr>
            <w:tcW w:type="dxa" w:w="2304"/>
            <w:tcMar>
              <w:top w:w="100" w:type="dxa"/>
              <w:bottom w:w="100" w:type="dxa"/>
              <w:left w:w="140" w:type="dxa"/>
              <w:right w:w="140" w:type="dxa"/>
            </w:tcMar>
          </w:tcPr>
          <w:p>
            <w:pPr>
              <w:jc w:val="left"/>
            </w:pPr>
            <w:r>
              <w:rPr>
                <w:color w:val="1E293B"/>
                <w:sz w:val="17"/>
              </w:rPr>
              <w:t>Policy boundary violations.</w:t>
            </w:r>
          </w:p>
        </w:tc>
      </w:tr>
    </w:tbl>
    <w:p>
      <w:pPr>
        <w:pStyle w:val="Heading2"/>
      </w:pPr>
      <w:r>
        <w:t>The Input Binding Adapter (X' ?= X)</w:t>
      </w:r>
    </w:p>
    <w:p>
      <w:r>
        <w:t>A critical innovation in Sakshi addresses the 'Liar Prover' problem: What if the LSP proves a valid calculation, but feeds falsified features into the proof that contradict bank-verified data (e.g., claiming income is ₹1,50,000 when Account Aggregator shows ₹30,000)?</w:t>
        <w:br/>
        <w:t>Sakshi solves this via the Input Binding Adapter. The Lender independently fetches authorized features from Account Aggregators (AA) and Credit Bureaus, canonicalizes them in FEATURE_ORDER, and computes independent hash X' = SHA256(features). If X' != X, the proof is rejected immediately (Scenario 5).</w:t>
      </w:r>
    </w:p>
    <w:p>
      <w:pPr>
        <w:pStyle w:val="Heading1"/>
      </w:pPr>
      <w:r>
        <w:t>6. Cryptographic Audit Ledger: Trustless Verification Without Blockchain Overhead</w:t>
      </w:r>
    </w:p>
    <w:p>
      <w:r>
        <w:t>A common misconception in fintech assurance is that an immutable audit log requires a heavy, slow, expensive blockchain framework (e.g., Hyperledger Fabric, Ethereum). Sakshi proves this is completely unnecessary and architecturally flawed for high-throughput lending.</w:t>
      </w:r>
    </w:p>
    <w:p>
      <w:r>
        <w:t>How Sakshi's Ledger Functions:</w:t>
        <w:br/>
        <w:t>Sakshi utilizes a recursive SHA-256 cryptographic hash chain running on an ACID-compliant, append-only SQLite/PostgreSQL relational database. Each ledger record contains the sequential index, decision ID, verification ID, policy ID, model commitment C, proof hash, and timestamp. The cryptographic row hash is computed as:</w:t>
      </w:r>
    </w:p>
    <w:p>
      <w:pPr>
        <w:jc w:val="center"/>
      </w:pPr>
      <w:r>
        <w:rPr>
          <w:b/>
          <w:color w:val="1E3A8A"/>
          <w:sz w:val="21"/>
        </w:rPr>
        <w:t>Row_Hash[i] = SHA256( Row_Hash[i-1]  ||  Canonical_JSON( Entry[i] ) )</w:t>
      </w:r>
    </w:p>
    <w:p>
      <w:r>
        <w:t>Enforcement Mechanisms:</w:t>
        <w:br/>
        <w:t>1. Database Engine Layer: SQLite triggers (`ledger_no_update` and `ledger_no_delete`) abort any SQL `UPDATE` or `DELETE` statements with an operational error.</w:t>
        <w:br/>
        <w:t>2. Service Verification Layer: The verifier walks all sequential blocks on startup and export, verifying that recomputed hashes match. If a rogue database administrator alters a single character in block #3, block #4's `prev_hash` immediately breaks, flagging fraud across the entire historical chain.</w:t>
        <w:br/>
        <w:t>3. Regulator Export: Regulators can call `GET /v1/ledger/export` to retrieve daily Merkle roots and full chain verification without contacting live databases.</w:t>
      </w:r>
    </w:p>
    <w:p>
      <w:pPr>
        <w:pStyle w:val="Heading1"/>
      </w:pPr>
      <w:r>
        <w:t>7. AI &amp; Technology Deep-Dive: Credit Scorecards &amp; Halo2 ZK Circuits</w:t>
      </w:r>
    </w:p>
    <w:p>
      <w:r>
        <w:t>The underwriting model powering the live Sakshi demonstration is a production-calibrated Credit Risk Scorecard trained on a synthetic dataset of 10,000 Indian borrowers, generated strictly mirroring CIBIL score distributions and RBI credit guidelines.</w:t>
      </w:r>
    </w:p>
    <w:tbl>
      <w:tblPr>
        <w:tblW w:type="auto" w:w="0"/>
        <w:jc w:val="center"/>
        <w:tblLook w:firstColumn="1" w:firstRow="1" w:lastColumn="0" w:lastRow="0" w:noHBand="0" w:noVBand="1" w:val="04A0"/>
      </w:tblPr>
      <w:tblGrid>
        <w:gridCol w:w="2484"/>
        <w:gridCol w:w="2484"/>
        <w:gridCol w:w="2484"/>
        <w:gridCol w:w="2484"/>
      </w:tblGrid>
      <w:tr>
        <w:tc>
          <w:tcPr>
            <w:tcW w:type="dxa" w:w="2304"/>
            <w:shd w:fill="1E3A8A"/>
            <w:tcMar>
              <w:top w:w="120" w:type="dxa"/>
              <w:bottom w:w="120" w:type="dxa"/>
              <w:left w:w="140" w:type="dxa"/>
              <w:right w:w="140" w:type="dxa"/>
            </w:tcMar>
          </w:tcPr>
          <w:p>
            <w:pPr>
              <w:jc w:val="left"/>
            </w:pPr>
            <w:r>
              <w:rPr>
                <w:b/>
                <w:color w:val="FFFFFF"/>
                <w:sz w:val="18"/>
              </w:rPr>
              <w:t>Feature Name</w:t>
            </w:r>
          </w:p>
        </w:tc>
        <w:tc>
          <w:tcPr>
            <w:tcW w:type="dxa" w:w="2016"/>
            <w:shd w:fill="1E3A8A"/>
            <w:tcMar>
              <w:top w:w="120" w:type="dxa"/>
              <w:bottom w:w="120" w:type="dxa"/>
              <w:left w:w="140" w:type="dxa"/>
              <w:right w:w="140" w:type="dxa"/>
            </w:tcMar>
          </w:tcPr>
          <w:p>
            <w:pPr>
              <w:jc w:val="left"/>
            </w:pPr>
            <w:r>
              <w:rPr>
                <w:b/>
                <w:color w:val="FFFFFF"/>
                <w:sz w:val="18"/>
              </w:rPr>
              <w:t>Domain Type</w:t>
            </w:r>
          </w:p>
        </w:tc>
        <w:tc>
          <w:tcPr>
            <w:tcW w:type="dxa" w:w="3456"/>
            <w:shd w:fill="1E3A8A"/>
            <w:tcMar>
              <w:top w:w="120" w:type="dxa"/>
              <w:bottom w:w="120" w:type="dxa"/>
              <w:left w:w="140" w:type="dxa"/>
              <w:right w:w="140" w:type="dxa"/>
            </w:tcMar>
          </w:tcPr>
          <w:p>
            <w:pPr>
              <w:jc w:val="left"/>
            </w:pPr>
            <w:r>
              <w:rPr>
                <w:b/>
                <w:color w:val="FFFFFF"/>
                <w:sz w:val="18"/>
              </w:rPr>
              <w:t>Realistic Indian Distribution</w:t>
            </w:r>
          </w:p>
        </w:tc>
        <w:tc>
          <w:tcPr>
            <w:tcW w:type="dxa" w:w="2304"/>
            <w:shd w:fill="1E3A8A"/>
            <w:tcMar>
              <w:top w:w="120" w:type="dxa"/>
              <w:bottom w:w="120" w:type="dxa"/>
              <w:left w:w="140" w:type="dxa"/>
              <w:right w:w="140" w:type="dxa"/>
            </w:tcMar>
          </w:tcPr>
          <w:p>
            <w:pPr>
              <w:jc w:val="left"/>
            </w:pPr>
            <w:r>
              <w:rPr>
                <w:b/>
                <w:color w:val="FFFFFF"/>
                <w:sz w:val="18"/>
              </w:rPr>
              <w:t>Underwriting Impact</w:t>
            </w:r>
          </w:p>
        </w:tc>
      </w:tr>
      <w:tr>
        <w:tc>
          <w:tcPr>
            <w:tcW w:type="dxa" w:w="2304"/>
            <w:tcMar>
              <w:top w:w="100" w:type="dxa"/>
              <w:bottom w:w="100" w:type="dxa"/>
              <w:left w:w="140" w:type="dxa"/>
              <w:right w:w="140" w:type="dxa"/>
            </w:tcMar>
          </w:tcPr>
          <w:p>
            <w:pPr>
              <w:jc w:val="left"/>
            </w:pPr>
            <w:r>
              <w:rPr>
                <w:color w:val="1E293B"/>
                <w:sz w:val="17"/>
              </w:rPr>
              <w:t>bureau_score</w:t>
            </w:r>
          </w:p>
        </w:tc>
        <w:tc>
          <w:tcPr>
            <w:tcW w:type="dxa" w:w="2016"/>
            <w:tcMar>
              <w:top w:w="100" w:type="dxa"/>
              <w:bottom w:w="100" w:type="dxa"/>
              <w:left w:w="140" w:type="dxa"/>
              <w:right w:w="140" w:type="dxa"/>
            </w:tcMar>
          </w:tcPr>
          <w:p>
            <w:pPr>
              <w:jc w:val="left"/>
            </w:pPr>
            <w:r>
              <w:rPr>
                <w:color w:val="1E293B"/>
                <w:sz w:val="17"/>
              </w:rPr>
              <w:t>Integer (300-900)</w:t>
            </w:r>
          </w:p>
        </w:tc>
        <w:tc>
          <w:tcPr>
            <w:tcW w:type="dxa" w:w="3456"/>
            <w:tcMar>
              <w:top w:w="100" w:type="dxa"/>
              <w:bottom w:w="100" w:type="dxa"/>
              <w:left w:w="140" w:type="dxa"/>
              <w:right w:w="140" w:type="dxa"/>
            </w:tcMar>
          </w:tcPr>
          <w:p>
            <w:pPr>
              <w:jc w:val="left"/>
            </w:pPr>
            <w:r>
              <w:rPr>
                <w:color w:val="1E293B"/>
                <w:sz w:val="17"/>
              </w:rPr>
              <w:t>CIBIL score binned into 6 buckets (Prime &gt;750, Subprime &lt;600)</w:t>
            </w:r>
          </w:p>
        </w:tc>
        <w:tc>
          <w:tcPr>
            <w:tcW w:type="dxa" w:w="2304"/>
            <w:tcMar>
              <w:top w:w="100" w:type="dxa"/>
              <w:bottom w:w="100" w:type="dxa"/>
              <w:left w:w="140" w:type="dxa"/>
              <w:right w:w="140" w:type="dxa"/>
            </w:tcMar>
          </w:tcPr>
          <w:p>
            <w:pPr>
              <w:jc w:val="left"/>
            </w:pPr>
            <w:r>
              <w:rPr>
                <w:color w:val="1E293B"/>
                <w:sz w:val="17"/>
              </w:rPr>
              <w:t>High: Primary creditworthiness index</w:t>
            </w:r>
          </w:p>
        </w:tc>
      </w:tr>
      <w:tr>
        <w:tc>
          <w:tcPr>
            <w:tcW w:type="dxa" w:w="2304"/>
            <w:shd w:fill="F8FAFC"/>
            <w:tcMar>
              <w:top w:w="100" w:type="dxa"/>
              <w:bottom w:w="100" w:type="dxa"/>
              <w:left w:w="140" w:type="dxa"/>
              <w:right w:w="140" w:type="dxa"/>
            </w:tcMar>
          </w:tcPr>
          <w:p>
            <w:pPr>
              <w:jc w:val="left"/>
            </w:pPr>
            <w:r>
              <w:rPr>
                <w:color w:val="1E293B"/>
                <w:sz w:val="17"/>
              </w:rPr>
              <w:t>monthly_income</w:t>
            </w:r>
          </w:p>
        </w:tc>
        <w:tc>
          <w:tcPr>
            <w:tcW w:type="dxa" w:w="2016"/>
            <w:shd w:fill="F8FAFC"/>
            <w:tcMar>
              <w:top w:w="100" w:type="dxa"/>
              <w:bottom w:w="100" w:type="dxa"/>
              <w:left w:w="140" w:type="dxa"/>
              <w:right w:w="140" w:type="dxa"/>
            </w:tcMar>
          </w:tcPr>
          <w:p>
            <w:pPr>
              <w:jc w:val="left"/>
            </w:pPr>
            <w:r>
              <w:rPr>
                <w:color w:val="1E293B"/>
                <w:sz w:val="17"/>
              </w:rPr>
              <w:t>Float (INR)</w:t>
            </w:r>
          </w:p>
        </w:tc>
        <w:tc>
          <w:tcPr>
            <w:tcW w:type="dxa" w:w="3456"/>
            <w:shd w:fill="F8FAFC"/>
            <w:tcMar>
              <w:top w:w="100" w:type="dxa"/>
              <w:bottom w:w="100" w:type="dxa"/>
              <w:left w:w="140" w:type="dxa"/>
              <w:right w:w="140" w:type="dxa"/>
            </w:tcMar>
          </w:tcPr>
          <w:p>
            <w:pPr>
              <w:jc w:val="left"/>
            </w:pPr>
            <w:r>
              <w:rPr>
                <w:color w:val="1E293B"/>
                <w:sz w:val="17"/>
              </w:rPr>
              <w:t>Lognormal (₹15,000 to ₹2,50,000/month)</w:t>
            </w:r>
          </w:p>
        </w:tc>
        <w:tc>
          <w:tcPr>
            <w:tcW w:type="dxa" w:w="2304"/>
            <w:shd w:fill="F8FAFC"/>
            <w:tcMar>
              <w:top w:w="100" w:type="dxa"/>
              <w:bottom w:w="100" w:type="dxa"/>
              <w:left w:w="140" w:type="dxa"/>
              <w:right w:w="140" w:type="dxa"/>
            </w:tcMar>
          </w:tcPr>
          <w:p>
            <w:pPr>
              <w:jc w:val="left"/>
            </w:pPr>
            <w:r>
              <w:rPr>
                <w:color w:val="1E293B"/>
                <w:sz w:val="17"/>
              </w:rPr>
              <w:t>High: Capacity to repay</w:t>
            </w:r>
          </w:p>
        </w:tc>
      </w:tr>
      <w:tr>
        <w:tc>
          <w:tcPr>
            <w:tcW w:type="dxa" w:w="2304"/>
            <w:tcMar>
              <w:top w:w="100" w:type="dxa"/>
              <w:bottom w:w="100" w:type="dxa"/>
              <w:left w:w="140" w:type="dxa"/>
              <w:right w:w="140" w:type="dxa"/>
            </w:tcMar>
          </w:tcPr>
          <w:p>
            <w:pPr>
              <w:jc w:val="left"/>
            </w:pPr>
            <w:r>
              <w:rPr>
                <w:color w:val="1E293B"/>
                <w:sz w:val="17"/>
              </w:rPr>
              <w:t>foir</w:t>
            </w:r>
          </w:p>
        </w:tc>
        <w:tc>
          <w:tcPr>
            <w:tcW w:type="dxa" w:w="2016"/>
            <w:tcMar>
              <w:top w:w="100" w:type="dxa"/>
              <w:bottom w:w="100" w:type="dxa"/>
              <w:left w:w="140" w:type="dxa"/>
              <w:right w:w="140" w:type="dxa"/>
            </w:tcMar>
          </w:tcPr>
          <w:p>
            <w:pPr>
              <w:jc w:val="left"/>
            </w:pPr>
            <w:r>
              <w:rPr>
                <w:color w:val="1E293B"/>
                <w:sz w:val="17"/>
              </w:rPr>
              <w:t>Float (0.05-0.90)</w:t>
            </w:r>
          </w:p>
        </w:tc>
        <w:tc>
          <w:tcPr>
            <w:tcW w:type="dxa" w:w="3456"/>
            <w:tcMar>
              <w:top w:w="100" w:type="dxa"/>
              <w:bottom w:w="100" w:type="dxa"/>
              <w:left w:w="140" w:type="dxa"/>
              <w:right w:w="140" w:type="dxa"/>
            </w:tcMar>
          </w:tcPr>
          <w:p>
            <w:pPr>
              <w:jc w:val="left"/>
            </w:pPr>
            <w:r>
              <w:rPr>
                <w:color w:val="1E293B"/>
                <w:sz w:val="17"/>
              </w:rPr>
              <w:t>Fixed Obligation to Income Ratio (EMI / Income)</w:t>
            </w:r>
          </w:p>
        </w:tc>
        <w:tc>
          <w:tcPr>
            <w:tcW w:type="dxa" w:w="2304"/>
            <w:tcMar>
              <w:top w:w="100" w:type="dxa"/>
              <w:bottom w:w="100" w:type="dxa"/>
              <w:left w:w="140" w:type="dxa"/>
              <w:right w:w="140" w:type="dxa"/>
            </w:tcMar>
          </w:tcPr>
          <w:p>
            <w:pPr>
              <w:jc w:val="left"/>
            </w:pPr>
            <w:r>
              <w:rPr>
                <w:color w:val="1E293B"/>
                <w:sz w:val="17"/>
              </w:rPr>
              <w:t>Critical: Primary cutoff parameter</w:t>
            </w:r>
          </w:p>
        </w:tc>
      </w:tr>
      <w:tr>
        <w:tc>
          <w:tcPr>
            <w:tcW w:type="dxa" w:w="2304"/>
            <w:shd w:fill="F8FAFC"/>
            <w:tcMar>
              <w:top w:w="100" w:type="dxa"/>
              <w:bottom w:w="100" w:type="dxa"/>
              <w:left w:w="140" w:type="dxa"/>
              <w:right w:w="140" w:type="dxa"/>
            </w:tcMar>
          </w:tcPr>
          <w:p>
            <w:pPr>
              <w:jc w:val="left"/>
            </w:pPr>
            <w:r>
              <w:rPr>
                <w:color w:val="1E293B"/>
                <w:sz w:val="17"/>
              </w:rPr>
              <w:t>loan_tenure_months</w:t>
            </w:r>
          </w:p>
        </w:tc>
        <w:tc>
          <w:tcPr>
            <w:tcW w:type="dxa" w:w="2016"/>
            <w:shd w:fill="F8FAFC"/>
            <w:tcMar>
              <w:top w:w="100" w:type="dxa"/>
              <w:bottom w:w="100" w:type="dxa"/>
              <w:left w:w="140" w:type="dxa"/>
              <w:right w:w="140" w:type="dxa"/>
            </w:tcMar>
          </w:tcPr>
          <w:p>
            <w:pPr>
              <w:jc w:val="left"/>
            </w:pPr>
            <w:r>
              <w:rPr>
                <w:color w:val="1E293B"/>
                <w:sz w:val="17"/>
              </w:rPr>
              <w:t>Integer</w:t>
            </w:r>
          </w:p>
        </w:tc>
        <w:tc>
          <w:tcPr>
            <w:tcW w:type="dxa" w:w="3456"/>
            <w:shd w:fill="F8FAFC"/>
            <w:tcMar>
              <w:top w:w="100" w:type="dxa"/>
              <w:bottom w:w="100" w:type="dxa"/>
              <w:left w:w="140" w:type="dxa"/>
              <w:right w:w="140" w:type="dxa"/>
            </w:tcMar>
          </w:tcPr>
          <w:p>
            <w:pPr>
              <w:jc w:val="left"/>
            </w:pPr>
            <w:r>
              <w:rPr>
                <w:color w:val="1E293B"/>
                <w:sz w:val="17"/>
              </w:rPr>
              <w:t>Standard tenures: 12, 24, 36, 48, 60 months</w:t>
            </w:r>
          </w:p>
        </w:tc>
        <w:tc>
          <w:tcPr>
            <w:tcW w:type="dxa" w:w="2304"/>
            <w:shd w:fill="F8FAFC"/>
            <w:tcMar>
              <w:top w:w="100" w:type="dxa"/>
              <w:bottom w:w="100" w:type="dxa"/>
              <w:left w:w="140" w:type="dxa"/>
              <w:right w:w="140" w:type="dxa"/>
            </w:tcMar>
          </w:tcPr>
          <w:p>
            <w:pPr>
              <w:jc w:val="left"/>
            </w:pPr>
            <w:r>
              <w:rPr>
                <w:color w:val="1E293B"/>
                <w:sz w:val="17"/>
              </w:rPr>
              <w:t>Medium: Interest rate amortisation</w:t>
            </w:r>
          </w:p>
        </w:tc>
      </w:tr>
      <w:tr>
        <w:tc>
          <w:tcPr>
            <w:tcW w:type="dxa" w:w="2304"/>
            <w:tcMar>
              <w:top w:w="100" w:type="dxa"/>
              <w:bottom w:w="100" w:type="dxa"/>
              <w:left w:w="140" w:type="dxa"/>
              <w:right w:w="140" w:type="dxa"/>
            </w:tcMar>
          </w:tcPr>
          <w:p>
            <w:pPr>
              <w:jc w:val="left"/>
            </w:pPr>
            <w:r>
              <w:rPr>
                <w:color w:val="1E293B"/>
                <w:sz w:val="17"/>
              </w:rPr>
              <w:t>num_active_loans</w:t>
            </w:r>
          </w:p>
        </w:tc>
        <w:tc>
          <w:tcPr>
            <w:tcW w:type="dxa" w:w="2016"/>
            <w:tcMar>
              <w:top w:w="100" w:type="dxa"/>
              <w:bottom w:w="100" w:type="dxa"/>
              <w:left w:w="140" w:type="dxa"/>
              <w:right w:w="140" w:type="dxa"/>
            </w:tcMar>
          </w:tcPr>
          <w:p>
            <w:pPr>
              <w:jc w:val="left"/>
            </w:pPr>
            <w:r>
              <w:rPr>
                <w:color w:val="1E293B"/>
                <w:sz w:val="17"/>
              </w:rPr>
              <w:t>Integer (0-10)</w:t>
            </w:r>
          </w:p>
        </w:tc>
        <w:tc>
          <w:tcPr>
            <w:tcW w:type="dxa" w:w="3456"/>
            <w:tcMar>
              <w:top w:w="100" w:type="dxa"/>
              <w:bottom w:w="100" w:type="dxa"/>
              <w:left w:w="140" w:type="dxa"/>
              <w:right w:w="140" w:type="dxa"/>
            </w:tcMar>
          </w:tcPr>
          <w:p>
            <w:pPr>
              <w:jc w:val="left"/>
            </w:pPr>
            <w:r>
              <w:rPr>
                <w:color w:val="1E293B"/>
                <w:sz w:val="17"/>
              </w:rPr>
              <w:t>Current live unsecured/secured credit facilities</w:t>
            </w:r>
          </w:p>
        </w:tc>
        <w:tc>
          <w:tcPr>
            <w:tcW w:type="dxa" w:w="2304"/>
            <w:tcMar>
              <w:top w:w="100" w:type="dxa"/>
              <w:bottom w:w="100" w:type="dxa"/>
              <w:left w:w="140" w:type="dxa"/>
              <w:right w:w="140" w:type="dxa"/>
            </w:tcMar>
          </w:tcPr>
          <w:p>
            <w:pPr>
              <w:jc w:val="left"/>
            </w:pPr>
            <w:r>
              <w:rPr>
                <w:color w:val="1E293B"/>
                <w:sz w:val="17"/>
              </w:rPr>
              <w:t>High: Overleveraged borrower indicator</w:t>
            </w:r>
          </w:p>
        </w:tc>
      </w:tr>
      <w:tr>
        <w:tc>
          <w:tcPr>
            <w:tcW w:type="dxa" w:w="2304"/>
            <w:shd w:fill="F8FAFC"/>
            <w:tcMar>
              <w:top w:w="100" w:type="dxa"/>
              <w:bottom w:w="100" w:type="dxa"/>
              <w:left w:w="140" w:type="dxa"/>
              <w:right w:w="140" w:type="dxa"/>
            </w:tcMar>
          </w:tcPr>
          <w:p>
            <w:pPr>
              <w:jc w:val="left"/>
            </w:pPr>
            <w:r>
              <w:rPr>
                <w:color w:val="1E293B"/>
                <w:sz w:val="17"/>
              </w:rPr>
              <w:t>num_enquiries_6m</w:t>
            </w:r>
          </w:p>
        </w:tc>
        <w:tc>
          <w:tcPr>
            <w:tcW w:type="dxa" w:w="2016"/>
            <w:shd w:fill="F8FAFC"/>
            <w:tcMar>
              <w:top w:w="100" w:type="dxa"/>
              <w:bottom w:w="100" w:type="dxa"/>
              <w:left w:w="140" w:type="dxa"/>
              <w:right w:w="140" w:type="dxa"/>
            </w:tcMar>
          </w:tcPr>
          <w:p>
            <w:pPr>
              <w:jc w:val="left"/>
            </w:pPr>
            <w:r>
              <w:rPr>
                <w:color w:val="1E293B"/>
                <w:sz w:val="17"/>
              </w:rPr>
              <w:t>Integer (0-20)</w:t>
            </w:r>
          </w:p>
        </w:tc>
        <w:tc>
          <w:tcPr>
            <w:tcW w:type="dxa" w:w="3456"/>
            <w:shd w:fill="F8FAFC"/>
            <w:tcMar>
              <w:top w:w="100" w:type="dxa"/>
              <w:bottom w:w="100" w:type="dxa"/>
              <w:left w:w="140" w:type="dxa"/>
              <w:right w:w="140" w:type="dxa"/>
            </w:tcMar>
          </w:tcPr>
          <w:p>
            <w:pPr>
              <w:jc w:val="left"/>
            </w:pPr>
            <w:r>
              <w:rPr>
                <w:color w:val="1E293B"/>
                <w:sz w:val="17"/>
              </w:rPr>
              <w:t>Credit bureau enquiries in past 6 months</w:t>
            </w:r>
          </w:p>
        </w:tc>
        <w:tc>
          <w:tcPr>
            <w:tcW w:type="dxa" w:w="2304"/>
            <w:shd w:fill="F8FAFC"/>
            <w:tcMar>
              <w:top w:w="100" w:type="dxa"/>
              <w:bottom w:w="100" w:type="dxa"/>
              <w:left w:w="140" w:type="dxa"/>
              <w:right w:w="140" w:type="dxa"/>
            </w:tcMar>
          </w:tcPr>
          <w:p>
            <w:pPr>
              <w:jc w:val="left"/>
            </w:pPr>
            <w:r>
              <w:rPr>
                <w:color w:val="1E293B"/>
                <w:sz w:val="17"/>
              </w:rPr>
              <w:t>High: Credit-hungry distress indicator</w:t>
            </w:r>
          </w:p>
        </w:tc>
      </w:tr>
      <w:tr>
        <w:tc>
          <w:tcPr>
            <w:tcW w:type="dxa" w:w="2304"/>
            <w:tcMar>
              <w:top w:w="100" w:type="dxa"/>
              <w:bottom w:w="100" w:type="dxa"/>
              <w:left w:w="140" w:type="dxa"/>
              <w:right w:w="140" w:type="dxa"/>
            </w:tcMar>
          </w:tcPr>
          <w:p>
            <w:pPr>
              <w:jc w:val="left"/>
            </w:pPr>
            <w:r>
              <w:rPr>
                <w:color w:val="1E293B"/>
                <w:sz w:val="17"/>
              </w:rPr>
              <w:t>bank_account_age_months</w:t>
            </w:r>
          </w:p>
        </w:tc>
        <w:tc>
          <w:tcPr>
            <w:tcW w:type="dxa" w:w="2016"/>
            <w:tcMar>
              <w:top w:w="100" w:type="dxa"/>
              <w:bottom w:w="100" w:type="dxa"/>
              <w:left w:w="140" w:type="dxa"/>
              <w:right w:w="140" w:type="dxa"/>
            </w:tcMar>
          </w:tcPr>
          <w:p>
            <w:pPr>
              <w:jc w:val="left"/>
            </w:pPr>
            <w:r>
              <w:rPr>
                <w:color w:val="1E293B"/>
                <w:sz w:val="17"/>
              </w:rPr>
              <w:t>Integer (1-300)</w:t>
            </w:r>
          </w:p>
        </w:tc>
        <w:tc>
          <w:tcPr>
            <w:tcW w:type="dxa" w:w="3456"/>
            <w:tcMar>
              <w:top w:w="100" w:type="dxa"/>
              <w:bottom w:w="100" w:type="dxa"/>
              <w:left w:w="140" w:type="dxa"/>
              <w:right w:w="140" w:type="dxa"/>
            </w:tcMar>
          </w:tcPr>
          <w:p>
            <w:pPr>
              <w:jc w:val="left"/>
            </w:pPr>
            <w:r>
              <w:rPr>
                <w:color w:val="1E293B"/>
                <w:sz w:val="17"/>
              </w:rPr>
              <w:t>Operational age of primary salary bank account</w:t>
            </w:r>
          </w:p>
        </w:tc>
        <w:tc>
          <w:tcPr>
            <w:tcW w:type="dxa" w:w="2304"/>
            <w:tcMar>
              <w:top w:w="100" w:type="dxa"/>
              <w:bottom w:w="100" w:type="dxa"/>
              <w:left w:w="140" w:type="dxa"/>
              <w:right w:w="140" w:type="dxa"/>
            </w:tcMar>
          </w:tcPr>
          <w:p>
            <w:pPr>
              <w:jc w:val="left"/>
            </w:pPr>
            <w:r>
              <w:rPr>
                <w:color w:val="1E293B"/>
                <w:sz w:val="17"/>
              </w:rPr>
              <w:t>Medium: Financial stability anchor</w:t>
            </w:r>
          </w:p>
        </w:tc>
      </w:tr>
      <w:tr>
        <w:tc>
          <w:tcPr>
            <w:tcW w:type="dxa" w:w="2304"/>
            <w:shd w:fill="F8FAFC"/>
            <w:tcMar>
              <w:top w:w="100" w:type="dxa"/>
              <w:bottom w:w="100" w:type="dxa"/>
              <w:left w:w="140" w:type="dxa"/>
              <w:right w:w="140" w:type="dxa"/>
            </w:tcMar>
          </w:tcPr>
          <w:p>
            <w:pPr>
              <w:jc w:val="left"/>
            </w:pPr>
            <w:r>
              <w:rPr>
                <w:color w:val="1E293B"/>
                <w:sz w:val="17"/>
              </w:rPr>
              <w:t>loan_amount_requested</w:t>
            </w:r>
          </w:p>
        </w:tc>
        <w:tc>
          <w:tcPr>
            <w:tcW w:type="dxa" w:w="2016"/>
            <w:shd w:fill="F8FAFC"/>
            <w:tcMar>
              <w:top w:w="100" w:type="dxa"/>
              <w:bottom w:w="100" w:type="dxa"/>
              <w:left w:w="140" w:type="dxa"/>
              <w:right w:w="140" w:type="dxa"/>
            </w:tcMar>
          </w:tcPr>
          <w:p>
            <w:pPr>
              <w:jc w:val="left"/>
            </w:pPr>
            <w:r>
              <w:rPr>
                <w:color w:val="1E293B"/>
                <w:sz w:val="17"/>
              </w:rPr>
              <w:t>Float (INR)</w:t>
            </w:r>
          </w:p>
        </w:tc>
        <w:tc>
          <w:tcPr>
            <w:tcW w:type="dxa" w:w="3456"/>
            <w:shd w:fill="F8FAFC"/>
            <w:tcMar>
              <w:top w:w="100" w:type="dxa"/>
              <w:bottom w:w="100" w:type="dxa"/>
              <w:left w:w="140" w:type="dxa"/>
              <w:right w:w="140" w:type="dxa"/>
            </w:tcMar>
          </w:tcPr>
          <w:p>
            <w:pPr>
              <w:jc w:val="left"/>
            </w:pPr>
            <w:r>
              <w:rPr>
                <w:color w:val="1E293B"/>
                <w:sz w:val="17"/>
              </w:rPr>
              <w:t>₹25,000 to ₹5,00,000 instant personal loans</w:t>
            </w:r>
          </w:p>
        </w:tc>
        <w:tc>
          <w:tcPr>
            <w:tcW w:type="dxa" w:w="2304"/>
            <w:shd w:fill="F8FAFC"/>
            <w:tcMar>
              <w:top w:w="100" w:type="dxa"/>
              <w:bottom w:w="100" w:type="dxa"/>
              <w:left w:w="140" w:type="dxa"/>
              <w:right w:w="140" w:type="dxa"/>
            </w:tcMar>
          </w:tcPr>
          <w:p>
            <w:pPr>
              <w:jc w:val="left"/>
            </w:pPr>
            <w:r>
              <w:rPr>
                <w:color w:val="1E293B"/>
                <w:sz w:val="17"/>
              </w:rPr>
              <w:t>Medium: Ticket size sizing</w:t>
            </w:r>
          </w:p>
        </w:tc>
      </w:tr>
      <w:tr>
        <w:tc>
          <w:tcPr>
            <w:tcW w:type="dxa" w:w="2304"/>
            <w:tcMar>
              <w:top w:w="100" w:type="dxa"/>
              <w:bottom w:w="100" w:type="dxa"/>
              <w:left w:w="140" w:type="dxa"/>
              <w:right w:w="140" w:type="dxa"/>
            </w:tcMar>
          </w:tcPr>
          <w:p>
            <w:pPr>
              <w:jc w:val="left"/>
            </w:pPr>
            <w:r>
              <w:rPr>
                <w:color w:val="1E293B"/>
                <w:sz w:val="17"/>
              </w:rPr>
              <w:t>behaviour_idx</w:t>
            </w:r>
          </w:p>
        </w:tc>
        <w:tc>
          <w:tcPr>
            <w:tcW w:type="dxa" w:w="2016"/>
            <w:tcMar>
              <w:top w:w="100" w:type="dxa"/>
              <w:bottom w:w="100" w:type="dxa"/>
              <w:left w:w="140" w:type="dxa"/>
              <w:right w:w="140" w:type="dxa"/>
            </w:tcMar>
          </w:tcPr>
          <w:p>
            <w:pPr>
              <w:jc w:val="left"/>
            </w:pPr>
            <w:r>
              <w:rPr>
                <w:color w:val="1E293B"/>
                <w:sz w:val="17"/>
              </w:rPr>
              <w:t>Float (0.0-1.0)</w:t>
            </w:r>
          </w:p>
        </w:tc>
        <w:tc>
          <w:tcPr>
            <w:tcW w:type="dxa" w:w="3456"/>
            <w:tcMar>
              <w:top w:w="100" w:type="dxa"/>
              <w:bottom w:w="100" w:type="dxa"/>
              <w:left w:w="140" w:type="dxa"/>
              <w:right w:w="140" w:type="dxa"/>
            </w:tcMar>
          </w:tcPr>
          <w:p>
            <w:pPr>
              <w:jc w:val="left"/>
            </w:pPr>
            <w:r>
              <w:rPr>
                <w:color w:val="1E293B"/>
                <w:sz w:val="17"/>
              </w:rPr>
              <w:t>In-app digital engagement and behavioral velocity</w:t>
            </w:r>
          </w:p>
        </w:tc>
        <w:tc>
          <w:tcPr>
            <w:tcW w:type="dxa" w:w="2304"/>
            <w:tcMar>
              <w:top w:w="100" w:type="dxa"/>
              <w:bottom w:w="100" w:type="dxa"/>
              <w:left w:w="140" w:type="dxa"/>
              <w:right w:w="140" w:type="dxa"/>
            </w:tcMar>
          </w:tcPr>
          <w:p>
            <w:pPr>
              <w:jc w:val="left"/>
            </w:pPr>
            <w:r>
              <w:rPr>
                <w:color w:val="1E293B"/>
                <w:sz w:val="17"/>
              </w:rPr>
              <w:t>Emerging: FinTech alternative underwriting</w:t>
            </w:r>
          </w:p>
        </w:tc>
      </w:tr>
      <w:tr>
        <w:tc>
          <w:tcPr>
            <w:tcW w:type="dxa" w:w="2304"/>
            <w:shd w:fill="F8FAFC"/>
            <w:tcMar>
              <w:top w:w="100" w:type="dxa"/>
              <w:bottom w:w="100" w:type="dxa"/>
              <w:left w:w="140" w:type="dxa"/>
              <w:right w:w="140" w:type="dxa"/>
            </w:tcMar>
          </w:tcPr>
          <w:p>
            <w:pPr>
              <w:jc w:val="left"/>
            </w:pPr>
            <w:r>
              <w:rPr>
                <w:color w:val="1E293B"/>
                <w:sz w:val="17"/>
              </w:rPr>
              <w:t>employment_type</w:t>
            </w:r>
          </w:p>
        </w:tc>
        <w:tc>
          <w:tcPr>
            <w:tcW w:type="dxa" w:w="2016"/>
            <w:shd w:fill="F8FAFC"/>
            <w:tcMar>
              <w:top w:w="100" w:type="dxa"/>
              <w:bottom w:w="100" w:type="dxa"/>
              <w:left w:w="140" w:type="dxa"/>
              <w:right w:w="140" w:type="dxa"/>
            </w:tcMar>
          </w:tcPr>
          <w:p>
            <w:pPr>
              <w:jc w:val="left"/>
            </w:pPr>
            <w:r>
              <w:rPr>
                <w:color w:val="1E293B"/>
                <w:sz w:val="17"/>
              </w:rPr>
              <w:t>Categorical (0-2)</w:t>
            </w:r>
          </w:p>
        </w:tc>
        <w:tc>
          <w:tcPr>
            <w:tcW w:type="dxa" w:w="3456"/>
            <w:shd w:fill="F8FAFC"/>
            <w:tcMar>
              <w:top w:w="100" w:type="dxa"/>
              <w:bottom w:w="100" w:type="dxa"/>
              <w:left w:w="140" w:type="dxa"/>
              <w:right w:w="140" w:type="dxa"/>
            </w:tcMar>
          </w:tcPr>
          <w:p>
            <w:pPr>
              <w:jc w:val="left"/>
            </w:pPr>
            <w:r>
              <w:rPr>
                <w:color w:val="1E293B"/>
                <w:sz w:val="17"/>
              </w:rPr>
              <w:t>0: Salaried (Tier 1/2), 1: Self-Employed, 2: Gig/Contract</w:t>
            </w:r>
          </w:p>
        </w:tc>
        <w:tc>
          <w:tcPr>
            <w:tcW w:type="dxa" w:w="2304"/>
            <w:shd w:fill="F8FAFC"/>
            <w:tcMar>
              <w:top w:w="100" w:type="dxa"/>
              <w:bottom w:w="100" w:type="dxa"/>
              <w:left w:w="140" w:type="dxa"/>
              <w:right w:w="140" w:type="dxa"/>
            </w:tcMar>
          </w:tcPr>
          <w:p>
            <w:pPr>
              <w:jc w:val="left"/>
            </w:pPr>
            <w:r>
              <w:rPr>
                <w:color w:val="1E293B"/>
                <w:sz w:val="17"/>
              </w:rPr>
              <w:t>Medium: Income volatility profiling</w:t>
            </w:r>
          </w:p>
        </w:tc>
      </w:tr>
    </w:tbl>
    <w:p>
      <w:pPr>
        <w:pStyle w:val="Heading2"/>
      </w:pPr>
      <w:r>
        <w:t>Quantization Parity Report (Float vs ZK Quantized)</w:t>
      </w:r>
    </w:p>
    <w:p>
      <w:r>
        <w:t>Because zero-knowledge circuits operate over finite fields (BN254 elliptic curve scalar fields), standard 32-bit floating-point weights cannot be directly proven without catastrophic circuit size inflation. Sakshi converts the trained scikit-learn scorecard into an ONNX graph and quantizes all floating-point numbers into fixed-point integers using a calibrated scale factor of 1024.</w:t>
      </w:r>
    </w:p>
    <w:tbl>
      <w:tblPr>
        <w:tblW w:type="auto" w:w="0"/>
        <w:jc w:val="center"/>
        <w:tblLook w:firstColumn="1" w:firstRow="1" w:lastColumn="0" w:lastRow="0" w:noHBand="0" w:noVBand="1" w:val="04A0"/>
      </w:tblPr>
      <w:tblGrid>
        <w:gridCol w:w="3312"/>
        <w:gridCol w:w="3312"/>
        <w:gridCol w:w="3312"/>
      </w:tblGrid>
      <w:tr>
        <w:tc>
          <w:tcPr>
            <w:tcW w:type="dxa" w:w="3600"/>
            <w:shd w:fill="1E3A8A"/>
            <w:tcMar>
              <w:top w:w="120" w:type="dxa"/>
              <w:bottom w:w="120" w:type="dxa"/>
              <w:left w:w="140" w:type="dxa"/>
              <w:right w:w="140" w:type="dxa"/>
            </w:tcMar>
          </w:tcPr>
          <w:p>
            <w:pPr>
              <w:jc w:val="left"/>
            </w:pPr>
            <w:r>
              <w:rPr>
                <w:b/>
                <w:color w:val="FFFFFF"/>
                <w:sz w:val="18"/>
              </w:rPr>
              <w:t>Evaluation Metric</w:t>
            </w:r>
          </w:p>
        </w:tc>
        <w:tc>
          <w:tcPr>
            <w:tcW w:type="dxa" w:w="3168"/>
            <w:shd w:fill="1E3A8A"/>
            <w:tcMar>
              <w:top w:w="120" w:type="dxa"/>
              <w:bottom w:w="120" w:type="dxa"/>
              <w:left w:w="140" w:type="dxa"/>
              <w:right w:w="140" w:type="dxa"/>
            </w:tcMar>
          </w:tcPr>
          <w:p>
            <w:pPr>
              <w:jc w:val="left"/>
            </w:pPr>
            <w:r>
              <w:rPr>
                <w:b/>
                <w:color w:val="FFFFFF"/>
                <w:sz w:val="18"/>
              </w:rPr>
              <w:t>Float-32 Reference Model</w:t>
            </w:r>
          </w:p>
        </w:tc>
        <w:tc>
          <w:tcPr>
            <w:tcW w:type="dxa" w:w="3312"/>
            <w:shd w:fill="1E3A8A"/>
            <w:tcMar>
              <w:top w:w="120" w:type="dxa"/>
              <w:bottom w:w="120" w:type="dxa"/>
              <w:left w:w="140" w:type="dxa"/>
              <w:right w:w="140" w:type="dxa"/>
            </w:tcMar>
          </w:tcPr>
          <w:p>
            <w:pPr>
              <w:jc w:val="left"/>
            </w:pPr>
            <w:r>
              <w:rPr>
                <w:b/>
                <w:color w:val="FFFFFF"/>
                <w:sz w:val="18"/>
              </w:rPr>
              <w:t>Halo2 Fixed-Point 1024 Circuit</w:t>
            </w:r>
          </w:p>
        </w:tc>
      </w:tr>
      <w:tr>
        <w:tc>
          <w:tcPr>
            <w:tcW w:type="dxa" w:w="3600"/>
            <w:tcMar>
              <w:top w:w="100" w:type="dxa"/>
              <w:bottom w:w="100" w:type="dxa"/>
              <w:left w:w="140" w:type="dxa"/>
              <w:right w:w="140" w:type="dxa"/>
            </w:tcMar>
          </w:tcPr>
          <w:p>
            <w:pPr>
              <w:jc w:val="left"/>
            </w:pPr>
            <w:r>
              <w:rPr>
                <w:color w:val="1E293B"/>
                <w:sz w:val="17"/>
              </w:rPr>
              <w:t>Receiver Operating Characteristic (ROC-AUC)</w:t>
            </w:r>
          </w:p>
        </w:tc>
        <w:tc>
          <w:tcPr>
            <w:tcW w:type="dxa" w:w="3168"/>
            <w:tcMar>
              <w:top w:w="100" w:type="dxa"/>
              <w:bottom w:w="100" w:type="dxa"/>
              <w:left w:w="140" w:type="dxa"/>
              <w:right w:w="140" w:type="dxa"/>
            </w:tcMar>
          </w:tcPr>
          <w:p>
            <w:pPr>
              <w:jc w:val="left"/>
            </w:pPr>
            <w:r>
              <w:rPr>
                <w:color w:val="1E293B"/>
                <w:sz w:val="17"/>
              </w:rPr>
              <w:t>0.7842</w:t>
            </w:r>
          </w:p>
        </w:tc>
        <w:tc>
          <w:tcPr>
            <w:tcW w:type="dxa" w:w="3312"/>
            <w:tcMar>
              <w:top w:w="100" w:type="dxa"/>
              <w:bottom w:w="100" w:type="dxa"/>
              <w:left w:w="140" w:type="dxa"/>
              <w:right w:w="140" w:type="dxa"/>
            </w:tcMar>
          </w:tcPr>
          <w:p>
            <w:pPr>
              <w:jc w:val="left"/>
            </w:pPr>
            <w:r>
              <w:rPr>
                <w:color w:val="1E293B"/>
                <w:sz w:val="17"/>
              </w:rPr>
              <w:t>0.7818 (-0.0024 delta)</w:t>
            </w:r>
          </w:p>
        </w:tc>
      </w:tr>
      <w:tr>
        <w:tc>
          <w:tcPr>
            <w:tcW w:type="dxa" w:w="3600"/>
            <w:shd w:fill="F8FAFC"/>
            <w:tcMar>
              <w:top w:w="100" w:type="dxa"/>
              <w:bottom w:w="100" w:type="dxa"/>
              <w:left w:w="140" w:type="dxa"/>
              <w:right w:w="140" w:type="dxa"/>
            </w:tcMar>
          </w:tcPr>
          <w:p>
            <w:pPr>
              <w:jc w:val="left"/>
            </w:pPr>
            <w:r>
              <w:rPr>
                <w:color w:val="1E293B"/>
                <w:sz w:val="17"/>
              </w:rPr>
              <w:t>F1 Score (Balanced Credit Class)</w:t>
            </w:r>
          </w:p>
        </w:tc>
        <w:tc>
          <w:tcPr>
            <w:tcW w:type="dxa" w:w="3168"/>
            <w:shd w:fill="F8FAFC"/>
            <w:tcMar>
              <w:top w:w="100" w:type="dxa"/>
              <w:bottom w:w="100" w:type="dxa"/>
              <w:left w:w="140" w:type="dxa"/>
              <w:right w:w="140" w:type="dxa"/>
            </w:tcMar>
          </w:tcPr>
          <w:p>
            <w:pPr>
              <w:jc w:val="left"/>
            </w:pPr>
            <w:r>
              <w:rPr>
                <w:color w:val="1E293B"/>
                <w:sz w:val="17"/>
              </w:rPr>
              <w:t>0.7410</w:t>
            </w:r>
          </w:p>
        </w:tc>
        <w:tc>
          <w:tcPr>
            <w:tcW w:type="dxa" w:w="3312"/>
            <w:shd w:fill="F8FAFC"/>
            <w:tcMar>
              <w:top w:w="100" w:type="dxa"/>
              <w:bottom w:w="100" w:type="dxa"/>
              <w:left w:w="140" w:type="dxa"/>
              <w:right w:w="140" w:type="dxa"/>
            </w:tcMar>
          </w:tcPr>
          <w:p>
            <w:pPr>
              <w:jc w:val="left"/>
            </w:pPr>
            <w:r>
              <w:rPr>
                <w:color w:val="1E293B"/>
                <w:sz w:val="17"/>
              </w:rPr>
              <w:t>0.7392</w:t>
            </w:r>
          </w:p>
        </w:tc>
      </w:tr>
      <w:tr>
        <w:tc>
          <w:tcPr>
            <w:tcW w:type="dxa" w:w="3600"/>
            <w:tcMar>
              <w:top w:w="100" w:type="dxa"/>
              <w:bottom w:w="100" w:type="dxa"/>
              <w:left w:w="140" w:type="dxa"/>
              <w:right w:w="140" w:type="dxa"/>
            </w:tcMar>
          </w:tcPr>
          <w:p>
            <w:pPr>
              <w:jc w:val="left"/>
            </w:pPr>
            <w:r>
              <w:rPr>
                <w:color w:val="1E293B"/>
                <w:sz w:val="17"/>
              </w:rPr>
              <w:t>Decision Agreement Rate</w:t>
            </w:r>
          </w:p>
        </w:tc>
        <w:tc>
          <w:tcPr>
            <w:tcW w:type="dxa" w:w="3168"/>
            <w:tcMar>
              <w:top w:w="100" w:type="dxa"/>
              <w:bottom w:w="100" w:type="dxa"/>
              <w:left w:w="140" w:type="dxa"/>
              <w:right w:w="140" w:type="dxa"/>
            </w:tcMar>
          </w:tcPr>
          <w:p>
            <w:pPr>
              <w:jc w:val="left"/>
            </w:pPr>
            <w:r>
              <w:rPr>
                <w:color w:val="1E293B"/>
                <w:sz w:val="17"/>
              </w:rPr>
              <w:t>—</w:t>
            </w:r>
          </w:p>
        </w:tc>
        <w:tc>
          <w:tcPr>
            <w:tcW w:type="dxa" w:w="3312"/>
            <w:tcMar>
              <w:top w:w="100" w:type="dxa"/>
              <w:bottom w:w="100" w:type="dxa"/>
              <w:left w:w="140" w:type="dxa"/>
              <w:right w:w="140" w:type="dxa"/>
            </w:tcMar>
          </w:tcPr>
          <w:p>
            <w:pPr>
              <w:jc w:val="left"/>
            </w:pPr>
            <w:r>
              <w:rPr>
                <w:color w:val="1E293B"/>
                <w:sz w:val="17"/>
              </w:rPr>
              <w:t>98.7% (9,870 / 10,000 test cases)</w:t>
            </w:r>
          </w:p>
        </w:tc>
      </w:tr>
      <w:tr>
        <w:tc>
          <w:tcPr>
            <w:tcW w:type="dxa" w:w="3600"/>
            <w:shd w:fill="F8FAFC"/>
            <w:tcMar>
              <w:top w:w="100" w:type="dxa"/>
              <w:bottom w:w="100" w:type="dxa"/>
              <w:left w:w="140" w:type="dxa"/>
              <w:right w:w="140" w:type="dxa"/>
            </w:tcMar>
          </w:tcPr>
          <w:p>
            <w:pPr>
              <w:jc w:val="left"/>
            </w:pPr>
            <w:r>
              <w:rPr>
                <w:color w:val="1E293B"/>
                <w:sz w:val="17"/>
              </w:rPr>
              <w:t>Max Absolute Output Deviation</w:t>
            </w:r>
          </w:p>
        </w:tc>
        <w:tc>
          <w:tcPr>
            <w:tcW w:type="dxa" w:w="3168"/>
            <w:shd w:fill="F8FAFC"/>
            <w:tcMar>
              <w:top w:w="100" w:type="dxa"/>
              <w:bottom w:w="100" w:type="dxa"/>
              <w:left w:w="140" w:type="dxa"/>
              <w:right w:w="140" w:type="dxa"/>
            </w:tcMar>
          </w:tcPr>
          <w:p>
            <w:pPr>
              <w:jc w:val="left"/>
            </w:pPr>
            <w:r>
              <w:rPr>
                <w:color w:val="1E293B"/>
                <w:sz w:val="17"/>
              </w:rPr>
              <w:t>—</w:t>
            </w:r>
          </w:p>
        </w:tc>
        <w:tc>
          <w:tcPr>
            <w:tcW w:type="dxa" w:w="3312"/>
            <w:shd w:fill="F8FAFC"/>
            <w:tcMar>
              <w:top w:w="100" w:type="dxa"/>
              <w:bottom w:w="100" w:type="dxa"/>
              <w:left w:w="140" w:type="dxa"/>
              <w:right w:w="140" w:type="dxa"/>
            </w:tcMar>
          </w:tcPr>
          <w:p>
            <w:pPr>
              <w:jc w:val="left"/>
            </w:pPr>
            <w:r>
              <w:rPr>
                <w:color w:val="1E293B"/>
                <w:sz w:val="17"/>
              </w:rPr>
              <w:t>0.012 on sigmoid scale</w:t>
            </w:r>
          </w:p>
        </w:tc>
      </w:tr>
      <w:tr>
        <w:tc>
          <w:tcPr>
            <w:tcW w:type="dxa" w:w="3600"/>
            <w:tcMar>
              <w:top w:w="100" w:type="dxa"/>
              <w:bottom w:w="100" w:type="dxa"/>
              <w:left w:w="140" w:type="dxa"/>
              <w:right w:w="140" w:type="dxa"/>
            </w:tcMar>
          </w:tcPr>
          <w:p>
            <w:pPr>
              <w:jc w:val="left"/>
            </w:pPr>
            <w:r>
              <w:rPr>
                <w:color w:val="1E293B"/>
                <w:sz w:val="17"/>
              </w:rPr>
              <w:t>Model Parameter Count</w:t>
            </w:r>
          </w:p>
        </w:tc>
        <w:tc>
          <w:tcPr>
            <w:tcW w:type="dxa" w:w="3168"/>
            <w:tcMar>
              <w:top w:w="100" w:type="dxa"/>
              <w:bottom w:w="100" w:type="dxa"/>
              <w:left w:w="140" w:type="dxa"/>
              <w:right w:w="140" w:type="dxa"/>
            </w:tcMar>
          </w:tcPr>
          <w:p>
            <w:pPr>
              <w:jc w:val="left"/>
            </w:pPr>
            <w:r>
              <w:rPr>
                <w:color w:val="1E293B"/>
                <w:sz w:val="17"/>
              </w:rPr>
              <w:t>10 weights + 1 bias</w:t>
            </w:r>
          </w:p>
        </w:tc>
        <w:tc>
          <w:tcPr>
            <w:tcW w:type="dxa" w:w="3312"/>
            <w:tcMar>
              <w:top w:w="100" w:type="dxa"/>
              <w:bottom w:w="100" w:type="dxa"/>
              <w:left w:w="140" w:type="dxa"/>
              <w:right w:w="140" w:type="dxa"/>
            </w:tcMar>
          </w:tcPr>
          <w:p>
            <w:pPr>
              <w:jc w:val="left"/>
            </w:pPr>
            <w:r>
              <w:rPr>
                <w:color w:val="1E293B"/>
                <w:sz w:val="17"/>
              </w:rPr>
              <w:t>11 quantized integers in polynomial layout</w:t>
            </w:r>
          </w:p>
        </w:tc>
      </w:tr>
    </w:tbl>
    <w:p>
      <w:r>
        <w:t>Conclusion of Parity Analysis: The 0.0024 difference in AUC has zero material impact on underwriting efficacy, while enabling ultra-fast KZG polynomial proof generation in commodity sidecar enclaves.</w:t>
      </w:r>
    </w:p>
    <w:p>
      <w:pPr>
        <w:pStyle w:val="Heading1"/>
      </w:pPr>
      <w:r>
        <w:t>8. Empirical Performance Metrics &amp; System Benchmarks</w:t>
      </w:r>
    </w:p>
    <w:p>
      <w:r>
        <w:t>Performance benchmarks were rigorously gathered on standard developer / cloud hardware (4 vCPU, 8 GB RAM, standard x86_64 CPU). These metrics demonstrate that Sakshi is production-ready for instant digital loan disbursal pipelines:</w:t>
      </w:r>
    </w:p>
    <w:tbl>
      <w:tblPr>
        <w:tblW w:type="auto" w:w="0"/>
        <w:jc w:val="center"/>
        <w:tblLook w:firstColumn="1" w:firstRow="1" w:lastColumn="0" w:lastRow="0" w:noHBand="0" w:noVBand="1" w:val="04A0"/>
      </w:tblPr>
      <w:tblGrid>
        <w:gridCol w:w="2484"/>
        <w:gridCol w:w="2484"/>
        <w:gridCol w:w="2484"/>
        <w:gridCol w:w="2484"/>
      </w:tblGrid>
      <w:tr>
        <w:tc>
          <w:tcPr>
            <w:tcW w:type="dxa" w:w="3168"/>
            <w:shd w:fill="1E3A8A"/>
            <w:tcMar>
              <w:top w:w="120" w:type="dxa"/>
              <w:bottom w:w="120" w:type="dxa"/>
              <w:left w:w="140" w:type="dxa"/>
              <w:right w:w="140" w:type="dxa"/>
            </w:tcMar>
          </w:tcPr>
          <w:p>
            <w:pPr>
              <w:jc w:val="left"/>
            </w:pPr>
            <w:r>
              <w:rPr>
                <w:b/>
                <w:color w:val="FFFFFF"/>
                <w:sz w:val="18"/>
              </w:rPr>
              <w:t>Pipeline Stage</w:t>
            </w:r>
          </w:p>
        </w:tc>
        <w:tc>
          <w:tcPr>
            <w:tcW w:type="dxa" w:w="2016"/>
            <w:shd w:fill="1E3A8A"/>
            <w:tcMar>
              <w:top w:w="120" w:type="dxa"/>
              <w:bottom w:w="120" w:type="dxa"/>
              <w:left w:w="140" w:type="dxa"/>
              <w:right w:w="140" w:type="dxa"/>
            </w:tcMar>
          </w:tcPr>
          <w:p>
            <w:pPr>
              <w:jc w:val="left"/>
            </w:pPr>
            <w:r>
              <w:rPr>
                <w:b/>
                <w:color w:val="FFFFFF"/>
                <w:sz w:val="18"/>
              </w:rPr>
              <w:t>P50 Latency</w:t>
            </w:r>
          </w:p>
        </w:tc>
        <w:tc>
          <w:tcPr>
            <w:tcW w:type="dxa" w:w="2016"/>
            <w:shd w:fill="1E3A8A"/>
            <w:tcMar>
              <w:top w:w="120" w:type="dxa"/>
              <w:bottom w:w="120" w:type="dxa"/>
              <w:left w:w="140" w:type="dxa"/>
              <w:right w:w="140" w:type="dxa"/>
            </w:tcMar>
          </w:tcPr>
          <w:p>
            <w:pPr>
              <w:jc w:val="left"/>
            </w:pPr>
            <w:r>
              <w:rPr>
                <w:b/>
                <w:color w:val="FFFFFF"/>
                <w:sz w:val="18"/>
              </w:rPr>
              <w:t>P95 Latency</w:t>
            </w:r>
          </w:p>
        </w:tc>
        <w:tc>
          <w:tcPr>
            <w:tcW w:type="dxa" w:w="2880"/>
            <w:shd w:fill="1E3A8A"/>
            <w:tcMar>
              <w:top w:w="120" w:type="dxa"/>
              <w:bottom w:w="120" w:type="dxa"/>
              <w:left w:w="140" w:type="dxa"/>
              <w:right w:w="140" w:type="dxa"/>
            </w:tcMar>
          </w:tcPr>
          <w:p>
            <w:pPr>
              <w:jc w:val="left"/>
            </w:pPr>
            <w:r>
              <w:rPr>
                <w:b/>
                <w:color w:val="FFFFFF"/>
                <w:sz w:val="18"/>
              </w:rPr>
              <w:t>Resource Footprint</w:t>
            </w:r>
          </w:p>
        </w:tc>
      </w:tr>
      <w:tr>
        <w:tc>
          <w:tcPr>
            <w:tcW w:type="dxa" w:w="3168"/>
            <w:tcMar>
              <w:top w:w="100" w:type="dxa"/>
              <w:bottom w:w="100" w:type="dxa"/>
              <w:left w:w="140" w:type="dxa"/>
              <w:right w:w="140" w:type="dxa"/>
            </w:tcMar>
          </w:tcPr>
          <w:p>
            <w:pPr>
              <w:jc w:val="left"/>
            </w:pPr>
            <w:r>
              <w:rPr>
                <w:color w:val="1E293B"/>
                <w:sz w:val="17"/>
              </w:rPr>
              <w:t>Feature Ingestion &amp; Hash Canonicalization</w:t>
            </w:r>
          </w:p>
        </w:tc>
        <w:tc>
          <w:tcPr>
            <w:tcW w:type="dxa" w:w="2016"/>
            <w:tcMar>
              <w:top w:w="100" w:type="dxa"/>
              <w:bottom w:w="100" w:type="dxa"/>
              <w:left w:w="140" w:type="dxa"/>
              <w:right w:w="140" w:type="dxa"/>
            </w:tcMar>
          </w:tcPr>
          <w:p>
            <w:pPr>
              <w:jc w:val="left"/>
            </w:pPr>
            <w:r>
              <w:rPr>
                <w:color w:val="1E293B"/>
                <w:sz w:val="17"/>
              </w:rPr>
              <w:t>1.2 ms</w:t>
            </w:r>
          </w:p>
        </w:tc>
        <w:tc>
          <w:tcPr>
            <w:tcW w:type="dxa" w:w="2016"/>
            <w:tcMar>
              <w:top w:w="100" w:type="dxa"/>
              <w:bottom w:w="100" w:type="dxa"/>
              <w:left w:w="140" w:type="dxa"/>
              <w:right w:w="140" w:type="dxa"/>
            </w:tcMar>
          </w:tcPr>
          <w:p>
            <w:pPr>
              <w:jc w:val="left"/>
            </w:pPr>
            <w:r>
              <w:rPr>
                <w:color w:val="1E293B"/>
                <w:sz w:val="17"/>
              </w:rPr>
              <w:t>2.1 ms</w:t>
            </w:r>
          </w:p>
        </w:tc>
        <w:tc>
          <w:tcPr>
            <w:tcW w:type="dxa" w:w="2880"/>
            <w:tcMar>
              <w:top w:w="100" w:type="dxa"/>
              <w:bottom w:w="100" w:type="dxa"/>
              <w:left w:w="140" w:type="dxa"/>
              <w:right w:w="140" w:type="dxa"/>
            </w:tcMar>
          </w:tcPr>
          <w:p>
            <w:pPr>
              <w:jc w:val="left"/>
            </w:pPr>
            <w:r>
              <w:rPr>
                <w:color w:val="1E293B"/>
                <w:sz w:val="17"/>
              </w:rPr>
              <w:t>&lt; 5 MB RAM</w:t>
            </w:r>
          </w:p>
        </w:tc>
      </w:tr>
      <w:tr>
        <w:tc>
          <w:tcPr>
            <w:tcW w:type="dxa" w:w="3168"/>
            <w:shd w:fill="F8FAFC"/>
            <w:tcMar>
              <w:top w:w="100" w:type="dxa"/>
              <w:bottom w:w="100" w:type="dxa"/>
              <w:left w:w="140" w:type="dxa"/>
              <w:right w:w="140" w:type="dxa"/>
            </w:tcMar>
          </w:tcPr>
          <w:p>
            <w:pPr>
              <w:jc w:val="left"/>
            </w:pPr>
            <w:r>
              <w:rPr>
                <w:color w:val="1E293B"/>
                <w:sz w:val="17"/>
              </w:rPr>
              <w:t>Scorecard Inference Execution</w:t>
            </w:r>
          </w:p>
        </w:tc>
        <w:tc>
          <w:tcPr>
            <w:tcW w:type="dxa" w:w="2016"/>
            <w:shd w:fill="F8FAFC"/>
            <w:tcMar>
              <w:top w:w="100" w:type="dxa"/>
              <w:bottom w:w="100" w:type="dxa"/>
              <w:left w:w="140" w:type="dxa"/>
              <w:right w:w="140" w:type="dxa"/>
            </w:tcMar>
          </w:tcPr>
          <w:p>
            <w:pPr>
              <w:jc w:val="left"/>
            </w:pPr>
            <w:r>
              <w:rPr>
                <w:color w:val="1E293B"/>
                <w:sz w:val="17"/>
              </w:rPr>
              <w:t>0.4 ms</w:t>
            </w:r>
          </w:p>
        </w:tc>
        <w:tc>
          <w:tcPr>
            <w:tcW w:type="dxa" w:w="2016"/>
            <w:shd w:fill="F8FAFC"/>
            <w:tcMar>
              <w:top w:w="100" w:type="dxa"/>
              <w:bottom w:w="100" w:type="dxa"/>
              <w:left w:w="140" w:type="dxa"/>
              <w:right w:w="140" w:type="dxa"/>
            </w:tcMar>
          </w:tcPr>
          <w:p>
            <w:pPr>
              <w:jc w:val="left"/>
            </w:pPr>
            <w:r>
              <w:rPr>
                <w:color w:val="1E293B"/>
                <w:sz w:val="17"/>
              </w:rPr>
              <w:t>0.8 ms</w:t>
            </w:r>
          </w:p>
        </w:tc>
        <w:tc>
          <w:tcPr>
            <w:tcW w:type="dxa" w:w="2880"/>
            <w:shd w:fill="F8FAFC"/>
            <w:tcMar>
              <w:top w:w="100" w:type="dxa"/>
              <w:bottom w:w="100" w:type="dxa"/>
              <w:left w:w="140" w:type="dxa"/>
              <w:right w:w="140" w:type="dxa"/>
            </w:tcMar>
          </w:tcPr>
          <w:p>
            <w:pPr>
              <w:jc w:val="left"/>
            </w:pPr>
            <w:r>
              <w:rPr>
                <w:color w:val="1E293B"/>
                <w:sz w:val="17"/>
              </w:rPr>
              <w:t>&lt; 2 MB RAM</w:t>
            </w:r>
          </w:p>
        </w:tc>
      </w:tr>
      <w:tr>
        <w:tc>
          <w:tcPr>
            <w:tcW w:type="dxa" w:w="3168"/>
            <w:tcMar>
              <w:top w:w="100" w:type="dxa"/>
              <w:bottom w:w="100" w:type="dxa"/>
              <w:left w:w="140" w:type="dxa"/>
              <w:right w:w="140" w:type="dxa"/>
            </w:tcMar>
          </w:tcPr>
          <w:p>
            <w:pPr>
              <w:jc w:val="left"/>
            </w:pPr>
            <w:r>
              <w:rPr>
                <w:color w:val="1E293B"/>
                <w:sz w:val="17"/>
              </w:rPr>
              <w:t>EZKL Halo2 Witness Generation</w:t>
            </w:r>
          </w:p>
        </w:tc>
        <w:tc>
          <w:tcPr>
            <w:tcW w:type="dxa" w:w="2016"/>
            <w:tcMar>
              <w:top w:w="100" w:type="dxa"/>
              <w:bottom w:w="100" w:type="dxa"/>
              <w:left w:w="140" w:type="dxa"/>
              <w:right w:w="140" w:type="dxa"/>
            </w:tcMar>
          </w:tcPr>
          <w:p>
            <w:pPr>
              <w:jc w:val="left"/>
            </w:pPr>
            <w:r>
              <w:rPr>
                <w:color w:val="1E293B"/>
                <w:sz w:val="17"/>
              </w:rPr>
              <w:t>45 ms</w:t>
            </w:r>
          </w:p>
        </w:tc>
        <w:tc>
          <w:tcPr>
            <w:tcW w:type="dxa" w:w="2016"/>
            <w:tcMar>
              <w:top w:w="100" w:type="dxa"/>
              <w:bottom w:w="100" w:type="dxa"/>
              <w:left w:w="140" w:type="dxa"/>
              <w:right w:w="140" w:type="dxa"/>
            </w:tcMar>
          </w:tcPr>
          <w:p>
            <w:pPr>
              <w:jc w:val="left"/>
            </w:pPr>
            <w:r>
              <w:rPr>
                <w:color w:val="1E293B"/>
                <w:sz w:val="17"/>
              </w:rPr>
              <w:t>72 ms</w:t>
            </w:r>
          </w:p>
        </w:tc>
        <w:tc>
          <w:tcPr>
            <w:tcW w:type="dxa" w:w="2880"/>
            <w:tcMar>
              <w:top w:w="100" w:type="dxa"/>
              <w:bottom w:w="100" w:type="dxa"/>
              <w:left w:w="140" w:type="dxa"/>
              <w:right w:w="140" w:type="dxa"/>
            </w:tcMar>
          </w:tcPr>
          <w:p>
            <w:pPr>
              <w:jc w:val="left"/>
            </w:pPr>
            <w:r>
              <w:rPr>
                <w:color w:val="1E293B"/>
                <w:sz w:val="17"/>
              </w:rPr>
              <w:t>12 MB RAM</w:t>
            </w:r>
          </w:p>
        </w:tc>
      </w:tr>
      <w:tr>
        <w:tc>
          <w:tcPr>
            <w:tcW w:type="dxa" w:w="3168"/>
            <w:shd w:fill="F8FAFC"/>
            <w:tcMar>
              <w:top w:w="100" w:type="dxa"/>
              <w:bottom w:w="100" w:type="dxa"/>
              <w:left w:w="140" w:type="dxa"/>
              <w:right w:w="140" w:type="dxa"/>
            </w:tcMar>
          </w:tcPr>
          <w:p>
            <w:pPr>
              <w:jc w:val="left"/>
            </w:pPr>
            <w:r>
              <w:rPr>
                <w:color w:val="1E293B"/>
                <w:sz w:val="17"/>
              </w:rPr>
              <w:t>EZKL Halo2 KZG SNARK Proving (Sidecar)</w:t>
            </w:r>
          </w:p>
        </w:tc>
        <w:tc>
          <w:tcPr>
            <w:tcW w:type="dxa" w:w="2016"/>
            <w:shd w:fill="F8FAFC"/>
            <w:tcMar>
              <w:top w:w="100" w:type="dxa"/>
              <w:bottom w:w="100" w:type="dxa"/>
              <w:left w:w="140" w:type="dxa"/>
              <w:right w:w="140" w:type="dxa"/>
            </w:tcMar>
          </w:tcPr>
          <w:p>
            <w:pPr>
              <w:jc w:val="left"/>
            </w:pPr>
            <w:r>
              <w:rPr>
                <w:color w:val="1E293B"/>
                <w:sz w:val="17"/>
              </w:rPr>
              <w:t>2,280 ms (2.28s)</w:t>
            </w:r>
          </w:p>
        </w:tc>
        <w:tc>
          <w:tcPr>
            <w:tcW w:type="dxa" w:w="2016"/>
            <w:shd w:fill="F8FAFC"/>
            <w:tcMar>
              <w:top w:w="100" w:type="dxa"/>
              <w:bottom w:w="100" w:type="dxa"/>
              <w:left w:w="140" w:type="dxa"/>
              <w:right w:w="140" w:type="dxa"/>
            </w:tcMar>
          </w:tcPr>
          <w:p>
            <w:pPr>
              <w:jc w:val="left"/>
            </w:pPr>
            <w:r>
              <w:rPr>
                <w:color w:val="1E293B"/>
                <w:sz w:val="17"/>
              </w:rPr>
              <w:t>3,120 ms (3.12s)</w:t>
            </w:r>
          </w:p>
        </w:tc>
        <w:tc>
          <w:tcPr>
            <w:tcW w:type="dxa" w:w="2880"/>
            <w:shd w:fill="F8FAFC"/>
            <w:tcMar>
              <w:top w:w="100" w:type="dxa"/>
              <w:bottom w:w="100" w:type="dxa"/>
              <w:left w:w="140" w:type="dxa"/>
              <w:right w:w="140" w:type="dxa"/>
            </w:tcMar>
          </w:tcPr>
          <w:p>
            <w:pPr>
              <w:jc w:val="left"/>
            </w:pPr>
            <w:r>
              <w:rPr>
                <w:color w:val="1E293B"/>
                <w:sz w:val="17"/>
              </w:rPr>
              <w:t>140 MB RAM (Single-thread CPU)</w:t>
            </w:r>
          </w:p>
        </w:tc>
      </w:tr>
      <w:tr>
        <w:tc>
          <w:tcPr>
            <w:tcW w:type="dxa" w:w="3168"/>
            <w:tcMar>
              <w:top w:w="100" w:type="dxa"/>
              <w:bottom w:w="100" w:type="dxa"/>
              <w:left w:w="140" w:type="dxa"/>
              <w:right w:w="140" w:type="dxa"/>
            </w:tcMar>
          </w:tcPr>
          <w:p>
            <w:pPr>
              <w:jc w:val="left"/>
            </w:pPr>
            <w:r>
              <w:rPr>
                <w:color w:val="1E293B"/>
                <w:sz w:val="17"/>
              </w:rPr>
              <w:t>Lender Verifier Pipeline (All 9 Steps)</w:t>
            </w:r>
          </w:p>
        </w:tc>
        <w:tc>
          <w:tcPr>
            <w:tcW w:type="dxa" w:w="2016"/>
            <w:tcMar>
              <w:top w:w="100" w:type="dxa"/>
              <w:bottom w:w="100" w:type="dxa"/>
              <w:left w:w="140" w:type="dxa"/>
              <w:right w:w="140" w:type="dxa"/>
            </w:tcMar>
          </w:tcPr>
          <w:p>
            <w:pPr>
              <w:jc w:val="left"/>
            </w:pPr>
            <w:r>
              <w:rPr>
                <w:color w:val="1E293B"/>
                <w:sz w:val="17"/>
              </w:rPr>
              <w:t>8.4 ms</w:t>
            </w:r>
          </w:p>
        </w:tc>
        <w:tc>
          <w:tcPr>
            <w:tcW w:type="dxa" w:w="2016"/>
            <w:tcMar>
              <w:top w:w="100" w:type="dxa"/>
              <w:bottom w:w="100" w:type="dxa"/>
              <w:left w:w="140" w:type="dxa"/>
              <w:right w:w="140" w:type="dxa"/>
            </w:tcMar>
          </w:tcPr>
          <w:p>
            <w:pPr>
              <w:jc w:val="left"/>
            </w:pPr>
            <w:r>
              <w:rPr>
                <w:color w:val="1E293B"/>
                <w:sz w:val="17"/>
              </w:rPr>
              <w:t>14.2 ms</w:t>
            </w:r>
          </w:p>
        </w:tc>
        <w:tc>
          <w:tcPr>
            <w:tcW w:type="dxa" w:w="2880"/>
            <w:tcMar>
              <w:top w:w="100" w:type="dxa"/>
              <w:bottom w:w="100" w:type="dxa"/>
              <w:left w:w="140" w:type="dxa"/>
              <w:right w:w="140" w:type="dxa"/>
            </w:tcMar>
          </w:tcPr>
          <w:p>
            <w:pPr>
              <w:jc w:val="left"/>
            </w:pPr>
            <w:r>
              <w:rPr>
                <w:color w:val="1E293B"/>
                <w:sz w:val="17"/>
              </w:rPr>
              <w:t>18 MB RAM</w:t>
            </w:r>
          </w:p>
        </w:tc>
      </w:tr>
      <w:tr>
        <w:tc>
          <w:tcPr>
            <w:tcW w:type="dxa" w:w="3168"/>
            <w:shd w:fill="F8FAFC"/>
            <w:tcMar>
              <w:top w:w="100" w:type="dxa"/>
              <w:bottom w:w="100" w:type="dxa"/>
              <w:left w:w="140" w:type="dxa"/>
              <w:right w:w="140" w:type="dxa"/>
            </w:tcMar>
          </w:tcPr>
          <w:p>
            <w:pPr>
              <w:jc w:val="left"/>
            </w:pPr>
            <w:r>
              <w:rPr>
                <w:color w:val="1E293B"/>
                <w:sz w:val="17"/>
              </w:rPr>
              <w:t>Audit Ledger Append &amp; Hash Chain Update</w:t>
            </w:r>
          </w:p>
        </w:tc>
        <w:tc>
          <w:tcPr>
            <w:tcW w:type="dxa" w:w="2016"/>
            <w:shd w:fill="F8FAFC"/>
            <w:tcMar>
              <w:top w:w="100" w:type="dxa"/>
              <w:bottom w:w="100" w:type="dxa"/>
              <w:left w:w="140" w:type="dxa"/>
              <w:right w:w="140" w:type="dxa"/>
            </w:tcMar>
          </w:tcPr>
          <w:p>
            <w:pPr>
              <w:jc w:val="left"/>
            </w:pPr>
            <w:r>
              <w:rPr>
                <w:color w:val="1E293B"/>
                <w:sz w:val="17"/>
              </w:rPr>
              <w:t>0.8 ms</w:t>
            </w:r>
          </w:p>
        </w:tc>
        <w:tc>
          <w:tcPr>
            <w:tcW w:type="dxa" w:w="2016"/>
            <w:shd w:fill="F8FAFC"/>
            <w:tcMar>
              <w:top w:w="100" w:type="dxa"/>
              <w:bottom w:w="100" w:type="dxa"/>
              <w:left w:w="140" w:type="dxa"/>
              <w:right w:w="140" w:type="dxa"/>
            </w:tcMar>
          </w:tcPr>
          <w:p>
            <w:pPr>
              <w:jc w:val="left"/>
            </w:pPr>
            <w:r>
              <w:rPr>
                <w:color w:val="1E293B"/>
                <w:sz w:val="17"/>
              </w:rPr>
              <w:t>1.4 ms</w:t>
            </w:r>
          </w:p>
        </w:tc>
        <w:tc>
          <w:tcPr>
            <w:tcW w:type="dxa" w:w="2880"/>
            <w:shd w:fill="F8FAFC"/>
            <w:tcMar>
              <w:top w:w="100" w:type="dxa"/>
              <w:bottom w:w="100" w:type="dxa"/>
              <w:left w:w="140" w:type="dxa"/>
              <w:right w:w="140" w:type="dxa"/>
            </w:tcMar>
          </w:tcPr>
          <w:p>
            <w:pPr>
              <w:jc w:val="left"/>
            </w:pPr>
            <w:r>
              <w:rPr>
                <w:color w:val="1E293B"/>
                <w:sz w:val="17"/>
              </w:rPr>
              <w:t>SQLite Disk I/O</w:t>
            </w:r>
          </w:p>
        </w:tc>
      </w:tr>
      <w:tr>
        <w:tc>
          <w:tcPr>
            <w:tcW w:type="dxa" w:w="3168"/>
            <w:tcMar>
              <w:top w:w="100" w:type="dxa"/>
              <w:bottom w:w="100" w:type="dxa"/>
              <w:left w:w="140" w:type="dxa"/>
              <w:right w:w="140" w:type="dxa"/>
            </w:tcMar>
          </w:tcPr>
          <w:p>
            <w:pPr>
              <w:jc w:val="left"/>
            </w:pPr>
            <w:r>
              <w:rPr>
                <w:color w:val="1E293B"/>
                <w:sz w:val="17"/>
              </w:rPr>
              <w:t>End-to-End Decision-to-Gate Authorization</w:t>
            </w:r>
          </w:p>
        </w:tc>
        <w:tc>
          <w:tcPr>
            <w:tcW w:type="dxa" w:w="2016"/>
            <w:tcMar>
              <w:top w:w="100" w:type="dxa"/>
              <w:bottom w:w="100" w:type="dxa"/>
              <w:left w:w="140" w:type="dxa"/>
              <w:right w:w="140" w:type="dxa"/>
            </w:tcMar>
          </w:tcPr>
          <w:p>
            <w:pPr>
              <w:jc w:val="left"/>
            </w:pPr>
            <w:r>
              <w:rPr>
                <w:color w:val="1E293B"/>
                <w:sz w:val="17"/>
              </w:rPr>
              <w:t>2,335 ms (2.33s)</w:t>
            </w:r>
          </w:p>
        </w:tc>
        <w:tc>
          <w:tcPr>
            <w:tcW w:type="dxa" w:w="2016"/>
            <w:tcMar>
              <w:top w:w="100" w:type="dxa"/>
              <w:bottom w:w="100" w:type="dxa"/>
              <w:left w:w="140" w:type="dxa"/>
              <w:right w:w="140" w:type="dxa"/>
            </w:tcMar>
          </w:tcPr>
          <w:p>
            <w:pPr>
              <w:jc w:val="left"/>
            </w:pPr>
            <w:r>
              <w:rPr>
                <w:color w:val="1E293B"/>
                <w:sz w:val="17"/>
              </w:rPr>
              <w:t>3,210 ms (3.21s)</w:t>
            </w:r>
          </w:p>
        </w:tc>
        <w:tc>
          <w:tcPr>
            <w:tcW w:type="dxa" w:w="2880"/>
            <w:tcMar>
              <w:top w:w="100" w:type="dxa"/>
              <w:bottom w:w="100" w:type="dxa"/>
              <w:left w:w="140" w:type="dxa"/>
              <w:right w:w="140" w:type="dxa"/>
            </w:tcMar>
          </w:tcPr>
          <w:p>
            <w:pPr>
              <w:jc w:val="left"/>
            </w:pPr>
            <w:r>
              <w:rPr>
                <w:color w:val="1E293B"/>
                <w:sz w:val="17"/>
              </w:rPr>
              <w:t>Well within 10-minute RBI SLA</w:t>
            </w:r>
          </w:p>
        </w:tc>
      </w:tr>
    </w:tbl>
    <w:p>
      <w:pPr>
        <w:pStyle w:val="Heading2"/>
      </w:pPr>
      <w:r>
        <w:t>Cryptographic Artifact Specifications</w:t>
      </w:r>
    </w:p>
    <w:p>
      <w:r>
        <w:t>• Halo2 KZG SNARK Proof Size: 24,576 bytes (~24 KB compressed base64).</w:t>
        <w:br/>
        <w:t>• Public Inputs Vector Size: 488 bytes (JSON canonical representation).</w:t>
        <w:br/>
        <w:t>• Verification Key (VK) Size: 1.8 KB (pre-shared offline during model approval).</w:t>
        <w:br/>
        <w:t>• Proving Key (PK) Size: 4.2 MB (stays strictly in LSP private sidecar volume).</w:t>
        <w:br/>
        <w:t>• Network Bandwidth per Loan: ~26 KB total HTTP payload.</w:t>
      </w:r>
    </w:p>
    <w:p>
      <w:pPr>
        <w:pStyle w:val="Heading1"/>
      </w:pPr>
      <w:r>
        <w:t>9. Scalability Architecture: Scaling Users &amp; Multi-Tenant LSPs</w:t>
      </w:r>
    </w:p>
    <w:p>
      <w:r>
        <w:t>A critical question for enterprise adoption is how Sakshi scales across two distinct axes: User Volume (Throughput) and Ecosystem Multi-Tenancy (Multiple FinTech Partners).</w:t>
      </w:r>
    </w:p>
    <w:p>
      <w:pPr>
        <w:pStyle w:val="Heading2"/>
      </w:pPr>
      <w:r>
        <w:t>Axis 1: Scaling User Throughput (10,000 to 1,000,000+ Loans / Day)</w:t>
      </w:r>
    </w:p>
    <w:p>
      <w:r>
        <w:t>1. Asynchronous Transactional Outbox: Proving occurs asynchronously. When a borrower applies, inference is instant (&lt;1ms). The sidecar queues the proving job and immediately sends a DecisionNotice to the lender. The lender holds disbursal under status 'NOTICE_RECEIVED'. Even during massive 10x traffic spikes, customer applications are never dropped; proofs process in the background queue well within the agreed 10-minute SLA.</w:t>
        <w:br/>
        <w:t>2. Stateless Horizontal Verifiers: The Lender Verifier Node is completely stateless. It performs elliptic curve pairings and hash checks in memory. Lenders can scale verifiers behind a standard Network Load Balancer (NLB) to handle 50,000+ verifications/second.</w:t>
        <w:br/>
        <w:t>3. Recursive SNARK Proof Aggregation (Halo2 Folding / Starky Batching): For ultra-high-volume LSPs processing millions of micro-loans, individual loan proofs can be folded recursively into a single batch proof representing 1,000 decisions. The lender verifies 1 proof to authorize 1,000 disbursements, reducing verifier compute by 99.9%.</w:t>
      </w:r>
    </w:p>
    <w:p>
      <w:pPr>
        <w:pStyle w:val="Heading2"/>
      </w:pPr>
      <w:r>
        <w:t>Axis 2: Scaling Multi-Tenant LSPs (1 to 500+ FinTech Partners)</w:t>
      </w:r>
    </w:p>
    <w:p>
      <w:r>
        <w:t>1. Containerized Sidecar Appliances: Each FinTech runs its own instance of `sakshi-lsp` inside its own VPC. Meridian Digital does not need to host or manage prover hardware; compute costs are distributed naturally to the LSPs generating loan volume.</w:t>
        <w:br/>
        <w:t>2. Partitioned Policy Contracts &amp; Dynamic Key Stores: The Lender Node maintains isolated policy registries indexed by `(lender_id, lsp_id)`. Each partner operates with its own distinct Ed25519 signing keys, model commitments, and SLA thresholds. Adding a new FinTech partner requires zero code changes—only a dual-signed policy upload via `POST /v1/policies`.</w:t>
      </w:r>
    </w:p>
    <w:p>
      <w:pPr>
        <w:pStyle w:val="Heading1"/>
      </w:pPr>
      <w:r>
        <w:t>10. Comprehensive Cloud Cost Analysis (AWS, Azure, GCP)</w:t>
      </w:r>
    </w:p>
    <w:p>
      <w:r>
        <w:t>To establish commercial viability, we calculated the monthly infrastructure costs to operate Sakshi at an enterprise scale of 100,000 loan verifications per month across the three leading cloud hyperscalers: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E3A8A"/>
            <w:tcMar>
              <w:top w:w="120" w:type="dxa"/>
              <w:bottom w:w="120" w:type="dxa"/>
              <w:left w:w="140" w:type="dxa"/>
              <w:right w:w="140" w:type="dxa"/>
            </w:tcMar>
          </w:tcPr>
          <w:p>
            <w:pPr>
              <w:jc w:val="left"/>
            </w:pPr>
            <w:r>
              <w:rPr>
                <w:b/>
                <w:color w:val="FFFFFF"/>
                <w:sz w:val="18"/>
              </w:rPr>
              <w:t>Resource Component</w:t>
            </w:r>
          </w:p>
        </w:tc>
        <w:tc>
          <w:tcPr>
            <w:tcW w:type="dxa" w:w="2592"/>
            <w:shd w:fill="1E3A8A"/>
            <w:tcMar>
              <w:top w:w="120" w:type="dxa"/>
              <w:bottom w:w="120" w:type="dxa"/>
              <w:left w:w="140" w:type="dxa"/>
              <w:right w:w="140" w:type="dxa"/>
            </w:tcMar>
          </w:tcPr>
          <w:p>
            <w:pPr>
              <w:jc w:val="left"/>
            </w:pPr>
            <w:r>
              <w:rPr>
                <w:b/>
                <w:color w:val="FFFFFF"/>
                <w:sz w:val="18"/>
              </w:rPr>
              <w:t>Specification</w:t>
            </w:r>
          </w:p>
        </w:tc>
        <w:tc>
          <w:tcPr>
            <w:tcW w:type="dxa" w:w="1872"/>
            <w:shd w:fill="1E3A8A"/>
            <w:tcMar>
              <w:top w:w="120" w:type="dxa"/>
              <w:bottom w:w="120" w:type="dxa"/>
              <w:left w:w="140" w:type="dxa"/>
              <w:right w:w="140" w:type="dxa"/>
            </w:tcMar>
          </w:tcPr>
          <w:p>
            <w:pPr>
              <w:jc w:val="left"/>
            </w:pPr>
            <w:r>
              <w:rPr>
                <w:b/>
                <w:color w:val="FFFFFF"/>
                <w:sz w:val="18"/>
              </w:rPr>
              <w:t>AWS (Mumbai)</w:t>
            </w:r>
          </w:p>
        </w:tc>
        <w:tc>
          <w:tcPr>
            <w:tcW w:type="dxa" w:w="1872"/>
            <w:shd w:fill="1E3A8A"/>
            <w:tcMar>
              <w:top w:w="120" w:type="dxa"/>
              <w:bottom w:w="120" w:type="dxa"/>
              <w:left w:w="140" w:type="dxa"/>
              <w:right w:w="140" w:type="dxa"/>
            </w:tcMar>
          </w:tcPr>
          <w:p>
            <w:pPr>
              <w:jc w:val="left"/>
            </w:pPr>
            <w:r>
              <w:rPr>
                <w:b/>
                <w:color w:val="FFFFFF"/>
                <w:sz w:val="18"/>
              </w:rPr>
              <w:t>Azure (Central India)</w:t>
            </w:r>
          </w:p>
        </w:tc>
        <w:tc>
          <w:tcPr>
            <w:tcW w:type="dxa" w:w="1872"/>
            <w:shd w:fill="1E3A8A"/>
            <w:tcMar>
              <w:top w:w="120" w:type="dxa"/>
              <w:bottom w:w="120" w:type="dxa"/>
              <w:left w:w="140" w:type="dxa"/>
              <w:right w:w="140" w:type="dxa"/>
            </w:tcMar>
          </w:tcPr>
          <w:p>
            <w:pPr>
              <w:jc w:val="left"/>
            </w:pPr>
            <w:r>
              <w:rPr>
                <w:b/>
                <w:color w:val="FFFFFF"/>
                <w:sz w:val="18"/>
              </w:rPr>
              <w:t>GCP (Delhi)</w:t>
            </w:r>
          </w:p>
        </w:tc>
      </w:tr>
      <w:tr>
        <w:tc>
          <w:tcPr>
            <w:tcW w:type="dxa" w:w="2160"/>
            <w:tcMar>
              <w:top w:w="100" w:type="dxa"/>
              <w:bottom w:w="100" w:type="dxa"/>
              <w:left w:w="140" w:type="dxa"/>
              <w:right w:w="140" w:type="dxa"/>
            </w:tcMar>
          </w:tcPr>
          <w:p>
            <w:pPr>
              <w:jc w:val="left"/>
            </w:pPr>
            <w:r>
              <w:rPr>
                <w:color w:val="1E293B"/>
                <w:sz w:val="17"/>
              </w:rPr>
              <w:t>Lender Verifier Node</w:t>
            </w:r>
          </w:p>
        </w:tc>
        <w:tc>
          <w:tcPr>
            <w:tcW w:type="dxa" w:w="2592"/>
            <w:tcMar>
              <w:top w:w="100" w:type="dxa"/>
              <w:bottom w:w="100" w:type="dxa"/>
              <w:left w:w="140" w:type="dxa"/>
              <w:right w:w="140" w:type="dxa"/>
            </w:tcMar>
          </w:tcPr>
          <w:p>
            <w:pPr>
              <w:jc w:val="left"/>
            </w:pPr>
            <w:r>
              <w:rPr>
                <w:color w:val="1E293B"/>
                <w:sz w:val="17"/>
              </w:rPr>
              <w:t>2x General Purpose (4 vCPU, 8GB)</w:t>
            </w:r>
          </w:p>
        </w:tc>
        <w:tc>
          <w:tcPr>
            <w:tcW w:type="dxa" w:w="1872"/>
            <w:tcMar>
              <w:top w:w="100" w:type="dxa"/>
              <w:bottom w:w="100" w:type="dxa"/>
              <w:left w:w="140" w:type="dxa"/>
              <w:right w:w="140" w:type="dxa"/>
            </w:tcMar>
          </w:tcPr>
          <w:p>
            <w:pPr>
              <w:jc w:val="left"/>
            </w:pPr>
            <w:r>
              <w:rPr>
                <w:color w:val="1E293B"/>
                <w:sz w:val="17"/>
              </w:rPr>
              <w:t>$96.40 (t4g.xlarge)</w:t>
            </w:r>
          </w:p>
        </w:tc>
        <w:tc>
          <w:tcPr>
            <w:tcW w:type="dxa" w:w="1872"/>
            <w:tcMar>
              <w:top w:w="100" w:type="dxa"/>
              <w:bottom w:w="100" w:type="dxa"/>
              <w:left w:w="140" w:type="dxa"/>
              <w:right w:w="140" w:type="dxa"/>
            </w:tcMar>
          </w:tcPr>
          <w:p>
            <w:pPr>
              <w:jc w:val="left"/>
            </w:pPr>
            <w:r>
              <w:rPr>
                <w:color w:val="1E293B"/>
                <w:sz w:val="17"/>
              </w:rPr>
              <w:t>$98.50 (D4ps v5)</w:t>
            </w:r>
          </w:p>
        </w:tc>
        <w:tc>
          <w:tcPr>
            <w:tcW w:type="dxa" w:w="1872"/>
            <w:tcMar>
              <w:top w:w="100" w:type="dxa"/>
              <w:bottom w:w="100" w:type="dxa"/>
              <w:left w:w="140" w:type="dxa"/>
              <w:right w:w="140" w:type="dxa"/>
            </w:tcMar>
          </w:tcPr>
          <w:p>
            <w:pPr>
              <w:jc w:val="left"/>
            </w:pPr>
            <w:r>
              <w:rPr>
                <w:color w:val="1E293B"/>
                <w:sz w:val="17"/>
              </w:rPr>
              <w:t>$94.20 (t2a-standard-4)</w:t>
            </w:r>
          </w:p>
        </w:tc>
      </w:tr>
      <w:tr>
        <w:tc>
          <w:tcPr>
            <w:tcW w:type="dxa" w:w="2160"/>
            <w:shd w:fill="F8FAFC"/>
            <w:tcMar>
              <w:top w:w="100" w:type="dxa"/>
              <w:bottom w:w="100" w:type="dxa"/>
              <w:left w:w="140" w:type="dxa"/>
              <w:right w:w="140" w:type="dxa"/>
            </w:tcMar>
          </w:tcPr>
          <w:p>
            <w:pPr>
              <w:jc w:val="left"/>
            </w:pPr>
            <w:r>
              <w:rPr>
                <w:color w:val="1E293B"/>
                <w:sz w:val="17"/>
              </w:rPr>
              <w:t>LSP Prover Sidecar Cluster</w:t>
            </w:r>
          </w:p>
        </w:tc>
        <w:tc>
          <w:tcPr>
            <w:tcW w:type="dxa" w:w="2592"/>
            <w:shd w:fill="F8FAFC"/>
            <w:tcMar>
              <w:top w:w="100" w:type="dxa"/>
              <w:bottom w:w="100" w:type="dxa"/>
              <w:left w:w="140" w:type="dxa"/>
              <w:right w:w="140" w:type="dxa"/>
            </w:tcMar>
          </w:tcPr>
          <w:p>
            <w:pPr>
              <w:jc w:val="left"/>
            </w:pPr>
            <w:r>
              <w:rPr>
                <w:color w:val="1E293B"/>
                <w:sz w:val="17"/>
              </w:rPr>
              <w:t>3x Compute Optimized (8 vCPU, 16GB)</w:t>
            </w:r>
          </w:p>
        </w:tc>
        <w:tc>
          <w:tcPr>
            <w:tcW w:type="dxa" w:w="1872"/>
            <w:shd w:fill="F8FAFC"/>
            <w:tcMar>
              <w:top w:w="100" w:type="dxa"/>
              <w:bottom w:w="100" w:type="dxa"/>
              <w:left w:w="140" w:type="dxa"/>
              <w:right w:w="140" w:type="dxa"/>
            </w:tcMar>
          </w:tcPr>
          <w:p>
            <w:pPr>
              <w:jc w:val="left"/>
            </w:pPr>
            <w:r>
              <w:rPr>
                <w:color w:val="1E293B"/>
                <w:sz w:val="17"/>
              </w:rPr>
              <w:t>$248.10 (c6g.2xlarge)</w:t>
            </w:r>
          </w:p>
        </w:tc>
        <w:tc>
          <w:tcPr>
            <w:tcW w:type="dxa" w:w="1872"/>
            <w:shd w:fill="F8FAFC"/>
            <w:tcMar>
              <w:top w:w="100" w:type="dxa"/>
              <w:bottom w:w="100" w:type="dxa"/>
              <w:left w:w="140" w:type="dxa"/>
              <w:right w:w="140" w:type="dxa"/>
            </w:tcMar>
          </w:tcPr>
          <w:p>
            <w:pPr>
              <w:jc w:val="left"/>
            </w:pPr>
            <w:r>
              <w:rPr>
                <w:color w:val="1E293B"/>
                <w:sz w:val="17"/>
              </w:rPr>
              <w:t>$254.20 (F8s v2)</w:t>
            </w:r>
          </w:p>
        </w:tc>
        <w:tc>
          <w:tcPr>
            <w:tcW w:type="dxa" w:w="1872"/>
            <w:shd w:fill="F8FAFC"/>
            <w:tcMar>
              <w:top w:w="100" w:type="dxa"/>
              <w:bottom w:w="100" w:type="dxa"/>
              <w:left w:w="140" w:type="dxa"/>
              <w:right w:w="140" w:type="dxa"/>
            </w:tcMar>
          </w:tcPr>
          <w:p>
            <w:pPr>
              <w:jc w:val="left"/>
            </w:pPr>
            <w:r>
              <w:rPr>
                <w:color w:val="1E293B"/>
                <w:sz w:val="17"/>
              </w:rPr>
              <w:t>$242.80 (c2-standard-8)</w:t>
            </w:r>
          </w:p>
        </w:tc>
      </w:tr>
      <w:tr>
        <w:tc>
          <w:tcPr>
            <w:tcW w:type="dxa" w:w="2160"/>
            <w:tcMar>
              <w:top w:w="100" w:type="dxa"/>
              <w:bottom w:w="100" w:type="dxa"/>
              <w:left w:w="140" w:type="dxa"/>
              <w:right w:w="140" w:type="dxa"/>
            </w:tcMar>
          </w:tcPr>
          <w:p>
            <w:pPr>
              <w:jc w:val="left"/>
            </w:pPr>
            <w:r>
              <w:rPr>
                <w:color w:val="1E293B"/>
                <w:sz w:val="17"/>
              </w:rPr>
              <w:t>Managed Database (Ledger)</w:t>
            </w:r>
          </w:p>
        </w:tc>
        <w:tc>
          <w:tcPr>
            <w:tcW w:type="dxa" w:w="2592"/>
            <w:tcMar>
              <w:top w:w="100" w:type="dxa"/>
              <w:bottom w:w="100" w:type="dxa"/>
              <w:left w:w="140" w:type="dxa"/>
              <w:right w:w="140" w:type="dxa"/>
            </w:tcMar>
          </w:tcPr>
          <w:p>
            <w:pPr>
              <w:jc w:val="left"/>
            </w:pPr>
            <w:r>
              <w:rPr>
                <w:color w:val="1E293B"/>
                <w:sz w:val="17"/>
              </w:rPr>
              <w:t>PostgreSQL Multi-AZ (100GB SSD)</w:t>
            </w:r>
          </w:p>
        </w:tc>
        <w:tc>
          <w:tcPr>
            <w:tcW w:type="dxa" w:w="1872"/>
            <w:tcMar>
              <w:top w:w="100" w:type="dxa"/>
              <w:bottom w:w="100" w:type="dxa"/>
              <w:left w:w="140" w:type="dxa"/>
              <w:right w:w="140" w:type="dxa"/>
            </w:tcMar>
          </w:tcPr>
          <w:p>
            <w:pPr>
              <w:jc w:val="left"/>
            </w:pPr>
            <w:r>
              <w:rPr>
                <w:color w:val="1E293B"/>
                <w:sz w:val="17"/>
              </w:rPr>
              <w:t>$65.00 (db.t4g.medium)</w:t>
            </w:r>
          </w:p>
        </w:tc>
        <w:tc>
          <w:tcPr>
            <w:tcW w:type="dxa" w:w="1872"/>
            <w:tcMar>
              <w:top w:w="100" w:type="dxa"/>
              <w:bottom w:w="100" w:type="dxa"/>
              <w:left w:w="140" w:type="dxa"/>
              <w:right w:w="140" w:type="dxa"/>
            </w:tcMar>
          </w:tcPr>
          <w:p>
            <w:pPr>
              <w:jc w:val="left"/>
            </w:pPr>
            <w:r>
              <w:rPr>
                <w:color w:val="1E293B"/>
                <w:sz w:val="17"/>
              </w:rPr>
              <w:t>$68.20 (Flexible Server)</w:t>
            </w:r>
          </w:p>
        </w:tc>
        <w:tc>
          <w:tcPr>
            <w:tcW w:type="dxa" w:w="1872"/>
            <w:tcMar>
              <w:top w:w="100" w:type="dxa"/>
              <w:bottom w:w="100" w:type="dxa"/>
              <w:left w:w="140" w:type="dxa"/>
              <w:right w:w="140" w:type="dxa"/>
            </w:tcMar>
          </w:tcPr>
          <w:p>
            <w:pPr>
              <w:jc w:val="left"/>
            </w:pPr>
            <w:r>
              <w:rPr>
                <w:color w:val="1E293B"/>
                <w:sz w:val="17"/>
              </w:rPr>
              <w:t>$62.50 (Cloud SQL)</w:t>
            </w:r>
          </w:p>
        </w:tc>
      </w:tr>
      <w:tr>
        <w:tc>
          <w:tcPr>
            <w:tcW w:type="dxa" w:w="2160"/>
            <w:shd w:fill="F8FAFC"/>
            <w:tcMar>
              <w:top w:w="100" w:type="dxa"/>
              <w:bottom w:w="100" w:type="dxa"/>
              <w:left w:w="140" w:type="dxa"/>
              <w:right w:w="140" w:type="dxa"/>
            </w:tcMar>
          </w:tcPr>
          <w:p>
            <w:pPr>
              <w:jc w:val="left"/>
            </w:pPr>
            <w:r>
              <w:rPr>
                <w:color w:val="1E293B"/>
                <w:sz w:val="17"/>
              </w:rPr>
              <w:t>Egress &amp; Networking</w:t>
            </w:r>
          </w:p>
        </w:tc>
        <w:tc>
          <w:tcPr>
            <w:tcW w:type="dxa" w:w="2592"/>
            <w:shd w:fill="F8FAFC"/>
            <w:tcMar>
              <w:top w:w="100" w:type="dxa"/>
              <w:bottom w:w="100" w:type="dxa"/>
              <w:left w:w="140" w:type="dxa"/>
              <w:right w:w="140" w:type="dxa"/>
            </w:tcMar>
          </w:tcPr>
          <w:p>
            <w:pPr>
              <w:jc w:val="left"/>
            </w:pPr>
            <w:r>
              <w:rPr>
                <w:color w:val="1E293B"/>
                <w:sz w:val="17"/>
              </w:rPr>
              <w:t>26 KB x 100,000 loans = 2.6 GB</w:t>
            </w:r>
          </w:p>
        </w:tc>
        <w:tc>
          <w:tcPr>
            <w:tcW w:type="dxa" w:w="1872"/>
            <w:shd w:fill="F8FAFC"/>
            <w:tcMar>
              <w:top w:w="100" w:type="dxa"/>
              <w:bottom w:w="100" w:type="dxa"/>
              <w:left w:w="140" w:type="dxa"/>
              <w:right w:w="140" w:type="dxa"/>
            </w:tcMar>
          </w:tcPr>
          <w:p>
            <w:pPr>
              <w:jc w:val="left"/>
            </w:pPr>
            <w:r>
              <w:rPr>
                <w:color w:val="1E293B"/>
                <w:sz w:val="17"/>
              </w:rPr>
              <w:t>$0.24</w:t>
            </w:r>
          </w:p>
        </w:tc>
        <w:tc>
          <w:tcPr>
            <w:tcW w:type="dxa" w:w="1872"/>
            <w:shd w:fill="F8FAFC"/>
            <w:tcMar>
              <w:top w:w="100" w:type="dxa"/>
              <w:bottom w:w="100" w:type="dxa"/>
              <w:left w:w="140" w:type="dxa"/>
              <w:right w:w="140" w:type="dxa"/>
            </w:tcMar>
          </w:tcPr>
          <w:p>
            <w:pPr>
              <w:jc w:val="left"/>
            </w:pPr>
            <w:r>
              <w:rPr>
                <w:color w:val="1E293B"/>
                <w:sz w:val="17"/>
              </w:rPr>
              <w:t>$0.22</w:t>
            </w:r>
          </w:p>
        </w:tc>
        <w:tc>
          <w:tcPr>
            <w:tcW w:type="dxa" w:w="1872"/>
            <w:shd w:fill="F8FAFC"/>
            <w:tcMar>
              <w:top w:w="100" w:type="dxa"/>
              <w:bottom w:w="100" w:type="dxa"/>
              <w:left w:w="140" w:type="dxa"/>
              <w:right w:w="140" w:type="dxa"/>
            </w:tcMar>
          </w:tcPr>
          <w:p>
            <w:pPr>
              <w:jc w:val="left"/>
            </w:pPr>
            <w:r>
              <w:rPr>
                <w:color w:val="1E293B"/>
                <w:sz w:val="17"/>
              </w:rPr>
              <w:t>$0.20</w:t>
            </w:r>
          </w:p>
        </w:tc>
      </w:tr>
      <w:tr>
        <w:tc>
          <w:tcPr>
            <w:tcW w:type="dxa" w:w="2160"/>
            <w:tcMar>
              <w:top w:w="100" w:type="dxa"/>
              <w:bottom w:w="100" w:type="dxa"/>
              <w:left w:w="140" w:type="dxa"/>
              <w:right w:w="140" w:type="dxa"/>
            </w:tcMar>
          </w:tcPr>
          <w:p>
            <w:pPr>
              <w:jc w:val="left"/>
            </w:pPr>
            <w:r>
              <w:rPr>
                <w:color w:val="1E293B"/>
                <w:sz w:val="17"/>
              </w:rPr>
              <w:t>Total Monthly Cloud Cost</w:t>
            </w:r>
          </w:p>
        </w:tc>
        <w:tc>
          <w:tcPr>
            <w:tcW w:type="dxa" w:w="2592"/>
            <w:tcMar>
              <w:top w:w="100" w:type="dxa"/>
              <w:bottom w:w="100" w:type="dxa"/>
              <w:left w:w="140" w:type="dxa"/>
              <w:right w:w="140" w:type="dxa"/>
            </w:tcMar>
          </w:tcPr>
          <w:p>
            <w:pPr>
              <w:jc w:val="left"/>
            </w:pPr>
            <w:r>
              <w:rPr>
                <w:color w:val="1E293B"/>
                <w:sz w:val="17"/>
              </w:rPr>
              <w:t>Enterprise Production Tier</w:t>
            </w:r>
          </w:p>
        </w:tc>
        <w:tc>
          <w:tcPr>
            <w:tcW w:type="dxa" w:w="1872"/>
            <w:tcMar>
              <w:top w:w="100" w:type="dxa"/>
              <w:bottom w:w="100" w:type="dxa"/>
              <w:left w:w="140" w:type="dxa"/>
              <w:right w:w="140" w:type="dxa"/>
            </w:tcMar>
          </w:tcPr>
          <w:p>
            <w:pPr>
              <w:jc w:val="left"/>
            </w:pPr>
            <w:r>
              <w:rPr>
                <w:color w:val="1E293B"/>
                <w:sz w:val="17"/>
              </w:rPr>
              <w:t>$409.74 (₹34,400)</w:t>
            </w:r>
          </w:p>
        </w:tc>
        <w:tc>
          <w:tcPr>
            <w:tcW w:type="dxa" w:w="1872"/>
            <w:tcMar>
              <w:top w:w="100" w:type="dxa"/>
              <w:bottom w:w="100" w:type="dxa"/>
              <w:left w:w="140" w:type="dxa"/>
              <w:right w:w="140" w:type="dxa"/>
            </w:tcMar>
          </w:tcPr>
          <w:p>
            <w:pPr>
              <w:jc w:val="left"/>
            </w:pPr>
            <w:r>
              <w:rPr>
                <w:color w:val="1E293B"/>
                <w:sz w:val="17"/>
              </w:rPr>
              <w:t>$421.12 (₹35,370)</w:t>
            </w:r>
          </w:p>
        </w:tc>
        <w:tc>
          <w:tcPr>
            <w:tcW w:type="dxa" w:w="1872"/>
            <w:tcMar>
              <w:top w:w="100" w:type="dxa"/>
              <w:bottom w:w="100" w:type="dxa"/>
              <w:left w:w="140" w:type="dxa"/>
              <w:right w:w="140" w:type="dxa"/>
            </w:tcMar>
          </w:tcPr>
          <w:p>
            <w:pPr>
              <w:jc w:val="left"/>
            </w:pPr>
            <w:r>
              <w:rPr>
                <w:color w:val="1E293B"/>
                <w:sz w:val="17"/>
              </w:rPr>
              <w:t>$399.70 (₹33,570)</w:t>
            </w:r>
          </w:p>
        </w:tc>
      </w:tr>
    </w:tbl>
    <w:p>
      <w:r>
        <w:t>Unit Cost Analysis per Loan Verification:</w:t>
        <w:br/>
        <w:t>• Cloud Compute Cost per 10,000 Loans: $40.97 (₹3,440 INR)</w:t>
        <w:br/>
        <w:t>• Unit Cost per Individual Loan Decision: $0.0041 (₹0.34 INR — Thirty-Four Paise!)</w:t>
        <w:br/>
        <w:t>Compared to the ₹45 to ₹120 per loan currently spent on manual compliance sampling, forensic audits, and legal dispute mediation, Sakshi delivers an immediate 99%+ operational cost reduction.</w:t>
      </w:r>
    </w:p>
    <w:p>
      <w:pPr>
        <w:pStyle w:val="Heading1"/>
      </w:pPr>
      <w:r>
        <w:t>11. Business Viability, Market Impact &amp; Revenue Model</w:t>
      </w:r>
    </w:p>
    <w:p>
      <w:r>
        <w:t>Sakshi is designed as an infrastructure B2B SaaS platform monetization engine:</w:t>
      </w:r>
    </w:p>
    <w:p>
      <w:r>
        <w:t>Target Market Segments:</w:t>
      </w:r>
    </w:p>
    <w:p>
      <w:r>
        <w:t>1. Indian NBFCs &amp; Scheduled Commercial Banks: Need automated risk assurance to scale digital lending safely.</w:t>
        <w:br/>
        <w:t>2. FinTech LSPs &amp; Co-lenders: Need proof of model fidelity to secure higher credit lines and lower FLDG requirements from banks.</w:t>
        <w:br/>
        <w:t>3. Digital Public Infrastructure: Reference architecture for RBI's Digital Lending Working Group.</w:t>
      </w:r>
    </w:p>
    <w:p>
      <w:pPr>
        <w:pStyle w:val="Heading2"/>
      </w:pPr>
      <w:r>
        <w:t>Tiered Commercial Pricing Model</w:t>
      </w:r>
    </w:p>
    <w:tbl>
      <w:tblPr>
        <w:tblW w:type="auto" w:w="0"/>
        <w:jc w:val="center"/>
        <w:tblLook w:firstColumn="1" w:firstRow="1" w:lastColumn="0" w:lastRow="0" w:noHBand="0" w:noVBand="1" w:val="04A0"/>
      </w:tblPr>
      <w:tblGrid>
        <w:gridCol w:w="2484"/>
        <w:gridCol w:w="2484"/>
        <w:gridCol w:w="2484"/>
        <w:gridCol w:w="2484"/>
      </w:tblGrid>
      <w:tr>
        <w:tc>
          <w:tcPr>
            <w:tcW w:type="dxa" w:w="2304"/>
            <w:shd w:fill="1E3A8A"/>
            <w:tcMar>
              <w:top w:w="120" w:type="dxa"/>
              <w:bottom w:w="120" w:type="dxa"/>
              <w:left w:w="140" w:type="dxa"/>
              <w:right w:w="140" w:type="dxa"/>
            </w:tcMar>
          </w:tcPr>
          <w:p>
            <w:pPr>
              <w:jc w:val="left"/>
            </w:pPr>
            <w:r>
              <w:rPr>
                <w:b/>
                <w:color w:val="FFFFFF"/>
                <w:sz w:val="18"/>
              </w:rPr>
              <w:t>Subscription Tier</w:t>
            </w:r>
          </w:p>
        </w:tc>
        <w:tc>
          <w:tcPr>
            <w:tcW w:type="dxa" w:w="2160"/>
            <w:shd w:fill="1E3A8A"/>
            <w:tcMar>
              <w:top w:w="120" w:type="dxa"/>
              <w:bottom w:w="120" w:type="dxa"/>
              <w:left w:w="140" w:type="dxa"/>
              <w:right w:w="140" w:type="dxa"/>
            </w:tcMar>
          </w:tcPr>
          <w:p>
            <w:pPr>
              <w:jc w:val="left"/>
            </w:pPr>
            <w:r>
              <w:rPr>
                <w:b/>
                <w:color w:val="FFFFFF"/>
                <w:sz w:val="18"/>
              </w:rPr>
              <w:t>Monthly Base Fee</w:t>
            </w:r>
          </w:p>
        </w:tc>
        <w:tc>
          <w:tcPr>
            <w:tcW w:type="dxa" w:w="2736"/>
            <w:shd w:fill="1E3A8A"/>
            <w:tcMar>
              <w:top w:w="120" w:type="dxa"/>
              <w:bottom w:w="120" w:type="dxa"/>
              <w:left w:w="140" w:type="dxa"/>
              <w:right w:w="140" w:type="dxa"/>
            </w:tcMar>
          </w:tcPr>
          <w:p>
            <w:pPr>
              <w:jc w:val="left"/>
            </w:pPr>
            <w:r>
              <w:rPr>
                <w:b/>
                <w:color w:val="FFFFFF"/>
                <w:sz w:val="18"/>
              </w:rPr>
              <w:t>Included Verifications</w:t>
            </w:r>
          </w:p>
        </w:tc>
        <w:tc>
          <w:tcPr>
            <w:tcW w:type="dxa" w:w="2592"/>
            <w:shd w:fill="1E3A8A"/>
            <w:tcMar>
              <w:top w:w="120" w:type="dxa"/>
              <w:bottom w:w="120" w:type="dxa"/>
              <w:left w:w="140" w:type="dxa"/>
              <w:right w:w="140" w:type="dxa"/>
            </w:tcMar>
          </w:tcPr>
          <w:p>
            <w:pPr>
              <w:jc w:val="left"/>
            </w:pPr>
            <w:r>
              <w:rPr>
                <w:b/>
                <w:color w:val="FFFFFF"/>
                <w:sz w:val="18"/>
              </w:rPr>
              <w:t>Overage Fee per Loan</w:t>
            </w:r>
          </w:p>
        </w:tc>
      </w:tr>
      <w:tr>
        <w:tc>
          <w:tcPr>
            <w:tcW w:type="dxa" w:w="2304"/>
            <w:tcMar>
              <w:top w:w="100" w:type="dxa"/>
              <w:bottom w:w="100" w:type="dxa"/>
              <w:left w:w="140" w:type="dxa"/>
              <w:right w:w="140" w:type="dxa"/>
            </w:tcMar>
          </w:tcPr>
          <w:p>
            <w:pPr>
              <w:jc w:val="left"/>
            </w:pPr>
            <w:r>
              <w:rPr>
                <w:color w:val="1E293B"/>
                <w:sz w:val="17"/>
              </w:rPr>
              <w:t>Starter NBFC Tier</w:t>
            </w:r>
          </w:p>
        </w:tc>
        <w:tc>
          <w:tcPr>
            <w:tcW w:type="dxa" w:w="2160"/>
            <w:tcMar>
              <w:top w:w="100" w:type="dxa"/>
              <w:bottom w:w="100" w:type="dxa"/>
              <w:left w:w="140" w:type="dxa"/>
              <w:right w:w="140" w:type="dxa"/>
            </w:tcMar>
          </w:tcPr>
          <w:p>
            <w:pPr>
              <w:jc w:val="left"/>
            </w:pPr>
            <w:r>
              <w:rPr>
                <w:color w:val="1E293B"/>
                <w:sz w:val="17"/>
              </w:rPr>
              <w:t>₹1,50,000 / month</w:t>
            </w:r>
          </w:p>
        </w:tc>
        <w:tc>
          <w:tcPr>
            <w:tcW w:type="dxa" w:w="2736"/>
            <w:tcMar>
              <w:top w:w="100" w:type="dxa"/>
              <w:bottom w:w="100" w:type="dxa"/>
              <w:left w:w="140" w:type="dxa"/>
              <w:right w:w="140" w:type="dxa"/>
            </w:tcMar>
          </w:tcPr>
          <w:p>
            <w:pPr>
              <w:jc w:val="left"/>
            </w:pPr>
            <w:r>
              <w:rPr>
                <w:color w:val="1E293B"/>
                <w:sz w:val="17"/>
              </w:rPr>
              <w:t>Up to 25,000 loans</w:t>
            </w:r>
          </w:p>
        </w:tc>
        <w:tc>
          <w:tcPr>
            <w:tcW w:type="dxa" w:w="2592"/>
            <w:tcMar>
              <w:top w:w="100" w:type="dxa"/>
              <w:bottom w:w="100" w:type="dxa"/>
              <w:left w:w="140" w:type="dxa"/>
              <w:right w:w="140" w:type="dxa"/>
            </w:tcMar>
          </w:tcPr>
          <w:p>
            <w:pPr>
              <w:jc w:val="left"/>
            </w:pPr>
            <w:r>
              <w:rPr>
                <w:color w:val="1E293B"/>
                <w:sz w:val="17"/>
              </w:rPr>
              <w:t>₹6.00 / verification</w:t>
            </w:r>
          </w:p>
        </w:tc>
      </w:tr>
      <w:tr>
        <w:tc>
          <w:tcPr>
            <w:tcW w:type="dxa" w:w="2304"/>
            <w:shd w:fill="F8FAFC"/>
            <w:tcMar>
              <w:top w:w="100" w:type="dxa"/>
              <w:bottom w:w="100" w:type="dxa"/>
              <w:left w:w="140" w:type="dxa"/>
              <w:right w:w="140" w:type="dxa"/>
            </w:tcMar>
          </w:tcPr>
          <w:p>
            <w:pPr>
              <w:jc w:val="left"/>
            </w:pPr>
            <w:r>
              <w:rPr>
                <w:color w:val="1E293B"/>
                <w:sz w:val="17"/>
              </w:rPr>
              <w:t>Mid-Market Bank Tier</w:t>
            </w:r>
          </w:p>
        </w:tc>
        <w:tc>
          <w:tcPr>
            <w:tcW w:type="dxa" w:w="2160"/>
            <w:shd w:fill="F8FAFC"/>
            <w:tcMar>
              <w:top w:w="100" w:type="dxa"/>
              <w:bottom w:w="100" w:type="dxa"/>
              <w:left w:w="140" w:type="dxa"/>
              <w:right w:w="140" w:type="dxa"/>
            </w:tcMar>
          </w:tcPr>
          <w:p>
            <w:pPr>
              <w:jc w:val="left"/>
            </w:pPr>
            <w:r>
              <w:rPr>
                <w:color w:val="1E293B"/>
                <w:sz w:val="17"/>
              </w:rPr>
              <w:t>₹4,50,000 / month</w:t>
            </w:r>
          </w:p>
        </w:tc>
        <w:tc>
          <w:tcPr>
            <w:tcW w:type="dxa" w:w="2736"/>
            <w:shd w:fill="F8FAFC"/>
            <w:tcMar>
              <w:top w:w="100" w:type="dxa"/>
              <w:bottom w:w="100" w:type="dxa"/>
              <w:left w:w="140" w:type="dxa"/>
              <w:right w:w="140" w:type="dxa"/>
            </w:tcMar>
          </w:tcPr>
          <w:p>
            <w:pPr>
              <w:jc w:val="left"/>
            </w:pPr>
            <w:r>
              <w:rPr>
                <w:color w:val="1E293B"/>
                <w:sz w:val="17"/>
              </w:rPr>
              <w:t>Up to 150,000 loans</w:t>
            </w:r>
          </w:p>
        </w:tc>
        <w:tc>
          <w:tcPr>
            <w:tcW w:type="dxa" w:w="2592"/>
            <w:shd w:fill="F8FAFC"/>
            <w:tcMar>
              <w:top w:w="100" w:type="dxa"/>
              <w:bottom w:w="100" w:type="dxa"/>
              <w:left w:w="140" w:type="dxa"/>
              <w:right w:w="140" w:type="dxa"/>
            </w:tcMar>
          </w:tcPr>
          <w:p>
            <w:pPr>
              <w:jc w:val="left"/>
            </w:pPr>
            <w:r>
              <w:rPr>
                <w:color w:val="1E293B"/>
                <w:sz w:val="17"/>
              </w:rPr>
              <w:t>₹3.50 / verification</w:t>
            </w:r>
          </w:p>
        </w:tc>
      </w:tr>
      <w:tr>
        <w:tc>
          <w:tcPr>
            <w:tcW w:type="dxa" w:w="2304"/>
            <w:tcMar>
              <w:top w:w="100" w:type="dxa"/>
              <w:bottom w:w="100" w:type="dxa"/>
              <w:left w:w="140" w:type="dxa"/>
              <w:right w:w="140" w:type="dxa"/>
            </w:tcMar>
          </w:tcPr>
          <w:p>
            <w:pPr>
              <w:jc w:val="left"/>
            </w:pPr>
            <w:r>
              <w:rPr>
                <w:color w:val="1E293B"/>
                <w:sz w:val="17"/>
              </w:rPr>
              <w:t>Enterprise Co-Lending Grid</w:t>
            </w:r>
          </w:p>
        </w:tc>
        <w:tc>
          <w:tcPr>
            <w:tcW w:type="dxa" w:w="2160"/>
            <w:tcMar>
              <w:top w:w="100" w:type="dxa"/>
              <w:bottom w:w="100" w:type="dxa"/>
              <w:left w:w="140" w:type="dxa"/>
              <w:right w:w="140" w:type="dxa"/>
            </w:tcMar>
          </w:tcPr>
          <w:p>
            <w:pPr>
              <w:jc w:val="left"/>
            </w:pPr>
            <w:r>
              <w:rPr>
                <w:color w:val="1E293B"/>
                <w:sz w:val="17"/>
              </w:rPr>
              <w:t>₹12,00,000 / month</w:t>
            </w:r>
          </w:p>
        </w:tc>
        <w:tc>
          <w:tcPr>
            <w:tcW w:type="dxa" w:w="2736"/>
            <w:tcMar>
              <w:top w:w="100" w:type="dxa"/>
              <w:bottom w:w="100" w:type="dxa"/>
              <w:left w:w="140" w:type="dxa"/>
              <w:right w:w="140" w:type="dxa"/>
            </w:tcMar>
          </w:tcPr>
          <w:p>
            <w:pPr>
              <w:jc w:val="left"/>
            </w:pPr>
            <w:r>
              <w:rPr>
                <w:color w:val="1E293B"/>
                <w:sz w:val="17"/>
              </w:rPr>
              <w:t>Up to 500,000 loans</w:t>
            </w:r>
          </w:p>
        </w:tc>
        <w:tc>
          <w:tcPr>
            <w:tcW w:type="dxa" w:w="2592"/>
            <w:tcMar>
              <w:top w:w="100" w:type="dxa"/>
              <w:bottom w:w="100" w:type="dxa"/>
              <w:left w:w="140" w:type="dxa"/>
              <w:right w:w="140" w:type="dxa"/>
            </w:tcMar>
          </w:tcPr>
          <w:p>
            <w:pPr>
              <w:jc w:val="left"/>
            </w:pPr>
            <w:r>
              <w:rPr>
                <w:color w:val="1E293B"/>
                <w:sz w:val="17"/>
              </w:rPr>
              <w:t>₹1.80 / verification</w:t>
            </w:r>
          </w:p>
        </w:tc>
      </w:tr>
    </w:tbl>
    <w:p>
      <w:pPr>
        <w:pStyle w:val="Heading2"/>
      </w:pPr>
      <w:r>
        <w:t>The High-Margin Ecosystem Upsell</w:t>
      </w:r>
    </w:p>
    <w:p>
      <w:r>
        <w:t>• Credit Bureau Certification: Partnering with CIBIL/Experian to issue cryptographic model compliance badges.</w:t>
        <w:br/>
        <w:t>• FLDG Insurance Discounts: Reinsurance providers offer 20-30% premium discounts on default guarantees if underwriting is verified via Sakshi.</w:t>
        <w:br/>
        <w:t>• Account Aggregator Ingestion: Automated connector modules for Setu, Anumati, and OneMoney AA bridges.</w:t>
      </w:r>
    </w:p>
    <w:p>
      <w:pPr>
        <w:pStyle w:val="Heading1"/>
      </w:pPr>
      <w:r>
        <w:t>12. Hackathon Pitch Deck: Slide-by-Slide Master Blueprint</w:t>
      </w:r>
    </w:p>
    <w:p>
      <w:r>
        <w:t>This exact 10-slide structure maps the contents of this SSOT document directly into a high-impact, winning presentation:</w:t>
      </w:r>
    </w:p>
    <w:p>
      <w:pPr>
        <w:spacing w:before="160" w:after="40"/>
      </w:pPr>
      <w:r>
        <w:rPr>
          <w:b/>
          <w:color w:val="1E3A8A"/>
          <w:sz w:val="22"/>
        </w:rPr>
        <w:t>[Slide 1: Title &amp; Hook] - SAKSHI (साक्षी) — The Zero-Knowledge Credit Gate for Digital Lending</w:t>
        <w:br/>
      </w:r>
      <w:r>
        <w:rPr>
          <w:sz w:val="19"/>
        </w:rPr>
        <w:t>Key Pitch Points: Hook: 'How do you verify an AI loan decision when banks aren't allowed to see the borrower's private data, and FinTechs refuse to reveal their proprietary code?'</w:t>
        <w:br/>
      </w:r>
      <w:r>
        <w:rPr>
          <w:i/>
          <w:color w:val="475569"/>
          <w:sz w:val="18"/>
        </w:rPr>
        <w:t>Slide Graphic / Visual Layout: Visual: Split screen showing Indian Bank Vault vs FinTech Smartphone Enclave with cryptographic lock between them.</w:t>
      </w:r>
    </w:p>
    <w:p>
      <w:pPr>
        <w:spacing w:before="160" w:after="40"/>
      </w:pPr>
      <w:r>
        <w:rPr>
          <w:b/>
          <w:color w:val="1E3A8A"/>
          <w:sz w:val="22"/>
        </w:rPr>
        <w:t>[Slide 2: The Problem (15 Marks)] - The ₹3.5 Lakh Crore Impasse: Shadow Underwriting &amp; Privacy Stalemate</w:t>
        <w:br/>
      </w:r>
      <w:r>
        <w:rPr>
          <w:sz w:val="19"/>
        </w:rPr>
        <w:t>Key Pitch Points: Points: RBI 5% FLDG cap forces banks to take 95% risk. FinTechs secretly commit 'cutoff creep'. DPDP Act prevents raw data transfer.</w:t>
        <w:br/>
      </w:r>
      <w:r>
        <w:rPr>
          <w:i/>
          <w:color w:val="475569"/>
          <w:sz w:val="18"/>
        </w:rPr>
        <w:t>Slide Graphic / Visual Layout: Visual: Infographic showing the breakdown of trust between Banks and LSPs.</w:t>
      </w:r>
    </w:p>
    <w:p>
      <w:pPr>
        <w:spacing w:before="160" w:after="40"/>
      </w:pPr>
      <w:r>
        <w:rPr>
          <w:b/>
          <w:color w:val="1E3A8A"/>
          <w:sz w:val="22"/>
        </w:rPr>
        <w:t>[Slide 3: Innovation (20 Marks)] - Zero-Knowledge Contract Conformance: Mathematical Trust</w:t>
        <w:br/>
      </w:r>
      <w:r>
        <w:rPr>
          <w:sz w:val="19"/>
        </w:rPr>
        <w:t>Key Pitch Points: Points: Moving from legal SLAs to Halo2 KZG polynomial commitments. Dual-signed JSON policies. Inference is proven without disclosing weights or PII.</w:t>
        <w:br/>
      </w:r>
      <w:r>
        <w:rPr>
          <w:i/>
          <w:color w:val="475569"/>
          <w:sz w:val="18"/>
        </w:rPr>
        <w:t>Slide Graphic / Visual Layout: Visual: Clean diagram of Model Commitment C and Input Commitment X merging into a 24KB Halo2 proof.</w:t>
      </w:r>
    </w:p>
    <w:p>
      <w:pPr>
        <w:spacing w:before="160" w:after="40"/>
      </w:pPr>
      <w:r>
        <w:rPr>
          <w:b/>
          <w:color w:val="1E3A8A"/>
          <w:sz w:val="22"/>
        </w:rPr>
        <w:t>[Slide 4: Architecture (20 Marks)] - Two-Zone Isolated Production Topology</w:t>
        <w:br/>
      </w:r>
      <w:r>
        <w:rPr>
          <w:sz w:val="19"/>
        </w:rPr>
        <w:t>Key Pitch Points: Points: Zone 1 (Fintech Enclave) runs private sidecar. Zone 3 (Bank Appliance) runs 9-Step Verifier &amp; Disbursal Gate. Fail-Closed design.</w:t>
        <w:br/>
      </w:r>
      <w:r>
        <w:rPr>
          <w:i/>
          <w:color w:val="475569"/>
          <w:sz w:val="18"/>
        </w:rPr>
        <w:t>Slide Graphic / Visual Layout: Visual: Architectural diagram of the 2 containers and network isolation.</w:t>
      </w:r>
    </w:p>
    <w:p>
      <w:pPr>
        <w:spacing w:before="160" w:after="40"/>
      </w:pPr>
      <w:r>
        <w:rPr>
          <w:b/>
          <w:color w:val="1E3A8A"/>
          <w:sz w:val="22"/>
        </w:rPr>
        <w:t>[Slide 5: Verifier Engine (20 Marks)] - The Sequential 9-Step Verifier Pipeline (V1 to V9)</w:t>
        <w:br/>
      </w:r>
      <w:r>
        <w:rPr>
          <w:sz w:val="19"/>
        </w:rPr>
        <w:t>Key Pitch Points: Points: Step-by-step cryptographic checks in &lt;10ms. Replay prevention. Input binding adapter (X' ?= X).</w:t>
        <w:br/>
      </w:r>
      <w:r>
        <w:rPr>
          <w:i/>
          <w:color w:val="475569"/>
          <w:sz w:val="18"/>
        </w:rPr>
        <w:t>Slide Graphic / Visual Layout: Visual: Step ladder diagram showing checks V1 to V9 culminating in Disbursal Gate Authorization.</w:t>
      </w:r>
    </w:p>
    <w:p>
      <w:pPr>
        <w:spacing w:before="160" w:after="40"/>
      </w:pPr>
      <w:r>
        <w:rPr>
          <w:b/>
          <w:color w:val="1E3A8A"/>
          <w:sz w:val="22"/>
        </w:rPr>
        <w:t>[Slide 6: AI &amp; Quantization (15 Marks)] - Machine-Verifiable Scorecard &amp; 98.7% Quantization Parity</w:t>
        <w:br/>
      </w:r>
      <w:r>
        <w:rPr>
          <w:sz w:val="19"/>
        </w:rPr>
        <w:t>Key Pitch Points: Points: Realistic 10-feature CIBIL-calibrated model. Fixed-point 1024 ONNX quantization. ROC-AUC delta &lt; 0.0024.</w:t>
        <w:br/>
      </w:r>
      <w:r>
        <w:rPr>
          <w:i/>
          <w:color w:val="475569"/>
          <w:sz w:val="18"/>
        </w:rPr>
        <w:t>Slide Graphic / Visual Layout: Visual: Parity comparison chart between floating point model and ZK circuit.</w:t>
      </w:r>
    </w:p>
    <w:p>
      <w:pPr>
        <w:spacing w:before="160" w:after="40"/>
      </w:pPr>
      <w:r>
        <w:rPr>
          <w:b/>
          <w:color w:val="1E3A8A"/>
          <w:sz w:val="22"/>
        </w:rPr>
        <w:t>[Slide 7: Live Demo Walkthrough] - 7 Exhaustive Scenarios: 2 Honest Flows &amp; 5 Real-Time Tamper Catches</w:t>
        <w:br/>
      </w:r>
      <w:r>
        <w:rPr>
          <w:sz w:val="19"/>
        </w:rPr>
        <w:t>Key Pitch Points: Points: Live UI demonstration. Honest approvals authorized in 24h. Model swaps, threshold creep, input tampering caught with exact mismatch inspector.</w:t>
        <w:br/>
      </w:r>
      <w:r>
        <w:rPr>
          <w:i/>
          <w:color w:val="475569"/>
          <w:sz w:val="18"/>
        </w:rPr>
        <w:t>Slide Graphic / Visual Layout: Visual: Screenshot of Demo Lab showing exact expected vs actual mismatch cards.</w:t>
      </w:r>
    </w:p>
    <w:p>
      <w:pPr>
        <w:spacing w:before="160" w:after="40"/>
      </w:pPr>
      <w:r>
        <w:rPr>
          <w:b/>
          <w:color w:val="1E3A8A"/>
          <w:sz w:val="22"/>
        </w:rPr>
        <w:t>[Slide 8: Performance &amp; Scalability (10 Marks)] - Production Benchmarks: 2.28s Proving, 8.4ms Verification</w:t>
        <w:br/>
      </w:r>
      <w:r>
        <w:rPr>
          <w:sz w:val="19"/>
        </w:rPr>
        <w:t>Key Pitch Points: Points: 24KB proof size. Proving queue handles 10x traffic spikes. Verifiers scale statelessly. Cloud cost: ₹0.34 per loan.</w:t>
        <w:br/>
      </w:r>
      <w:r>
        <w:rPr>
          <w:i/>
          <w:color w:val="475569"/>
          <w:sz w:val="18"/>
        </w:rPr>
        <w:t>Slide Graphic / Visual Layout: Visual: Benchmark latency comparison bar chart and cloud cost table.</w:t>
      </w:r>
    </w:p>
    <w:p>
      <w:pPr>
        <w:spacing w:before="160" w:after="40"/>
      </w:pPr>
      <w:r>
        <w:rPr>
          <w:b/>
          <w:color w:val="1E3A8A"/>
          <w:sz w:val="22"/>
        </w:rPr>
        <w:t>[Slide 9: Commercial Viability &amp; Impact (15 Marks)] - A $350B Market: B2B SaaS Monetization &amp; Regulatory Moat</w:t>
        <w:br/>
      </w:r>
      <w:r>
        <w:rPr>
          <w:sz w:val="19"/>
        </w:rPr>
        <w:t>Key Pitch Points: Points: Tiered SaaS model (₹1.5L to ₹12L/month). Eliminates multi-crore audit overhead. Enables compliant co-lending growth under RBI 2025 directions.</w:t>
        <w:br/>
      </w:r>
      <w:r>
        <w:rPr>
          <w:i/>
          <w:color w:val="475569"/>
          <w:sz w:val="18"/>
        </w:rPr>
        <w:t>Slide Graphic / Visual Layout: Visual: Pricing tiers and market expansion roadmap.</w:t>
      </w:r>
    </w:p>
    <w:p>
      <w:pPr>
        <w:spacing w:before="160" w:after="40"/>
      </w:pPr>
      <w:r>
        <w:rPr>
          <w:b/>
          <w:color w:val="1E3A8A"/>
          <w:sz w:val="22"/>
        </w:rPr>
        <w:t>[Slide 10: Conclusion &amp; The Vision] - Sakshi: The Trust Foundation for India's Digital Credit Future</w:t>
        <w:br/>
      </w:r>
      <w:r>
        <w:rPr>
          <w:sz w:val="19"/>
        </w:rPr>
        <w:t>Key Pitch Points: Points: 'We didn't just build a ZK demo—we built a fail-closed regulatory appliance that banks and FinTechs can deploy on Monday.'</w:t>
        <w:br/>
      </w:r>
      <w:r>
        <w:rPr>
          <w:i/>
          <w:color w:val="475569"/>
          <w:sz w:val="18"/>
        </w:rPr>
        <w:t>Slide Graphic / Visual Layout: Visual: Meridian Digital and Quick FinCorp live production dashboard with green verification checkmark.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