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
      </w:pPr>
      <w:r>
        <w:rPr>
          <w:rFonts w:ascii="Calibri" w:cs="Calibri" w:eastAsia="Calibri" w:hAnsi="Calibri"/>
          <w:b/>
          <w:bCs/>
          <w:color w:val="1F3A5F"/>
          <w:sz w:val="84"/>
          <w:szCs w:val="84"/>
        </w:rPr>
        <w:t xml:space="preserve">LendProof</w:t>
      </w:r>
    </w:p>
    <w:p>
      <w:pPr>
        <w:pBdr>
          <w:bottom w:val="single" w:color="1F7A8C" w:sz="12" w:space="8"/>
        </w:pBdr>
        <w:spacing w:after="300"/>
      </w:pPr>
      <w:r>
        <w:rPr>
          <w:rFonts w:ascii="Calibri" w:cs="Calibri" w:eastAsia="Calibri" w:hAnsi="Calibri"/>
          <w:color w:val="1F7A8C"/>
          <w:sz w:val="36"/>
          <w:szCs w:val="36"/>
        </w:rPr>
        <w:t xml:space="preserve">Zero-Knowledge Contract-Conformance Assurance for Digital Lending</w:t>
      </w:r>
    </w:p>
    <w:p>
      <w:pPr>
        <w:spacing w:after="80"/>
      </w:pPr>
      <w:r>
        <w:rPr>
          <w:rFonts w:ascii="Calibri" w:cs="Calibri" w:eastAsia="Calibri" w:hAnsi="Calibri"/>
          <w:b/>
          <w:bCs/>
          <w:color w:val="333333"/>
          <w:sz w:val="28"/>
          <w:szCs w:val="28"/>
        </w:rPr>
        <w:t xml:space="preserve">Engineering Project Proposal and Product Requirements Document</w:t>
      </w:r>
    </w:p>
    <w:p>
      <w:pPr>
        <w:spacing w:after="700"/>
      </w:pPr>
      <w:r>
        <w:rPr>
          <w:rFonts w:ascii="Calibri" w:cs="Calibri" w:eastAsia="Calibri" w:hAnsi="Calibri"/>
          <w:color w:val="666666"/>
          <w:sz w:val="22"/>
          <w:szCs w:val="22"/>
        </w:rPr>
        <w:t xml:space="preserve">Background, problem analysis, product definition, detailed system architecture, execution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Field</w:t>
            </w:r>
          </w:p>
        </w:tc>
        <w:tc>
          <w:tcPr>
            <w:tcW w:type="dxa" w:w="72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Detail</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Document version</w:t>
            </w:r>
          </w:p>
        </w:tc>
        <w:tc>
          <w:tcPr>
            <w:tcW w:type="dxa" w:w="72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1.0 (hackathon finals draft)</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Date</w:t>
            </w:r>
          </w:p>
        </w:tc>
        <w:tc>
          <w:tcPr>
            <w:tcW w:type="dxa" w:w="72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20 October 2026</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Status</w:t>
            </w:r>
          </w:p>
        </w:tc>
        <w:tc>
          <w:tcPr>
            <w:tcW w:type="dxa" w:w="72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Working draft. "LendProof" is a placeholder product name.</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Audience</w:t>
            </w:r>
          </w:p>
        </w:tc>
        <w:tc>
          <w:tcPr>
            <w:tcW w:type="dxa" w:w="72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Hackathon judges (fintech practitioners), engineering team, prospective design partners</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Domain</w:t>
            </w:r>
          </w:p>
        </w:tc>
        <w:tc>
          <w:tcPr>
            <w:tcW w:type="dxa" w:w="72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India digital lending: banks / NBFCs (Regulated Entities) and Lending Service Providers</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Regulatory note</w:t>
            </w:r>
          </w:p>
        </w:tc>
        <w:tc>
          <w:tcPr>
            <w:tcW w:type="dxa" w:w="72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Regulatory statements were checked against secondary summaries. Verify against primary RBI and MeitY texts before citing paragraph numbers (see Appendix B).</w:t>
            </w:r>
          </w:p>
        </w:tc>
      </w:tr>
    </w:tbl>
    <w:p>
      <w:pPr>
        <w:pageBreakBefore/>
        <w:pBdr>
          <w:bottom w:val="single" w:color="1F7A8C" w:sz="8" w:space="4"/>
        </w:pBdr>
        <w:spacing w:after="200"/>
      </w:pPr>
      <w:r>
        <w:rPr>
          <w:rFonts w:ascii="Calibri" w:cs="Calibri" w:eastAsia="Calibri" w:hAnsi="Calibri"/>
          <w:b/>
          <w:bCs/>
          <w:color w:val="1F3A5F"/>
          <w:sz w:val="34"/>
          <w:szCs w:val="34"/>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Section</w:t>
            </w:r>
          </w:p>
        </w:tc>
        <w:tc>
          <w:tcPr>
            <w:tcW w:type="dxa" w:w="84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Title</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Executive Summary</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2</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Background: India's Digital Lending Ecosystem</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3</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Problem Statement</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4</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Product Definition (positioning, guarantees and non-guarantees, policy-as-circuit, modes)</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5</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Technical Primer: How the Proof Works (worked example, quantisation, tree ensembles)</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6</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Requirements (functional and non-functional)</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7</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System Architecture (zones, components, flows, circuit, policy schema, APIs, data model, ledger, threat model, deployment)</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8</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Technology Stack</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9</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Performance, Overhead and Cost Model</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10</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Positioning Against Alternatives</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11</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Business Model and Go-to-Market</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12</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Compliance Mapping</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13</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Hackathon Execution Plan (scope, build order, demo script, Q&amp;A)</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14</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Risks, Limitations and Roadmap</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A</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Appendix A: Glossary</w:t>
            </w:r>
          </w:p>
        </w:tc>
      </w:tr>
      <w:tr>
        <w:trPr>
          <w:cantSplit/>
        </w:trPr>
        <w:tc>
          <w:tcPr>
            <w:tcW w:type="dxa" w:w="1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w:t>
            </w:r>
          </w:p>
        </w:tc>
        <w:tc>
          <w:tcPr>
            <w:tcW w:type="dxa" w:w="8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Appendix B: Pre-Presentation Verification Checklist</w:t>
            </w:r>
          </w:p>
        </w:tc>
      </w:tr>
      <w:tr>
        <w:trPr>
          <w:cantSplit/>
        </w:trPr>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C</w:t>
            </w:r>
          </w:p>
        </w:tc>
        <w:tc>
          <w:tcPr>
            <w:tcW w:type="dxa" w:w="8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Appendix C: Sources Consulted</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1. Executive Summary</w:t>
      </w:r>
    </w:p>
    <w:p>
      <w:pPr>
        <w:spacing w:after="120" w:line="276"/>
      </w:pPr>
      <w:r>
        <w:rPr>
          <w:rFonts w:ascii="Calibri" w:cs="Calibri" w:eastAsia="Calibri" w:hAnsi="Calibri"/>
          <w:b/>
          <w:bCs/>
          <w:sz w:val="21"/>
          <w:szCs w:val="21"/>
        </w:rPr>
        <w:t xml:space="preserve">LendProof</w:t>
      </w:r>
      <w:r>
        <w:rPr>
          <w:rFonts w:ascii="Calibri" w:cs="Calibri" w:eastAsia="Calibri" w:hAnsi="Calibri"/>
          <w:sz w:val="21"/>
          <w:szCs w:val="21"/>
        </w:rPr>
        <w:t xml:space="preserve"> (working name) is a contract-conformance assurance layer for India's digital lending ecosystem. It lets a bank or NBFC (the Regulated Entity, "RE" or "lender") verify, cryptographically and for every individual credit decision, that the Lending Service Provider (LSP) used exactly the underwriting model, thresholds and rules that were contractually agreed, without the LSP ever disclosing its proprietary model.</w:t>
      </w:r>
    </w:p>
    <w:p>
      <w:pPr>
        <w:pStyle w:val="Heading3"/>
        <w:keepNext/>
        <w:spacing w:after="80" w:before="200"/>
      </w:pPr>
      <w:r>
        <w:rPr>
          <w:rFonts w:ascii="Calibri" w:cs="Calibri" w:eastAsia="Calibri" w:hAnsi="Calibri"/>
          <w:b/>
          <w:bCs/>
          <w:color w:val="1F3A5F"/>
          <w:sz w:val="22"/>
          <w:szCs w:val="22"/>
        </w:rPr>
        <w:t xml:space="preserve">The problem in one paragraph</w:t>
      </w:r>
    </w:p>
    <w:p>
      <w:pPr>
        <w:spacing w:after="120" w:line="276"/>
      </w:pPr>
      <w:r>
        <w:rPr>
          <w:rFonts w:ascii="Calibri" w:cs="Calibri" w:eastAsia="Calibri" w:hAnsi="Calibri"/>
          <w:sz w:val="21"/>
          <w:szCs w:val="21"/>
        </w:rPr>
        <w:t xml:space="preserve">Under RBI's Digital Lending framework, the lender stays accountable for outcomes even when an LSP runs the borrower journey and the underwriting model. Yet the lender usually cannot inspect that model, because it is the LSP's trade secret. Today the lender relies on contractual representations, documentation and periodic sampled audits. None of these can detect a silent model swap, a drifted threshold, or an unapproved feature between audits. The lender carries liability for a system it cannot see.</w:t>
      </w:r>
    </w:p>
    <w:p>
      <w:pPr>
        <w:pStyle w:val="Heading3"/>
        <w:keepNext/>
        <w:spacing w:after="80" w:before="200"/>
      </w:pPr>
      <w:r>
        <w:rPr>
          <w:rFonts w:ascii="Calibri" w:cs="Calibri" w:eastAsia="Calibri" w:hAnsi="Calibri"/>
          <w:b/>
          <w:bCs/>
          <w:color w:val="1F3A5F"/>
          <w:sz w:val="22"/>
          <w:szCs w:val="22"/>
        </w:rPr>
        <w:t xml:space="preserve">The solution in one paragraph</w:t>
      </w:r>
    </w:p>
    <w:p>
      <w:pPr>
        <w:spacing w:after="120" w:line="276"/>
      </w:pPr>
      <w:r>
        <w:rPr>
          <w:rFonts w:ascii="Calibri" w:cs="Calibri" w:eastAsia="Calibri" w:hAnsi="Calibri"/>
          <w:sz w:val="21"/>
          <w:szCs w:val="21"/>
        </w:rPr>
        <w:t xml:space="preserve">The LSP runs a small prover sidecar inside its own environment. For each decision, the sidecar produces a zero-knowledge proof (ZKP) stating: "the model whose commitment is C, applied to the input whose commitment is X, produced this output, and the policy clauses agreed with the lender were satisfied." The lender's node verifies the proof in milliseconds and releases funds only if it passes ("no valid proof, no disbursal"). Weights, salts and raw features never leave the LSP boundary.</w:t>
      </w:r>
    </w:p>
    <w:p>
      <w:pPr>
        <w:pStyle w:val="Heading3"/>
        <w:keepNext/>
        <w:spacing w:after="80" w:before="200"/>
      </w:pPr>
      <w:r>
        <w:rPr>
          <w:rFonts w:ascii="Calibri" w:cs="Calibri" w:eastAsia="Calibri" w:hAnsi="Calibri"/>
          <w:b/>
          <w:bCs/>
          <w:color w:val="1F3A5F"/>
          <w:sz w:val="22"/>
          <w:szCs w:val="22"/>
        </w:rPr>
        <w:t xml:space="preserve">What makes it credible to practitioners</w:t>
      </w:r>
    </w:p>
    <w:p>
      <w:pPr>
        <w:pStyle w:val="ListParagraph"/>
        <w:numPr>
          <w:ilvl w:val="0"/>
          <w:numId w:val="2"/>
        </w:numPr>
        <w:spacing w:after="70" w:line="264"/>
      </w:pPr>
      <w:r>
        <w:rPr>
          <w:rFonts w:ascii="Calibri" w:cs="Calibri" w:eastAsia="Calibri" w:hAnsi="Calibri"/>
          <w:b/>
          <w:bCs/>
          <w:sz w:val="21"/>
          <w:szCs w:val="21"/>
        </w:rPr>
        <w:t xml:space="preserve">Neutral on policy.</w:t>
      </w:r>
      <w:r>
        <w:rPr>
          <w:rFonts w:ascii="Calibri" w:cs="Calibri" w:eastAsia="Calibri" w:hAnsi="Calibri"/>
          <w:sz w:val="21"/>
          <w:szCs w:val="21"/>
        </w:rPr>
        <w:t xml:space="preserve"> We do not decide what is fair or what the cut-off should be. The lender and LSP decide; we make whatever they sign enforceable and verifiable on every decision.</w:t>
      </w:r>
    </w:p>
    <w:p>
      <w:pPr>
        <w:pStyle w:val="ListParagraph"/>
        <w:numPr>
          <w:ilvl w:val="0"/>
          <w:numId w:val="2"/>
        </w:numPr>
        <w:spacing w:after="70" w:line="264"/>
      </w:pPr>
      <w:r>
        <w:rPr>
          <w:rFonts w:ascii="Calibri" w:cs="Calibri" w:eastAsia="Calibri" w:hAnsi="Calibri"/>
          <w:b/>
          <w:bCs/>
          <w:sz w:val="21"/>
          <w:szCs w:val="21"/>
        </w:rPr>
        <w:t xml:space="preserve">Honest scope.</w:t>
      </w:r>
      <w:r>
        <w:rPr>
          <w:rFonts w:ascii="Calibri" w:cs="Calibri" w:eastAsia="Calibri" w:hAnsi="Calibri"/>
          <w:sz w:val="21"/>
          <w:szCs w:val="21"/>
        </w:rPr>
        <w:t xml:space="preserve"> A proof shows the agreed model ran correctly on committed inputs. It does not show the model is good, unbiased, or that a human did not override the outcome. These limits are stated in Section 4.5 and Section 13.</w:t>
      </w:r>
    </w:p>
    <w:p>
      <w:pPr>
        <w:pStyle w:val="ListParagraph"/>
        <w:numPr>
          <w:ilvl w:val="0"/>
          <w:numId w:val="2"/>
        </w:numPr>
        <w:spacing w:after="70" w:line="264"/>
      </w:pPr>
      <w:r>
        <w:rPr>
          <w:rFonts w:ascii="Calibri" w:cs="Calibri" w:eastAsia="Calibri" w:hAnsi="Calibri"/>
          <w:b/>
          <w:bCs/>
          <w:sz w:val="21"/>
          <w:szCs w:val="21"/>
        </w:rPr>
        <w:t xml:space="preserve">Not in the data path.</w:t>
      </w:r>
      <w:r>
        <w:rPr>
          <w:rFonts w:ascii="Calibri" w:cs="Calibri" w:eastAsia="Calibri" w:hAnsi="Calibri"/>
          <w:sz w:val="21"/>
          <w:szCs w:val="21"/>
        </w:rPr>
        <w:t xml:space="preserve"> LendProof never holds weights or raw borrower data, which keeps it a low-risk vendor under outsourcing due diligence and data protection regimes.</w:t>
      </w:r>
    </w:p>
    <w:p>
      <w:pPr>
        <w:pStyle w:val="ListParagraph"/>
        <w:numPr>
          <w:ilvl w:val="0"/>
          <w:numId w:val="2"/>
        </w:numPr>
        <w:spacing w:after="70" w:line="264"/>
      </w:pPr>
      <w:r>
        <w:rPr>
          <w:rFonts w:ascii="Calibri" w:cs="Calibri" w:eastAsia="Calibri" w:hAnsi="Calibri"/>
          <w:b/>
          <w:bCs/>
          <w:sz w:val="21"/>
          <w:szCs w:val="21"/>
        </w:rPr>
        <w:t xml:space="preserve">Deployable.</w:t>
      </w:r>
      <w:r>
        <w:rPr>
          <w:rFonts w:ascii="Calibri" w:cs="Calibri" w:eastAsia="Calibri" w:hAnsi="Calibri"/>
          <w:sz w:val="21"/>
          <w:szCs w:val="21"/>
        </w:rPr>
        <w:t xml:space="preserve"> Prover sidecar at the LSP, a single "Lender Node" container at the lender (hosted by us or by them), asynchronous proving gated at disbursal so borrower UX is unaffected.</w:t>
      </w:r>
    </w:p>
    <w:p>
      <w:pPr>
        <w:pStyle w:val="Heading3"/>
        <w:keepNext/>
        <w:spacing w:after="80" w:before="200"/>
      </w:pPr>
      <w:r>
        <w:rPr>
          <w:rFonts w:ascii="Calibri" w:cs="Calibri" w:eastAsia="Calibri" w:hAnsi="Calibri"/>
          <w:b/>
          <w:bCs/>
          <w:color w:val="1F3A5F"/>
          <w:sz w:val="22"/>
          <w:szCs w:val="22"/>
        </w:rPr>
        <w:t xml:space="preserve">Hackathon deliverable</w:t>
      </w:r>
    </w:p>
    <w:p>
      <w:pPr>
        <w:spacing w:after="120" w:line="276"/>
      </w:pPr>
      <w:r>
        <w:rPr>
          <w:rFonts w:ascii="Calibri" w:cs="Calibri" w:eastAsia="Calibri" w:hAnsi="Calibri"/>
          <w:sz w:val="21"/>
          <w:szCs w:val="21"/>
        </w:rPr>
        <w:t xml:space="preserve">A working end-to-end prototype: a trained credit model (scorecard tier and a small gradient-boosted tree tier), a compiled circuit, an LSP prover sidecar, a Lender Node with verifier, registry, ledger, disbursal gate and dashboard, and a live tamper demonstration in which a model swap, threshold change, input alteration and replayed proof each fail verification while the honest flow passes. Real measured numbers (proof time, proof size, verification time, cost per 1,000 decisions) are reported.</w:t>
      </w:r>
    </w:p>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2. Background: India's Digital Lending Ecosystem</w:t>
      </w:r>
    </w:p>
    <w:p>
      <w:pPr>
        <w:pStyle w:val="Heading2"/>
        <w:keepNext/>
        <w:spacing w:after="100" w:before="280"/>
      </w:pPr>
      <w:r>
        <w:rPr>
          <w:rFonts w:ascii="Calibri" w:cs="Calibri" w:eastAsia="Calibri" w:hAnsi="Calibri"/>
          <w:b/>
          <w:bCs/>
          <w:color w:val="1F7A8C"/>
          <w:sz w:val="26"/>
          <w:szCs w:val="26"/>
        </w:rPr>
        <w:t xml:space="preserve">2.1 Actors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Actor</w:t>
            </w:r>
          </w:p>
        </w:tc>
        <w:tc>
          <w:tcPr>
            <w:tcW w:type="dxa" w:w="4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Role</w:t>
            </w:r>
          </w:p>
        </w:tc>
        <w:tc>
          <w:tcPr>
            <w:tcW w:type="dxa" w:w="34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Relevance to this project</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Borrower</w:t>
            </w:r>
          </w:p>
        </w:tc>
        <w:tc>
          <w:tcPr>
            <w:tcW w:type="dxa" w:w="4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Individual or MSME applying for credit through an app or website.</w:t>
            </w:r>
          </w:p>
        </w:tc>
        <w:tc>
          <w:tcPr>
            <w:tcW w:type="dxa" w:w="3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Data principal under DPDP; ultimate beneficiary of dispute transparency.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Lending Service Provider (LSP)</w:t>
            </w:r>
          </w:p>
        </w:tc>
        <w:tc>
          <w:tcPr>
            <w:tcW w:type="dxa" w:w="4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Agent engaged by an RE to perform one or more digital lending functions such as customer acquisition, underwriting support, servicing, monitoring or recovery. Operates the borrower-facing Digital Lending App (DLA) in most cases.</w:t>
            </w:r>
          </w:p>
        </w:tc>
        <w:tc>
          <w:tcPr>
            <w:tcW w:type="dxa" w:w="3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Owns the underwriting model and its IP. Our prover runs inside the LSP.</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Regulated Entity (RE), the lender</w:t>
            </w:r>
          </w:p>
        </w:tc>
        <w:tc>
          <w:tcPr>
            <w:tcW w:type="dxa" w:w="4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Bank, NBFC, housing finance company or other RBI-regulated lender. Holds the loan on its books and disburses funds.</w:t>
            </w:r>
          </w:p>
        </w:tc>
        <w:tc>
          <w:tcPr>
            <w:tcW w:type="dxa" w:w="3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Our buyer. Carries regulatory accountability.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Account Aggregator (AA) ecosystem</w:t>
            </w:r>
          </w:p>
        </w:tc>
        <w:tc>
          <w:tcPr>
            <w:tcW w:type="dxa" w:w="4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RBI-regulated consent-based data-sharing network. Financial Information Providers release digitally signed data to Financial Information Users with borrower consent.</w:t>
            </w:r>
          </w:p>
        </w:tc>
        <w:tc>
          <w:tcPr>
            <w:tcW w:type="dxa" w:w="3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Source of signed income and bank-statement data for input binding.</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Credit bureaus</w:t>
            </w:r>
          </w:p>
        </w:tc>
        <w:tc>
          <w:tcPr>
            <w:tcW w:type="dxa" w:w="4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CIBIL, Experian, Equifax, CRIF High Mark. Provide credit reports and scores.</w:t>
            </w:r>
          </w:p>
        </w:tc>
        <w:tc>
          <w:tcPr>
            <w:tcW w:type="dxa" w:w="3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Source of signed bureau data; the lender often pulls these independently.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Other infrastructure</w:t>
            </w:r>
          </w:p>
        </w:tc>
        <w:tc>
          <w:tcPr>
            <w:tcW w:type="dxa" w:w="4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e-KYC / Aadhaar-based or other KYC, e-sign, e-NACH / UPI AutoPay mandates, payment rails.</w:t>
            </w:r>
          </w:p>
        </w:tc>
        <w:tc>
          <w:tcPr>
            <w:tcW w:type="dxa" w:w="3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Defines the natural time window in which asynchronous proving can finish before disbursal.</w:t>
            </w:r>
          </w:p>
        </w:tc>
      </w:tr>
    </w:tbl>
    <w:p>
      <w:pPr>
        <w:spacing w:after="120"/>
      </w:pPr>
    </w:p>
    <w:p>
      <w:pPr>
        <w:pStyle w:val="Heading2"/>
        <w:keepNext/>
        <w:spacing w:after="100" w:before="280"/>
      </w:pPr>
      <w:r>
        <w:rPr>
          <w:rFonts w:ascii="Calibri" w:cs="Calibri" w:eastAsia="Calibri" w:hAnsi="Calibri"/>
          <w:b/>
          <w:bCs/>
          <w:color w:val="1F7A8C"/>
          <w:sz w:val="26"/>
          <w:szCs w:val="26"/>
        </w:rPr>
        <w:t xml:space="preserve">2.2 Lifecycle of a digital loan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338"/>
      </w:tblGrid>
      <w:tr>
        <w:trPr>
          <w:tblHeader/>
        </w:trPr>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Step</w:t>
            </w:r>
          </w:p>
        </w:tc>
        <w:tc>
          <w:tcPr>
            <w:tcW w:type="dxa" w:w="5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What happens</w:t>
            </w:r>
          </w:p>
        </w:tc>
        <w:tc>
          <w:tcPr>
            <w:tcW w:type="dxa" w:w="23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Who runs it</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 Acquisition</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Borrower discovers and installs the DLA, shares basic details.</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2. Data collection</w:t>
            </w:r>
          </w:p>
        </w:tc>
        <w:tc>
          <w:tcPr>
            <w:tcW w:type="dxa" w:w="5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Consent-based collection of KYC, bureau, AA/bank-statement and device or alternative data.</w:t>
            </w:r>
          </w:p>
        </w:tc>
        <w:tc>
          <w:tcPr>
            <w:tcW w:type="dxa" w:w="2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 RE</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3. Underwriting</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An eligibility model (scorecard, gradient-boosted trees, or neural network) plus business rules produces approve / reject and often limit and price.</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(frequently), RE rules on top</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4. Offer</w:t>
            </w:r>
          </w:p>
        </w:tc>
        <w:tc>
          <w:tcPr>
            <w:tcW w:type="dxa" w:w="5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Key Fact Statement and offer displayed to borrower.</w:t>
            </w:r>
          </w:p>
        </w:tc>
        <w:tc>
          <w:tcPr>
            <w:tcW w:type="dxa" w:w="2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app, RE terms</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5. Onboarding</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e-sign, mandate registration, final KYC checks.</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 / LSP</w:t>
            </w:r>
          </w:p>
        </w:tc>
      </w:tr>
      <w:tr>
        <w:trPr>
          <w:cantSplit/>
        </w:trPr>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6. Disbursal</w:t>
            </w:r>
          </w:p>
        </w:tc>
        <w:tc>
          <w:tcPr>
            <w:tcW w:type="dxa" w:w="5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Funds move from the RE directly to the borrower's bank account. The Directions do not allow routing through LSP pass-through accounts.</w:t>
            </w:r>
          </w:p>
        </w:tc>
        <w:tc>
          <w:tcPr>
            <w:tcW w:type="dxa" w:w="2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7. Servicing and recovery</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Repayment, collections, grievance redressal.</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 with LSP support</w:t>
            </w:r>
          </w:p>
        </w:tc>
      </w:tr>
    </w:tbl>
    <w:p>
      <w:pPr>
        <w:spacing w:after="120"/>
      </w:pPr>
    </w:p>
    <w:p>
      <w:pPr>
        <w:spacing w:after="120" w:line="276"/>
      </w:pPr>
      <w:r>
        <w:rPr>
          <w:rFonts w:ascii="Calibri" w:cs="Calibri" w:eastAsia="Calibri" w:hAnsi="Calibri"/>
          <w:sz w:val="21"/>
          <w:szCs w:val="21"/>
        </w:rPr>
        <w:t xml:space="preserve">Step 3 is the blind spot this project addresses. Steps 5 and 6 are where we place the enforcement gate, because they already take minutes, which absorbs proving time without hurting the borrower journey.</w:t>
      </w:r>
    </w:p>
    <w:p>
      <w:pPr>
        <w:pStyle w:val="Heading2"/>
        <w:keepNext/>
        <w:spacing w:after="100" w:before="280"/>
      </w:pPr>
      <w:r>
        <w:rPr>
          <w:rFonts w:ascii="Calibri" w:cs="Calibri" w:eastAsia="Calibri" w:hAnsi="Calibri"/>
          <w:b/>
          <w:bCs/>
          <w:color w:val="1F7A8C"/>
          <w:sz w:val="26"/>
          <w:szCs w:val="26"/>
        </w:rPr>
        <w:t xml:space="preserve">2.3 AI and ML in underwriting</w:t>
      </w:r>
    </w:p>
    <w:p>
      <w:pPr>
        <w:pStyle w:val="ListParagraph"/>
        <w:numPr>
          <w:ilvl w:val="0"/>
          <w:numId w:val="2"/>
        </w:numPr>
        <w:spacing w:after="70" w:line="264"/>
      </w:pPr>
      <w:r>
        <w:rPr>
          <w:rFonts w:ascii="Calibri" w:cs="Calibri" w:eastAsia="Calibri" w:hAnsi="Calibri"/>
          <w:b/>
          <w:bCs/>
          <w:sz w:val="21"/>
          <w:szCs w:val="21"/>
        </w:rPr>
        <w:t xml:space="preserve">Scorecards</w:t>
      </w:r>
      <w:r>
        <w:rPr>
          <w:rFonts w:ascii="Calibri" w:cs="Calibri" w:eastAsia="Calibri" w:hAnsi="Calibri"/>
          <w:sz w:val="21"/>
          <w:szCs w:val="21"/>
        </w:rPr>
        <w:t xml:space="preserve"> (logistic regression with binned features and points) remain the backbone of regulated underwriting because they are explainable.</w:t>
      </w:r>
    </w:p>
    <w:p>
      <w:pPr>
        <w:pStyle w:val="ListParagraph"/>
        <w:numPr>
          <w:ilvl w:val="0"/>
          <w:numId w:val="2"/>
        </w:numPr>
        <w:spacing w:after="70" w:line="264"/>
      </w:pPr>
      <w:r>
        <w:rPr>
          <w:rFonts w:ascii="Calibri" w:cs="Calibri" w:eastAsia="Calibri" w:hAnsi="Calibri"/>
          <w:b/>
          <w:bCs/>
          <w:sz w:val="21"/>
          <w:szCs w:val="21"/>
        </w:rPr>
        <w:t xml:space="preserve">Gradient-boosted decision trees</w:t>
      </w:r>
      <w:r>
        <w:rPr>
          <w:rFonts w:ascii="Calibri" w:cs="Calibri" w:eastAsia="Calibri" w:hAnsi="Calibri"/>
          <w:sz w:val="21"/>
          <w:szCs w:val="21"/>
        </w:rPr>
        <w:t xml:space="preserve"> (XGBoost, LightGBM, CatBoost) dominate fintech LSP underwriting, especially for thin-file and new-to-credit borrowers using alternative data.</w:t>
      </w:r>
    </w:p>
    <w:p>
      <w:pPr>
        <w:pStyle w:val="ListParagraph"/>
        <w:numPr>
          <w:ilvl w:val="0"/>
          <w:numId w:val="2"/>
        </w:numPr>
        <w:spacing w:after="70" w:line="264"/>
      </w:pPr>
      <w:r>
        <w:rPr>
          <w:rFonts w:ascii="Calibri" w:cs="Calibri" w:eastAsia="Calibri" w:hAnsi="Calibri"/>
          <w:b/>
          <w:bCs/>
          <w:sz w:val="21"/>
          <w:szCs w:val="21"/>
        </w:rPr>
        <w:t xml:space="preserve">Neural networks</w:t>
      </w:r>
      <w:r>
        <w:rPr>
          <w:rFonts w:ascii="Calibri" w:cs="Calibri" w:eastAsia="Calibri" w:hAnsi="Calibri"/>
          <w:sz w:val="21"/>
          <w:szCs w:val="21"/>
        </w:rPr>
        <w:t xml:space="preserve"> are used selectively, mostly for fraud, document and behavioural signals rather than the final eligibility decision.</w:t>
      </w:r>
    </w:p>
    <w:p>
      <w:pPr>
        <w:spacing w:after="120" w:line="276"/>
      </w:pPr>
      <w:r>
        <w:rPr>
          <w:rFonts w:ascii="Calibri" w:cs="Calibri" w:eastAsia="Calibri" w:hAnsi="Calibri"/>
          <w:sz w:val="21"/>
          <w:szCs w:val="21"/>
        </w:rPr>
        <w:t xml:space="preserve">The model is typically trained and hosted by the LSP, versioned frequently, and treated as core intellectual property. The lender sees outputs (approve or reject, sometimes a score), not the logic.</w:t>
      </w:r>
    </w:p>
    <w:p>
      <w:pPr>
        <w:pStyle w:val="Heading2"/>
        <w:keepNext/>
        <w:spacing w:after="100" w:before="280"/>
      </w:pPr>
      <w:r>
        <w:rPr>
          <w:rFonts w:ascii="Calibri" w:cs="Calibri" w:eastAsia="Calibri" w:hAnsi="Calibri"/>
          <w:b/>
          <w:bCs/>
          <w:color w:val="1F7A8C"/>
          <w:sz w:val="26"/>
          <w:szCs w:val="26"/>
        </w:rPr>
        <w:t xml:space="preserve">2.4 Regulatory and policy landscape</w:t>
      </w:r>
    </w:p>
    <w:p>
      <w:pPr>
        <w:spacing w:after="120" w:line="276"/>
      </w:pPr>
      <w:r>
        <w:rPr>
          <w:rFonts w:ascii="Calibri" w:cs="Calibri" w:eastAsia="Calibri" w:hAnsi="Calibri"/>
          <w:sz w:val="21"/>
          <w:szCs w:val="21"/>
        </w:rPr>
        <w:t xml:space="preserve">The table separates what was verified directly against sources during research from items that are well known but must be re-verified against the primary text before being cited on stage. </w:t>
      </w:r>
      <w:r>
        <w:rPr>
          <w:rFonts w:ascii="Calibri" w:cs="Calibri" w:eastAsia="Calibri" w:hAnsi="Calibri"/>
          <w:b/>
          <w:bCs/>
          <w:sz w:val="21"/>
          <w:szCs w:val="21"/>
        </w:rPr>
        <w:t xml:space="preserve">Do not quote paragraph numbers in the pitch unless you have read them in the RBI PDF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2138"/>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Instrument</w:t>
            </w:r>
          </w:p>
        </w:tc>
        <w:tc>
          <w:tcPr>
            <w:tcW w:type="dxa" w:w="5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Key facts relevant here</w:t>
            </w:r>
          </w:p>
        </w:tc>
        <w:tc>
          <w:tcPr>
            <w:tcW w:type="dxa" w:w="21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Status of our verification</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RBI (Digital Lending) Directions, 2025</w:t>
            </w:r>
          </w:p>
          <w:p>
            <w:pPr>
              <w:spacing w:after="30" w:line="250"/>
            </w:pPr>
            <w:r>
              <w:rPr>
                <w:rFonts w:ascii="Calibri" w:cs="Calibri" w:eastAsia="Calibri" w:hAnsi="Calibri"/>
                <w:b/>
                <w:bCs/>
                <w:sz w:val="18"/>
                <w:szCs w:val="18"/>
              </w:rPr>
              <w:t xml:space="preserve">RBI/2025-26/36, 8 May 2025</w:t>
            </w:r>
          </w:p>
        </w:tc>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Consolidates and repeals the 2022 Digital Lending Guidelines and the 2023 DLG Guidelines. Applies to all digital lending by REs. Lending through an LSP must run under a contractual agreement that clearly defines the respective roles, rights and obligations of RE and LSP. REs must conduct enhanced due diligence on LSPs including technical capability and data practices. Outsourcing does not absolve the RE of responsibility for borrower outcomes; ultimate responsibility for grievance redressal remains with the RE. Para 6 (LSPs with multiple REs) effective 1 Nov 2025; para 17 (DLA reporting via CIMS) effective 15 June 2025.</w:t>
            </w:r>
          </w:p>
        </w:tc>
        <w:tc>
          <w:tcPr>
            <w:tcW w:type="dxa" w:w="2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Verified against secondary legal summaries and the RBI circular index entry. Re-read the RBI PDF for exact paragraph numbers.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Working Group on Digital Lending recommendations (RBI press release, Aug 2022)</w:t>
            </w:r>
          </w:p>
        </w:tc>
        <w:tc>
          <w:tcPr>
            <w:tcW w:type="dxa" w:w="5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Recommended that REs ensure underwriting algorithms are based on extensive, accurate and diverse data, and that the algorithm is auditable to identify minimum underwriting standards and potential discrimination factors.</w:t>
            </w:r>
          </w:p>
        </w:tc>
        <w:tc>
          <w:tcPr>
            <w:tcW w:type="dxa" w:w="2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Verified through secondary sources. This is a recommendation-stage document, not a standalone binding clause. Phrase carefully.</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RBI FREE-AI Framework report, 13 Aug 2025</w:t>
            </w:r>
          </w:p>
        </w:tc>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Committee chaired by Prof. Pushpak Bhattacharyya. Seven "Sutras", six pillars, 26 recommendations. Includes board-approved AI policy, model governance across the AI lifecycle (documentation, validation, monitoring), AI audit aligned to risk categorisation, AI-specific contractual safeguards for third-party AI, and AI-specific cyber risks such as model poisoning and adversarial attacks.</w:t>
            </w:r>
          </w:p>
        </w:tc>
        <w:tc>
          <w:tcPr>
            <w:tcW w:type="dxa" w:w="2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Verified. It is a framework with recommendations, not a binding Master Direction. Say "RBI's FREE-AI framework recommends", not "mandates".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DPDP Act 2023 and DPDP Rules 2025</w:t>
            </w:r>
          </w:p>
        </w:tc>
        <w:tc>
          <w:tcPr>
            <w:tcW w:type="dxa" w:w="5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Rules notified mid-November 2025 (sources differ between 13 and 14 Nov). Phased over 18 months; the substantive data-fiduciary obligations take effect around May 2027. Data Fiduciaries must ensure processors comply via contract.</w:t>
            </w:r>
          </w:p>
        </w:tc>
        <w:tc>
          <w:tcPr>
            <w:tcW w:type="dxa" w:w="2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Verified at a summary level. Confirm the exact commencement dates before presenting.</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RBI outsourcing and IT-outsourcing directions</w:t>
            </w:r>
          </w:p>
        </w:tc>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 remains responsible for outsourced activities; vendor due diligence expected. FREE-AI also leans on these for third-party AI.</w:t>
            </w:r>
          </w:p>
        </w:tc>
        <w:tc>
          <w:tcPr>
            <w:tcW w:type="dxa" w:w="2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Known from domain knowledge; not re-verified in this research pass. Verify before citing.</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Account Aggregator framework (NBFC-AA Master Direction, ReBIT specs)</w:t>
            </w:r>
          </w:p>
        </w:tc>
        <w:tc>
          <w:tcPr>
            <w:tcW w:type="dxa" w:w="5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Consent-based, digitally signed financial data exchange.</w:t>
            </w:r>
          </w:p>
        </w:tc>
        <w:tc>
          <w:tcPr>
            <w:tcW w:type="dxa" w:w="2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Known from domain knowledge. Verify signature format details before engineering the input-binding module.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18D" w:sz="24"/>
              <w:bottom w:val="none" w:color="FFFFFF" w:sz="0"/>
              <w:right w:val="none" w:color="FFFFFF" w:sz="0"/>
            </w:tcBorders>
            <w:shd w:fill="EAF2F8" w:color="auto" w:val="clear"/>
            <w:tcMar>
              <w:top w:type="dxa" w:w="100"/>
              <w:left w:type="dxa" w:w="160"/>
              <w:bottom w:type="dxa" w:w="100"/>
              <w:right w:type="dxa" w:w="140"/>
            </w:tcMar>
          </w:tcPr>
          <w:p>
            <w:pPr>
              <w:spacing w:after="50"/>
            </w:pPr>
            <w:r>
              <w:rPr>
                <w:rFonts w:ascii="Calibri" w:cs="Calibri" w:eastAsia="Calibri" w:hAnsi="Calibri"/>
                <w:b/>
                <w:bCs/>
                <w:color w:val="1F618D"/>
                <w:sz w:val="20"/>
                <w:szCs w:val="20"/>
              </w:rPr>
              <w:t xml:space="preserve">Important nuance for the pitch</w:t>
            </w:r>
          </w:p>
          <w:p>
            <w:pPr>
              <w:spacing w:after="50" w:line="256"/>
            </w:pPr>
            <w:r>
              <w:rPr>
                <w:rFonts w:ascii="Calibri" w:cs="Calibri" w:eastAsia="Calibri" w:hAnsi="Calibri"/>
                <w:sz w:val="19"/>
                <w:szCs w:val="19"/>
              </w:rPr>
              <w:t xml:space="preserve">At least one legal commentary notes that the 2025 Directions do not specifically regulate AI/ML credit models. That is useful to you: it means the practical lever is the </w:t>
            </w:r>
            <w:r>
              <w:rPr>
                <w:rFonts w:ascii="Calibri" w:cs="Calibri" w:eastAsia="Calibri" w:hAnsi="Calibri"/>
                <w:b/>
                <w:bCs/>
                <w:sz w:val="19"/>
                <w:szCs w:val="19"/>
              </w:rPr>
              <w:t xml:space="preserve">contract between RE and LSP</w:t>
            </w:r>
            <w:r>
              <w:rPr>
                <w:rFonts w:ascii="Calibri" w:cs="Calibri" w:eastAsia="Calibri" w:hAnsi="Calibri"/>
                <w:sz w:val="19"/>
                <w:szCs w:val="19"/>
              </w:rPr>
              <w:t xml:space="preserve"> plus the RE's own board-level AI governance (FREE-AI). LendProof is positioned precisely there: it makes contractual and governance commitments machine-verifiable.</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3. Problem Statement</w:t>
      </w:r>
    </w:p>
    <w:p>
      <w:pPr>
        <w:pStyle w:val="Heading2"/>
        <w:keepNext/>
        <w:spacing w:after="100" w:before="280"/>
      </w:pPr>
      <w:r>
        <w:rPr>
          <w:rFonts w:ascii="Calibri" w:cs="Calibri" w:eastAsia="Calibri" w:hAnsi="Calibri"/>
          <w:b/>
          <w:bCs/>
          <w:color w:val="1F7A8C"/>
          <w:sz w:val="26"/>
          <w:szCs w:val="26"/>
        </w:rPr>
        <w:t xml:space="preserve">3.1 The accountability asymmetry</w:t>
      </w:r>
    </w:p>
    <w:p>
      <w:pPr>
        <w:spacing w:after="120" w:line="276"/>
      </w:pPr>
      <w:r>
        <w:rPr>
          <w:rFonts w:ascii="Calibri" w:cs="Calibri" w:eastAsia="Calibri" w:hAnsi="Calibri"/>
          <w:sz w:val="21"/>
          <w:szCs w:val="21"/>
        </w:rPr>
        <w:t xml:space="preserve">The RE is accountable to the regulator and the borrower. The LSP controls the model. The model is confidential. This produces an asymmetry: </w:t>
      </w:r>
      <w:r>
        <w:rPr>
          <w:rFonts w:ascii="Calibri" w:cs="Calibri" w:eastAsia="Calibri" w:hAnsi="Calibri"/>
          <w:b/>
          <w:bCs/>
          <w:sz w:val="21"/>
          <w:szCs w:val="21"/>
        </w:rPr>
        <w:t xml:space="preserve">liability sits where visibility is absent.</w:t>
      </w:r>
      <w:r>
        <w:rPr>
          <w:rFonts w:ascii="Calibri" w:cs="Calibri" w:eastAsia="Calibri" w:hAnsi="Calibri"/>
          <w:sz w:val="21"/>
          <w:szCs w:val="21"/>
        </w:rPr>
        <w:t xml:space="preserve"> Every other control the lender uses (KYC checks, mandate checks, repayment monitoring) is visible to it. The underwriting decision, which determines credit risk and conduct risk, is the exception.</w:t>
      </w:r>
    </w:p>
    <w:p>
      <w:pPr>
        <w:pStyle w:val="Heading2"/>
        <w:keepNext/>
        <w:spacing w:after="100" w:before="280"/>
      </w:pPr>
      <w:r>
        <w:rPr>
          <w:rFonts w:ascii="Calibri" w:cs="Calibri" w:eastAsia="Calibri" w:hAnsi="Calibri"/>
          <w:b/>
          <w:bCs/>
          <w:color w:val="1F7A8C"/>
          <w:sz w:val="26"/>
          <w:szCs w:val="26"/>
        </w:rPr>
        <w:t xml:space="preserve">3.2 What the lender cannot see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Blind spot</w:t>
            </w:r>
          </w:p>
        </w:tc>
        <w:tc>
          <w:tcPr>
            <w:tcW w:type="dxa" w:w="6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Why it matters</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Which model version made a decision</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An LSP may retrain or swap models for conversion or cost reasons without notifying the lender. Risk appetite approved at onboarding silently stops applying.</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What cut-off or decision rules were applied</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lowered cut-off increases approvals and defaults. The lender sees approvals, not the threshold that produced them.</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Which features the model used</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Introduction of unapproved or prohibited attributes (or proxies for them) creates conduct and reputational exposure.</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Whether inputs were genuine</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Fabricated or modified inputs can push applicants over the cut-off.</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Whether the decision matched the agreed policy</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Hard rules such as maximum FOIR, minimum bureau score, ticket-size caps by tier may be bypassed in the LSP layer.</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Whether evidence exists after the fact</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 a dispute, audit or inspection, the lender needs reproducible evidence per decision, not a general assurance letter.</w:t>
            </w:r>
          </w:p>
        </w:tc>
      </w:tr>
    </w:tbl>
    <w:p>
      <w:pPr>
        <w:spacing w:after="120"/>
      </w:pPr>
    </w:p>
    <w:p>
      <w:pPr>
        <w:pStyle w:val="Heading2"/>
        <w:keepNext/>
        <w:spacing w:after="100" w:before="280"/>
      </w:pPr>
      <w:r>
        <w:rPr>
          <w:rFonts w:ascii="Calibri" w:cs="Calibri" w:eastAsia="Calibri" w:hAnsi="Calibri"/>
          <w:b/>
          <w:bCs/>
          <w:color w:val="1F7A8C"/>
          <w:sz w:val="26"/>
          <w:szCs w:val="26"/>
        </w:rPr>
        <w:t xml:space="preserve">3.3 Concrete failure scenarios</w:t>
      </w:r>
    </w:p>
    <w:p>
      <w:pPr>
        <w:pStyle w:val="ListParagraph"/>
        <w:numPr>
          <w:ilvl w:val="0"/>
          <w:numId w:val="2"/>
        </w:numPr>
        <w:spacing w:after="70" w:line="264"/>
      </w:pPr>
      <w:r>
        <w:rPr>
          <w:rFonts w:ascii="Calibri" w:cs="Calibri" w:eastAsia="Calibri" w:hAnsi="Calibri"/>
          <w:b/>
          <w:bCs/>
          <w:sz w:val="21"/>
          <w:szCs w:val="21"/>
        </w:rPr>
        <w:t xml:space="preserve">Silent model swap.</w:t>
      </w:r>
      <w:r>
        <w:rPr>
          <w:rFonts w:ascii="Calibri" w:cs="Calibri" w:eastAsia="Calibri" w:hAnsi="Calibri"/>
          <w:sz w:val="21"/>
          <w:szCs w:val="21"/>
        </w:rPr>
        <w:t xml:space="preserve"> LSP deploys model v4 trained on a different population. Default rates diverge months later; the lender cannot establish when the change occurred.</w:t>
      </w:r>
    </w:p>
    <w:p>
      <w:pPr>
        <w:pStyle w:val="ListParagraph"/>
        <w:numPr>
          <w:ilvl w:val="0"/>
          <w:numId w:val="2"/>
        </w:numPr>
        <w:spacing w:after="70" w:line="264"/>
      </w:pPr>
      <w:r>
        <w:rPr>
          <w:rFonts w:ascii="Calibri" w:cs="Calibri" w:eastAsia="Calibri" w:hAnsi="Calibri"/>
          <w:b/>
          <w:bCs/>
          <w:sz w:val="21"/>
          <w:szCs w:val="21"/>
        </w:rPr>
        <w:t xml:space="preserve">Threshold creep.</w:t>
      </w:r>
      <w:r>
        <w:rPr>
          <w:rFonts w:ascii="Calibri" w:cs="Calibri" w:eastAsia="Calibri" w:hAnsi="Calibri"/>
          <w:sz w:val="21"/>
          <w:szCs w:val="21"/>
        </w:rPr>
        <w:t xml:space="preserve"> To hit growth targets, the LSP lowers the approval cut-off by a few points. Each approval looks normal in isolation.</w:t>
      </w:r>
    </w:p>
    <w:p>
      <w:pPr>
        <w:pStyle w:val="ListParagraph"/>
        <w:numPr>
          <w:ilvl w:val="0"/>
          <w:numId w:val="2"/>
        </w:numPr>
        <w:spacing w:after="70" w:line="264"/>
      </w:pPr>
      <w:r>
        <w:rPr>
          <w:rFonts w:ascii="Calibri" w:cs="Calibri" w:eastAsia="Calibri" w:hAnsi="Calibri"/>
          <w:b/>
          <w:bCs/>
          <w:sz w:val="21"/>
          <w:szCs w:val="21"/>
        </w:rPr>
        <w:t xml:space="preserve">Feature creep.</w:t>
      </w:r>
      <w:r>
        <w:rPr>
          <w:rFonts w:ascii="Calibri" w:cs="Calibri" w:eastAsia="Calibri" w:hAnsi="Calibri"/>
          <w:sz w:val="21"/>
          <w:szCs w:val="21"/>
        </w:rPr>
        <w:t xml:space="preserve"> A new alternative-data feature (for example a device or location signal) is added without lender sign-off.</w:t>
      </w:r>
    </w:p>
    <w:p>
      <w:pPr>
        <w:pStyle w:val="ListParagraph"/>
        <w:numPr>
          <w:ilvl w:val="0"/>
          <w:numId w:val="2"/>
        </w:numPr>
        <w:spacing w:after="70" w:line="264"/>
      </w:pPr>
      <w:r>
        <w:rPr>
          <w:rFonts w:ascii="Calibri" w:cs="Calibri" w:eastAsia="Calibri" w:hAnsi="Calibri"/>
          <w:b/>
          <w:bCs/>
          <w:sz w:val="21"/>
          <w:szCs w:val="21"/>
        </w:rPr>
        <w:t xml:space="preserve">Input manipulation.</w:t>
      </w:r>
      <w:r>
        <w:rPr>
          <w:rFonts w:ascii="Calibri" w:cs="Calibri" w:eastAsia="Calibri" w:hAnsi="Calibri"/>
          <w:sz w:val="21"/>
          <w:szCs w:val="21"/>
        </w:rPr>
        <w:t xml:space="preserve"> An agent or the app inflates reported income to push an application over the line.</w:t>
      </w:r>
    </w:p>
    <w:p>
      <w:pPr>
        <w:pStyle w:val="ListParagraph"/>
        <w:numPr>
          <w:ilvl w:val="0"/>
          <w:numId w:val="2"/>
        </w:numPr>
        <w:spacing w:after="70" w:line="264"/>
      </w:pPr>
      <w:r>
        <w:rPr>
          <w:rFonts w:ascii="Calibri" w:cs="Calibri" w:eastAsia="Calibri" w:hAnsi="Calibri"/>
          <w:b/>
          <w:bCs/>
          <w:sz w:val="21"/>
          <w:szCs w:val="21"/>
        </w:rPr>
        <w:t xml:space="preserve">Multi-lender model reuse.</w:t>
      </w:r>
      <w:r>
        <w:rPr>
          <w:rFonts w:ascii="Calibri" w:cs="Calibri" w:eastAsia="Calibri" w:hAnsi="Calibri"/>
          <w:sz w:val="21"/>
          <w:szCs w:val="21"/>
        </w:rPr>
        <w:t xml:space="preserve"> One LSP uses a single model across several REs, each of which believes a bespoke, approved model is applied. Para 6 of the 2025 Directions (multi-RE LSPs) increases scrutiny here.</w:t>
      </w:r>
    </w:p>
    <w:p>
      <w:pPr>
        <w:pStyle w:val="ListParagraph"/>
        <w:numPr>
          <w:ilvl w:val="0"/>
          <w:numId w:val="2"/>
        </w:numPr>
        <w:spacing w:after="70" w:line="264"/>
      </w:pPr>
      <w:r>
        <w:rPr>
          <w:rFonts w:ascii="Calibri" w:cs="Calibri" w:eastAsia="Calibri" w:hAnsi="Calibri"/>
          <w:b/>
          <w:bCs/>
          <w:sz w:val="21"/>
          <w:szCs w:val="21"/>
        </w:rPr>
        <w:t xml:space="preserve">Audit-time scramble.</w:t>
      </w:r>
      <w:r>
        <w:rPr>
          <w:rFonts w:ascii="Calibri" w:cs="Calibri" w:eastAsia="Calibri" w:hAnsi="Calibri"/>
          <w:sz w:val="21"/>
          <w:szCs w:val="21"/>
        </w:rPr>
        <w:t xml:space="preserve"> During an RBI inspection or internal audit the lender can show contracts but not decision-level evidence.</w:t>
      </w:r>
    </w:p>
    <w:p>
      <w:pPr>
        <w:pStyle w:val="Heading2"/>
        <w:keepNext/>
        <w:spacing w:after="100" w:before="280"/>
      </w:pPr>
      <w:r>
        <w:rPr>
          <w:rFonts w:ascii="Calibri" w:cs="Calibri" w:eastAsia="Calibri" w:hAnsi="Calibri"/>
          <w:b/>
          <w:bCs/>
          <w:color w:val="1F7A8C"/>
          <w:sz w:val="26"/>
          <w:szCs w:val="26"/>
        </w:rPr>
        <w:t xml:space="preserve">3.4 How the problem is handled today, and where each approach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Existing approach</w:t>
            </w:r>
          </w:p>
        </w:tc>
        <w:tc>
          <w:tcPr>
            <w:tcW w:type="dxa" w:w="3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How it works</w:t>
            </w:r>
          </w:p>
        </w:tc>
        <w:tc>
          <w:tcPr>
            <w:tcW w:type="dxa" w:w="4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Hole</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Contractual representations and warranties</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promises in the agreement to use the approved model and policy.</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Unverifiable at decision time. Remedy arrives only after loss or finding.</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Periodic or sampled audit</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or third party reviews documentation, samples decisions, replays them offline.</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Point-in-time and sampled. Cannot detect a swap between audits. Requires model access or LSP cooperation, which is where trade-secret resistance appears.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documentation and validation reports</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shares model cards, performance, validation.</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Describes the model that was validated, not the model running in production on a given day.</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escrow or sharing weights with the lender</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holds the model or reviews it directly.</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LSPs refuse (IP leakage, competitive risk, multi-lender conflicts). Even with escrow, production can diverge from the escrowed copy.</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Black-box testing and shadow scoring</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sends test applications or compares outcomes statistically.</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Detects only gross drift. Cannot attribute a specific decision to a specific model and policy.</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Lender-side rule engine on top of LSP score</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enforces simple hard rules after the LSP's score arrives.</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Cannot see how the score was produced. Rules cover only what the lender can observe.</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Trusted execution environment (TEE) based attestation</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 runs in a hardware enclave that attests to code identity.</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Valid and faster, but trust rests on a hardware vendor, side-channel risk exists, requires enclave infrastructure, and attestations are less easily verified by third parties without vendor services.</w:t>
            </w:r>
          </w:p>
        </w:tc>
      </w:tr>
    </w:tbl>
    <w:p>
      <w:pPr>
        <w:spacing w:after="120"/>
      </w:pPr>
    </w:p>
    <w:p>
      <w:pPr>
        <w:pStyle w:val="Heading2"/>
        <w:keepNext/>
        <w:spacing w:after="100" w:before="280"/>
      </w:pPr>
      <w:r>
        <w:rPr>
          <w:rFonts w:ascii="Calibri" w:cs="Calibri" w:eastAsia="Calibri" w:hAnsi="Calibri"/>
          <w:b/>
          <w:bCs/>
          <w:color w:val="1F7A8C"/>
          <w:sz w:val="26"/>
          <w:szCs w:val="26"/>
        </w:rPr>
        <w:t xml:space="preserve">3.5 Why now</w:t>
      </w:r>
    </w:p>
    <w:p>
      <w:pPr>
        <w:pStyle w:val="ListParagraph"/>
        <w:numPr>
          <w:ilvl w:val="0"/>
          <w:numId w:val="2"/>
        </w:numPr>
        <w:spacing w:after="70" w:line="264"/>
      </w:pPr>
      <w:r>
        <w:rPr>
          <w:rFonts w:ascii="Calibri" w:cs="Calibri" w:eastAsia="Calibri" w:hAnsi="Calibri"/>
          <w:sz w:val="21"/>
          <w:szCs w:val="21"/>
        </w:rPr>
        <w:t xml:space="preserve">RBI has consolidated digital lending rules, tightened RE responsibility for LSP conduct and added multi-RE LSP provisions.</w:t>
      </w:r>
    </w:p>
    <w:p>
      <w:pPr>
        <w:pStyle w:val="ListParagraph"/>
        <w:numPr>
          <w:ilvl w:val="0"/>
          <w:numId w:val="2"/>
        </w:numPr>
        <w:spacing w:after="70" w:line="264"/>
      </w:pPr>
      <w:r>
        <w:rPr>
          <w:rFonts w:ascii="Calibri" w:cs="Calibri" w:eastAsia="Calibri" w:hAnsi="Calibri"/>
          <w:sz w:val="21"/>
          <w:szCs w:val="21"/>
        </w:rPr>
        <w:t xml:space="preserve">RBI's FREE-AI report pushes REs towards board-approved AI policies, lifecycle model governance, audits and contractual safeguards for third-party AI.</w:t>
      </w:r>
    </w:p>
    <w:p>
      <w:pPr>
        <w:pStyle w:val="ListParagraph"/>
        <w:numPr>
          <w:ilvl w:val="0"/>
          <w:numId w:val="2"/>
        </w:numPr>
        <w:spacing w:after="70" w:line="264"/>
      </w:pPr>
      <w:r>
        <w:rPr>
          <w:rFonts w:ascii="Calibri" w:cs="Calibri" w:eastAsia="Calibri" w:hAnsi="Calibri"/>
          <w:sz w:val="21"/>
          <w:szCs w:val="21"/>
        </w:rPr>
        <w:t xml:space="preserve">DPDP Rules are phasing in, so sharing raw borrower data or models with additional vendors becomes costlier for every party.</w:t>
      </w:r>
    </w:p>
    <w:p>
      <w:pPr>
        <w:pStyle w:val="ListParagraph"/>
        <w:numPr>
          <w:ilvl w:val="0"/>
          <w:numId w:val="2"/>
        </w:numPr>
        <w:spacing w:after="70" w:line="264"/>
      </w:pPr>
      <w:r>
        <w:rPr>
          <w:rFonts w:ascii="Calibri" w:cs="Calibri" w:eastAsia="Calibri" w:hAnsi="Calibri"/>
          <w:sz w:val="21"/>
          <w:szCs w:val="21"/>
        </w:rPr>
        <w:t xml:space="preserve">Zero-knowledge machine learning has matured enough that small tabular models can be proved in seconds on commodity hardware. Tree-ensemble-specific research is also emerging.</w:t>
      </w:r>
    </w:p>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4. Product Definition</w:t>
      </w:r>
    </w:p>
    <w:p>
      <w:pPr>
        <w:pStyle w:val="Heading2"/>
        <w:keepNext/>
        <w:spacing w:after="100" w:before="280"/>
      </w:pPr>
      <w:r>
        <w:rPr>
          <w:rFonts w:ascii="Calibri" w:cs="Calibri" w:eastAsia="Calibri" w:hAnsi="Calibri"/>
          <w:b/>
          <w:bCs/>
          <w:color w:val="1F7A8C"/>
          <w:sz w:val="26"/>
          <w:szCs w:val="26"/>
        </w:rPr>
        <w:t xml:space="preserve">4.1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449" w:sz="24"/>
              <w:bottom w:val="none" w:color="FFFFFF" w:sz="0"/>
              <w:right w:val="none" w:color="FFFFFF" w:sz="0"/>
            </w:tcBorders>
            <w:shd w:fill="E8F6F3" w:color="auto" w:val="clear"/>
            <w:tcMar>
              <w:top w:type="dxa" w:w="100"/>
              <w:left w:type="dxa" w:w="160"/>
              <w:bottom w:type="dxa" w:w="100"/>
              <w:right w:type="dxa" w:w="140"/>
            </w:tcMar>
          </w:tcPr>
          <w:p>
            <w:pPr>
              <w:spacing w:after="50"/>
            </w:pPr>
            <w:r>
              <w:rPr>
                <w:rFonts w:ascii="Calibri" w:cs="Calibri" w:eastAsia="Calibri" w:hAnsi="Calibri"/>
                <w:b/>
                <w:bCs/>
                <w:color w:val="1E8449"/>
                <w:sz w:val="20"/>
                <w:szCs w:val="20"/>
              </w:rPr>
              <w:t xml:space="preserve">Positioning statement</w:t>
            </w:r>
          </w:p>
          <w:p>
            <w:pPr>
              <w:spacing w:after="50" w:line="256"/>
            </w:pPr>
            <w:r>
              <w:rPr>
                <w:rFonts w:ascii="Calibri" w:cs="Calibri" w:eastAsia="Calibri" w:hAnsi="Calibri"/>
                <w:b/>
                <w:bCs/>
                <w:sz w:val="19"/>
                <w:szCs w:val="19"/>
              </w:rPr>
              <w:t xml:space="preserve">For banks and NBFCs that rely on LSPs for AI-based underwriting, LendProof is a contract-conformance assurance layer that proves, for every decision, that the agreed model and policy were applied, without revealing the model. Unlike audits, escrow or self-attestation, it gives continuous, decision-level, third-party-verifiable evidence while the LSP keeps its IP.</w:t>
            </w:r>
          </w:p>
        </w:tc>
      </w:tr>
    </w:tbl>
    <w:p>
      <w:pPr>
        <w:spacing w:after="120"/>
      </w:pPr>
    </w:p>
    <w:p>
      <w:pPr>
        <w:spacing w:after="120" w:line="276"/>
      </w:pPr>
      <w:r>
        <w:rPr>
          <w:rFonts w:ascii="Calibri" w:cs="Calibri" w:eastAsia="Calibri" w:hAnsi="Calibri"/>
          <w:sz w:val="21"/>
          <w:szCs w:val="21"/>
        </w:rPr>
        <w:t xml:space="preserve">The one-liner for the stage: </w:t>
      </w:r>
      <w:r>
        <w:rPr>
          <w:rFonts w:ascii="Calibri" w:cs="Calibri" w:eastAsia="Calibri" w:hAnsi="Calibri"/>
          <w:b/>
          <w:bCs/>
          <w:sz w:val="21"/>
          <w:szCs w:val="21"/>
        </w:rPr>
        <w:t xml:space="preserve">"Lenders can't audit what they can't see. We let them verify without seeing."</w:t>
      </w:r>
    </w:p>
    <w:p>
      <w:pPr>
        <w:pStyle w:val="Heading2"/>
        <w:keepNext/>
        <w:spacing w:after="100" w:before="280"/>
      </w:pPr>
      <w:r>
        <w:rPr>
          <w:rFonts w:ascii="Calibri" w:cs="Calibri" w:eastAsia="Calibri" w:hAnsi="Calibri"/>
          <w:b/>
          <w:bCs/>
          <w:color w:val="1F7A8C"/>
          <w:sz w:val="26"/>
          <w:szCs w:val="26"/>
        </w:rPr>
        <w:t xml:space="preserve">4.2 What LendProof is and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LendProof IS</w:t>
            </w:r>
          </w:p>
        </w:tc>
        <w:tc>
          <w:tcPr>
            <w:tcW w:type="dxa" w:w="481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LendProof IS NOT</w:t>
            </w:r>
          </w:p>
        </w:tc>
      </w:tr>
      <w:tr>
        <w:trPr>
          <w:cantSplit/>
        </w:trPr>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sz w:val="18"/>
                <w:szCs w:val="18"/>
              </w:rPr>
              <w:t xml:space="preserve">A verification layer that enforces what the lender and LSP agreed</w:t>
            </w:r>
          </w:p>
        </w:tc>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fairness auditor or a model validator. Policy content (cut-off, metrics, excluded features) is decided by the lender and LSP.</w:t>
            </w:r>
          </w:p>
        </w:tc>
      </w:tr>
      <w:tr>
        <w:trPr>
          <w:cantSplit/>
        </w:trPr>
        <w:tc>
          <w:tcPr>
            <w:tcW w:type="dxa" w:w="4819"/>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sz w:val="18"/>
                <w:szCs w:val="18"/>
              </w:rPr>
              <w:t xml:space="preserve">Decision-level, cryptographic evidence</w:t>
            </w:r>
          </w:p>
        </w:tc>
        <w:tc>
          <w:tcPr>
            <w:tcW w:type="dxa" w:w="4819"/>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guarantee that the model is accurate, profitable or unbiased</w:t>
            </w:r>
          </w:p>
        </w:tc>
      </w:tr>
      <w:tr>
        <w:trPr>
          <w:cantSplit/>
        </w:trPr>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sz w:val="18"/>
                <w:szCs w:val="18"/>
              </w:rPr>
              <w:t xml:space="preserve">Deployed at the LSP as a sidecar, with a lender-side node</w:t>
            </w:r>
          </w:p>
        </w:tc>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hosted scoring service. We never run the LSP's model and never hold its weights.</w:t>
            </w:r>
          </w:p>
        </w:tc>
      </w:tr>
      <w:tr>
        <w:trPr>
          <w:cantSplit/>
        </w:trPr>
        <w:tc>
          <w:tcPr>
            <w:tcW w:type="dxa" w:w="4819"/>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sz w:val="18"/>
                <w:szCs w:val="18"/>
              </w:rPr>
              <w:t xml:space="preserve">Comparable to other partner infrastructure (for example collection agencies or card partners) in commercial shape, but closer to RegTech and assurance in function</w:t>
            </w:r>
          </w:p>
        </w:tc>
        <w:tc>
          <w:tcPr>
            <w:tcW w:type="dxa" w:w="4819"/>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data processor of borrower personal data. We see commitments, proofs and verdicts only.</w:t>
            </w:r>
          </w:p>
        </w:tc>
      </w:tr>
    </w:tbl>
    <w:p>
      <w:pPr>
        <w:spacing w:after="120"/>
      </w:pPr>
    </w:p>
    <w:p>
      <w:pPr>
        <w:pStyle w:val="Heading2"/>
        <w:keepNext/>
        <w:spacing w:after="100" w:before="280"/>
      </w:pPr>
      <w:r>
        <w:rPr>
          <w:rFonts w:ascii="Calibri" w:cs="Calibri" w:eastAsia="Calibri" w:hAnsi="Calibri"/>
          <w:b/>
          <w:bCs/>
          <w:color w:val="1F7A8C"/>
          <w:sz w:val="26"/>
          <w:szCs w:val="26"/>
        </w:rPr>
        <w:t xml:space="preserve">4.3 Stakeholders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tblHeader/>
        </w:trPr>
        <w:tc>
          <w:tcPr>
            <w:tcW w:type="dxa" w:w="2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Persona</w:t>
            </w:r>
          </w:p>
        </w:tc>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Goal</w:t>
            </w:r>
          </w:p>
        </w:tc>
        <w:tc>
          <w:tcPr>
            <w:tcW w:type="dxa" w:w="4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What they need from LendProof</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Lender Chief Risk Officer / Head of Model Risk</w:t>
            </w:r>
          </w:p>
        </w:tc>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Reduce model risk and regulatory exposure from outsourced underwriting.</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Per-decision conformance evidence, dashboard of verified / failed / pending, alerts on any failed proof or anomaly.</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Lender Compliance and Internal Audit</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Defensible evidence for inspections.</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Immutable ledger, exportable evidence pack, policy version history.</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Lender IT / Digital Lending Ops</w:t>
            </w:r>
          </w:p>
        </w:tc>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Integrate with the LMS or LOS with minimal change.</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One status API call before disbursal; container deploy; clear runbooks.</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LSP CTO / ML lead</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Keep model IP; keep conversion; limit engineering effort.</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Sidecar with queue-based integration, outbound-only networking, no change to the decision path.</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LSP business head</w:t>
            </w:r>
          </w:p>
        </w:tc>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Win and keep lender partnerships.</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way to demonstrate trustworthiness to lenders without disclosure; faster lender onboarding.</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Borrower (secondary)</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Fair treatment and recourse.</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Optional decision receipt that shows the approved model and policy were applied. Not a core feature.</w:t>
            </w:r>
          </w:p>
        </w:tc>
      </w:tr>
    </w:tbl>
    <w:p>
      <w:pPr>
        <w:spacing w:after="120"/>
      </w:pPr>
    </w:p>
    <w:p>
      <w:pPr>
        <w:pStyle w:val="Heading2"/>
        <w:keepNext/>
        <w:spacing w:after="100" w:before="280"/>
      </w:pPr>
      <w:r>
        <w:rPr>
          <w:rFonts w:ascii="Calibri" w:cs="Calibri" w:eastAsia="Calibri" w:hAnsi="Calibri"/>
          <w:b/>
          <w:bCs/>
          <w:color w:val="1F7A8C"/>
          <w:sz w:val="26"/>
          <w:szCs w:val="26"/>
        </w:rPr>
        <w:t xml:space="preserve">4.4 Core value proposition by party</w:t>
      </w:r>
    </w:p>
    <w:p>
      <w:pPr>
        <w:pStyle w:val="ListParagraph"/>
        <w:numPr>
          <w:ilvl w:val="0"/>
          <w:numId w:val="2"/>
        </w:numPr>
        <w:spacing w:after="70" w:line="264"/>
      </w:pPr>
      <w:r>
        <w:rPr>
          <w:rFonts w:ascii="Calibri" w:cs="Calibri" w:eastAsia="Calibri" w:hAnsi="Calibri"/>
          <w:b/>
          <w:bCs/>
          <w:sz w:val="21"/>
          <w:szCs w:val="21"/>
        </w:rPr>
        <w:t xml:space="preserve">Lender:</w:t>
      </w:r>
      <w:r>
        <w:rPr>
          <w:rFonts w:ascii="Calibri" w:cs="Calibri" w:eastAsia="Calibri" w:hAnsi="Calibri"/>
          <w:sz w:val="21"/>
          <w:szCs w:val="21"/>
        </w:rPr>
        <w:t xml:space="preserve"> converts an unverifiable contractual promise into a mathematical check on 100% of gated decisions; shortens audit preparation; strengthens the evidence trail under its due-diligence duties.</w:t>
      </w:r>
    </w:p>
    <w:p>
      <w:pPr>
        <w:pStyle w:val="ListParagraph"/>
        <w:numPr>
          <w:ilvl w:val="0"/>
          <w:numId w:val="2"/>
        </w:numPr>
        <w:spacing w:after="70" w:line="264"/>
      </w:pPr>
      <w:r>
        <w:rPr>
          <w:rFonts w:ascii="Calibri" w:cs="Calibri" w:eastAsia="Calibri" w:hAnsi="Calibri"/>
          <w:b/>
          <w:bCs/>
          <w:sz w:val="21"/>
          <w:szCs w:val="21"/>
        </w:rPr>
        <w:t xml:space="preserve">LSP:</w:t>
      </w:r>
      <w:r>
        <w:rPr>
          <w:rFonts w:ascii="Calibri" w:cs="Calibri" w:eastAsia="Calibri" w:hAnsi="Calibri"/>
          <w:sz w:val="21"/>
          <w:szCs w:val="21"/>
        </w:rPr>
        <w:t xml:space="preserve"> preserves IP, reduces audit friction, turns "trust us" into a competitive differentiator when onboarding lenders.</w:t>
      </w:r>
    </w:p>
    <w:p>
      <w:pPr>
        <w:pStyle w:val="ListParagraph"/>
        <w:numPr>
          <w:ilvl w:val="0"/>
          <w:numId w:val="2"/>
        </w:numPr>
        <w:spacing w:after="70" w:line="264"/>
      </w:pPr>
      <w:r>
        <w:rPr>
          <w:rFonts w:ascii="Calibri" w:cs="Calibri" w:eastAsia="Calibri" w:hAnsi="Calibri"/>
          <w:b/>
          <w:bCs/>
          <w:sz w:val="21"/>
          <w:szCs w:val="21"/>
        </w:rPr>
        <w:t xml:space="preserve">Ecosystem:</w:t>
      </w:r>
      <w:r>
        <w:rPr>
          <w:rFonts w:ascii="Calibri" w:cs="Calibri" w:eastAsia="Calibri" w:hAnsi="Calibri"/>
          <w:sz w:val="21"/>
          <w:szCs w:val="21"/>
        </w:rPr>
        <w:t xml:space="preserve"> a reusable assurance pattern that can extend to other automated decisions (limit assignment, pricing, collections prioritisation) in later phases.</w:t>
      </w:r>
    </w:p>
    <w:p>
      <w:pPr>
        <w:pStyle w:val="Heading2"/>
        <w:keepNext/>
        <w:spacing w:after="100" w:before="280"/>
      </w:pPr>
      <w:r>
        <w:rPr>
          <w:rFonts w:ascii="Calibri" w:cs="Calibri" w:eastAsia="Calibri" w:hAnsi="Calibri"/>
          <w:b/>
          <w:bCs/>
          <w:color w:val="1F7A8C"/>
          <w:sz w:val="26"/>
          <w:szCs w:val="26"/>
        </w:rPr>
        <w:t xml:space="preserve">4.5 Guarantee catalogue: what a valid proof asserts, and what it does not</w:t>
      </w:r>
    </w:p>
    <w:p>
      <w:pPr>
        <w:spacing w:after="120" w:line="276"/>
      </w:pPr>
      <w:r>
        <w:rPr>
          <w:rFonts w:ascii="Calibri" w:cs="Calibri" w:eastAsia="Calibri" w:hAnsi="Calibri"/>
          <w:sz w:val="21"/>
          <w:szCs w:val="21"/>
        </w:rPr>
        <w:t xml:space="preserve">This table is the most important honesty artefact in the project. Put a version of it on a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4138"/>
      </w:tblGrid>
      <w:tr>
        <w:trPr>
          <w:tblHeader/>
        </w:trPr>
        <w:tc>
          <w:tcPr>
            <w:tcW w:type="dxa" w:w="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ID</w:t>
            </w:r>
          </w:p>
        </w:tc>
        <w:tc>
          <w:tcPr>
            <w:tcW w:type="dxa" w:w="4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 verified proof guarantees</w:t>
            </w:r>
          </w:p>
        </w:tc>
        <w:tc>
          <w:tcPr>
            <w:tcW w:type="dxa" w:w="41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Mechanism</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G1</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decision was produced by the model whose commitment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is registered and approved by the lender.</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Circuit recomputes the hash of the private weights and exposes it as a public output; verifier compares to registry.</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G2</w:t>
            </w:r>
          </w:p>
        </w:tc>
        <w:tc>
          <w:tcPr>
            <w:tcW w:type="dxa" w:w="4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model computation (score, decision) was executed correctly on the committed input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w:t>
            </w:r>
          </w:p>
        </w:tc>
        <w:tc>
          <w:tcPr>
            <w:tcW w:type="dxa" w:w="4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Arithmetic constraints over the model graph.</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G3</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approval cut-off and policy parameters equal those in the lender-signed policy version.</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hash and parameters are public inputs, checked by the verifier.</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G4</w:t>
            </w:r>
          </w:p>
        </w:tc>
        <w:tc>
          <w:tcPr>
            <w:tcW w:type="dxa" w:w="4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Hard rules in the policy (for example FOIR cap, minimum bureau score, ticket-size cap) were satisfied for approved decisions.</w:t>
            </w:r>
          </w:p>
        </w:tc>
        <w:tc>
          <w:tcPr>
            <w:tcW w:type="dxa" w:w="4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In-circuit comparison constraints on committed inputs.</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G5</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Only features on the allowed list influence the output (features not on the list have zero weight or are structurally absent from the circuit).</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Circuit structure is fixed and hashed (</w:t>
            </w:r>
            <w:r>
              <w:rPr>
                <w:rFonts w:ascii="Consolas" w:cs="Consolas" w:eastAsia="Consolas" w:hAnsi="Consolas"/>
                <w:color w:val="8E2C48"/>
                <w:sz w:val="16"/>
                <w:szCs w:val="16"/>
              </w:rPr>
              <w:t xml:space="preserve">circuit_hash</w:t>
            </w:r>
            <w:r>
              <w:rPr>
                <w:rFonts w:ascii="Calibri" w:cs="Calibri" w:eastAsia="Calibri" w:hAnsi="Calibri"/>
                <w:b w:val="false"/>
                <w:bCs w:val="false"/>
                <w:sz w:val="18"/>
                <w:szCs w:val="18"/>
              </w:rPr>
              <w:t xml:space="preserve">); feature schema is part of the policy.</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G6</w:t>
            </w:r>
          </w:p>
        </w:tc>
        <w:tc>
          <w:tcPr>
            <w:tcW w:type="dxa" w:w="4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proof is bound to one decision, one application, one time window, and cannot be replayed.</w:t>
            </w:r>
          </w:p>
        </w:tc>
        <w:tc>
          <w:tcPr>
            <w:tcW w:type="dxa" w:w="4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inputs include </w:t>
            </w:r>
            <w:r>
              <w:rPr>
                <w:rFonts w:ascii="Consolas" w:cs="Consolas" w:eastAsia="Consolas" w:hAnsi="Consolas"/>
                <w:color w:val="8E2C48"/>
                <w:sz w:val="16"/>
                <w:szCs w:val="16"/>
              </w:rPr>
              <w:t xml:space="preserve">decision_id</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application_id</w:t>
            </w:r>
            <w:r>
              <w:rPr>
                <w:rFonts w:ascii="Calibri" w:cs="Calibri" w:eastAsia="Calibri" w:hAnsi="Calibri"/>
                <w:b w:val="false"/>
                <w:bCs w:val="false"/>
                <w:sz w:val="18"/>
                <w:szCs w:val="18"/>
              </w:rPr>
              <w:t xml:space="preserve"> hash and policy validity epoch; verifier enforces uniqueness.</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G7</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input commitment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matches the lender's own copy of the signed source data (for lender-verifiable input classes).</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Lender-side Input Binding Adapter recomputes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and compares.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4138"/>
      </w:tblGrid>
      <w:tr>
        <w:trPr>
          <w:tblHeader/>
        </w:trPr>
        <w:tc>
          <w:tcPr>
            <w:tcW w:type="dxa" w:w="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ID</w:t>
            </w:r>
          </w:p>
        </w:tc>
        <w:tc>
          <w:tcPr>
            <w:tcW w:type="dxa" w:w="4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 verified proof does NOT guarantee</w:t>
            </w:r>
          </w:p>
        </w:tc>
        <w:tc>
          <w:tcPr>
            <w:tcW w:type="dxa" w:w="41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How we handle it</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N1</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the model is fair, unbiased or predictive.</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Explicitly out of scope. Fairness checks can be added as policy clauses if the lender wishes (for example excluded features, monotonicity).</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N2</w:t>
            </w:r>
          </w:p>
        </w:tc>
        <w:tc>
          <w:tcPr>
            <w:tcW w:type="dxa" w:w="4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LSP-derived (proprietary) features were computed honestly from raw data.</w:t>
            </w:r>
          </w:p>
        </w:tc>
        <w:tc>
          <w:tcPr>
            <w:tcW w:type="dxa" w:w="4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classes: lender-verifiable vs LSP-attested. Sampled audits for the latter; zkVM feature pipeline on roadmap.</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N3</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every rejected application was proved. An LSP may skip proving rejections.</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Decision-ID reconciliation against the application feed; sampled audits; optional "prove-all" mode. Disclose as a known gap.</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N4</w:t>
            </w:r>
          </w:p>
        </w:tc>
        <w:tc>
          <w:tcPr>
            <w:tcW w:type="dxa" w:w="4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no human overrode the outcome after scoring.</w:t>
            </w:r>
          </w:p>
        </w:tc>
        <w:tc>
          <w:tcPr>
            <w:tcW w:type="dxa" w:w="4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Out of scope. Disbursal gate only releases funds for proved decisions, which limits upside from override.</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N5</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the model was trained on agreed data.</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Out of scope; governed by contract and model validation.</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N6</w:t>
            </w:r>
          </w:p>
        </w:tc>
        <w:tc>
          <w:tcPr>
            <w:tcW w:type="dxa" w:w="4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unproven (sampled) decisions used the same model.</w:t>
            </w:r>
          </w:p>
        </w:tc>
        <w:tc>
          <w:tcPr>
            <w:tcW w:type="dxa" w:w="4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Modes are stated per policy; sampled mode gives statistical, not absolute, assurance.</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N7</w:t>
            </w:r>
          </w:p>
        </w:tc>
        <w:tc>
          <w:tcPr>
            <w:tcW w:type="dxa" w:w="4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the production float model equals the proven quantised model.</w:t>
            </w:r>
          </w:p>
        </w:tc>
        <w:tc>
          <w:tcPr>
            <w:tcW w:type="dxa" w:w="4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committed model </w:t>
            </w:r>
            <w:r>
              <w:rPr>
                <w:rFonts w:ascii="Calibri" w:cs="Calibri" w:eastAsia="Calibri" w:hAnsi="Calibri"/>
                <w:b w:val="false"/>
                <w:bCs w:val="false"/>
                <w:sz w:val="18"/>
                <w:szCs w:val="18"/>
              </w:rPr>
              <w:t xml:space="preserve">is</w:t>
            </w:r>
            <w:r>
              <w:rPr>
                <w:rFonts w:ascii="Calibri" w:cs="Calibri" w:eastAsia="Calibri" w:hAnsi="Calibri"/>
                <w:b w:val="false"/>
                <w:bCs w:val="false"/>
                <w:sz w:val="18"/>
                <w:szCs w:val="18"/>
              </w:rPr>
              <w:t xml:space="preserve"> the quantised model; production must serve exactly that artefact. Contract clause plus parity tests at registration.</w:t>
            </w:r>
          </w:p>
        </w:tc>
      </w:tr>
    </w:tbl>
    <w:p>
      <w:pPr>
        <w:spacing w:after="120"/>
      </w:pPr>
    </w:p>
    <w:p>
      <w:pPr>
        <w:pStyle w:val="Heading2"/>
        <w:keepNext/>
        <w:spacing w:after="100" w:before="280"/>
      </w:pPr>
      <w:r>
        <w:rPr>
          <w:rFonts w:ascii="Calibri" w:cs="Calibri" w:eastAsia="Calibri" w:hAnsi="Calibri"/>
          <w:b/>
          <w:bCs/>
          <w:color w:val="1F7A8C"/>
          <w:sz w:val="26"/>
          <w:szCs w:val="26"/>
        </w:rPr>
        <w:t xml:space="preserve">4.6 Policy-as-circuit: how "whatever you agreed" becomes verifiable</w:t>
      </w:r>
    </w:p>
    <w:p>
      <w:pPr>
        <w:spacing w:after="120" w:line="276"/>
      </w:pPr>
      <w:r>
        <w:rPr>
          <w:rFonts w:ascii="Calibri" w:cs="Calibri" w:eastAsia="Calibri" w:hAnsi="Calibri"/>
          <w:sz w:val="21"/>
          <w:szCs w:val="21"/>
        </w:rPr>
        <w:t xml:space="preserve">Lender and LSP agree a </w:t>
      </w:r>
      <w:r>
        <w:rPr>
          <w:rFonts w:ascii="Calibri" w:cs="Calibri" w:eastAsia="Calibri" w:hAnsi="Calibri"/>
          <w:b/>
          <w:bCs/>
          <w:sz w:val="21"/>
          <w:szCs w:val="21"/>
        </w:rPr>
        <w:t xml:space="preserve">policy</w:t>
      </w:r>
      <w:r>
        <w:rPr>
          <w:rFonts w:ascii="Calibri" w:cs="Calibri" w:eastAsia="Calibri" w:hAnsi="Calibri"/>
          <w:sz w:val="21"/>
          <w:szCs w:val="21"/>
        </w:rPr>
        <w:t xml:space="preserve">. We encode it in a canonical machine-readable file that both sign. Parameters are either public inputs checked by the verifier or constraints compiled into the circuit.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Clause type</w:t>
            </w:r>
          </w:p>
        </w:tc>
        <w:tc>
          <w:tcPr>
            <w:tcW w:type="dxa" w:w="4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Examples</w:t>
            </w:r>
          </w:p>
        </w:tc>
        <w:tc>
          <w:tcPr>
            <w:tcW w:type="dxa" w:w="3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Where enforced</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identity</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Approved model commitment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circuit hash, version</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Verifier registry match</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Decision rule</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Approve iff </w:t>
            </w:r>
            <w:r>
              <w:rPr>
                <w:rFonts w:ascii="Consolas" w:cs="Consolas" w:eastAsia="Consolas" w:hAnsi="Consolas"/>
                <w:color w:val="8E2C48"/>
                <w:sz w:val="16"/>
                <w:szCs w:val="16"/>
              </w:rPr>
              <w:t xml:space="preserve">score &gt;= threshold</w:t>
            </w:r>
            <w:r>
              <w:rPr>
                <w:rFonts w:ascii="Calibri" w:cs="Calibri" w:eastAsia="Calibri" w:hAnsi="Calibri"/>
                <w:b w:val="false"/>
                <w:bCs w:val="false"/>
                <w:sz w:val="18"/>
                <w:szCs w:val="18"/>
              </w:rPr>
              <w:t xml:space="preserve"> (threshold public)</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In-circuit comparison; verifier checks public threshold equals policy</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Hard rules</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FOIR &lt;= 55%, bureau score &gt;= 650, ticket size &lt;= tier cap</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In-circuit constraints on committed inputs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Feature allow-list</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Exact feature schema and order; no extra features</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Part of circuit structure; schema hash in policy</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Optional fairness-style clauses</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Excluded attribute has zero weight; monotonicity of selected features</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In-circuit constraints on private weights (lender's choice)</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Provenance</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Which inputs must be lender-verifiable; signature sources</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Binding Adapter and policy input-class table</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Temporal validity</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valid from/to; proof freshness window</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Verifier checks</w:t>
            </w:r>
          </w:p>
        </w:tc>
      </w:tr>
    </w:tbl>
    <w:p>
      <w:pPr>
        <w:spacing w:after="120"/>
      </w:pPr>
    </w:p>
    <w:p>
      <w:pPr>
        <w:pStyle w:val="Heading2"/>
        <w:keepNext/>
        <w:spacing w:after="100" w:before="280"/>
      </w:pPr>
      <w:r>
        <w:rPr>
          <w:rFonts w:ascii="Calibri" w:cs="Calibri" w:eastAsia="Calibri" w:hAnsi="Calibri"/>
          <w:b/>
          <w:bCs/>
          <w:color w:val="1F7A8C"/>
          <w:sz w:val="26"/>
          <w:szCs w:val="26"/>
        </w:rPr>
        <w:t xml:space="preserve">4.7 Enforcement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338"/>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Mode</w:t>
            </w:r>
          </w:p>
        </w:tc>
        <w:tc>
          <w:tcPr>
            <w:tcW w:type="dxa" w:w="5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Behaviour</w:t>
            </w:r>
          </w:p>
        </w:tc>
        <w:tc>
          <w:tcPr>
            <w:tcW w:type="dxa" w:w="23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Best for</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Gated (default for approvals)</w:t>
            </w:r>
          </w:p>
        </w:tc>
        <w:tc>
          <w:tcPr>
            <w:tcW w:type="dxa" w:w="5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releases funds only when the decision status is VERIFIED. Proving runs asynchronously within the disbursal window.</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All loans above a configured ticket size; every GBDT-tier model.</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Synchronous</w:t>
            </w:r>
          </w:p>
        </w:tc>
        <w:tc>
          <w:tcPr>
            <w:tcW w:type="dxa" w:w="5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must verify before the offer is shown. Feasible only for small scorecards with proof times of about a second or a few seconds (to be benchmarked).</w:t>
            </w:r>
          </w:p>
        </w:tc>
        <w:tc>
          <w:tcPr>
            <w:tcW w:type="dxa" w:w="2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Premium products where UX can absorb latency.</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Sampled</w:t>
            </w:r>
          </w:p>
        </w:tc>
        <w:tc>
          <w:tcPr>
            <w:tcW w:type="dxa" w:w="5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configurable percentage of decisions is proved, plus risk-triggered full proving; others carry a cheap hash-commitment record.</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Very small-ticket, very high-volume products.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Monitor-only</w:t>
            </w:r>
          </w:p>
        </w:tc>
        <w:tc>
          <w:tcPr>
            <w:tcW w:type="dxa" w:w="5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Proofs verified and flagged, but disbursal not blocked.</w:t>
            </w:r>
          </w:p>
        </w:tc>
        <w:tc>
          <w:tcPr>
            <w:tcW w:type="dxa" w:w="2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Pilot and onboarding phase.</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5. Technical Primer: How the Proof Works</w:t>
      </w:r>
    </w:p>
    <w:p>
      <w:pPr>
        <w:spacing w:after="120" w:line="276"/>
      </w:pPr>
      <w:r>
        <w:rPr>
          <w:rFonts w:ascii="Calibri" w:cs="Calibri" w:eastAsia="Calibri" w:hAnsi="Calibri"/>
          <w:sz w:val="21"/>
          <w:szCs w:val="21"/>
        </w:rPr>
        <w:t xml:space="preserve">This section is written so every team member can explain the mechanism live to judges. It uses a deliberately tiny model.</w:t>
      </w:r>
    </w:p>
    <w:p>
      <w:pPr>
        <w:pStyle w:val="Heading2"/>
        <w:keepNext/>
        <w:spacing w:after="100" w:before="280"/>
      </w:pPr>
      <w:r>
        <w:rPr>
          <w:rFonts w:ascii="Calibri" w:cs="Calibri" w:eastAsia="Calibri" w:hAnsi="Calibri"/>
          <w:b/>
          <w:bCs/>
          <w:color w:val="1F7A8C"/>
          <w:sz w:val="26"/>
          <w:szCs w:val="26"/>
        </w:rPr>
        <w:t xml:space="preserve">5.1 The five building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800"/>
        <w:gridCol w:w="1638"/>
      </w:tblGrid>
      <w:tr>
        <w:trPr>
          <w:tblHeader/>
        </w:trPr>
        <w:tc>
          <w:tcPr>
            <w:tcW w:type="dxa" w:w="1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Concept</w:t>
            </w:r>
          </w:p>
        </w:tc>
        <w:tc>
          <w:tcPr>
            <w:tcW w:type="dxa" w:w="4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Plain-language meaning</w:t>
            </w:r>
          </w:p>
        </w:tc>
        <w:tc>
          <w:tcPr>
            <w:tcW w:type="dxa" w:w="1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When it is created</w:t>
            </w:r>
          </w:p>
        </w:tc>
        <w:tc>
          <w:tcPr>
            <w:tcW w:type="dxa" w:w="1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Who sees it</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Circuit</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model's math (multiply, add, compare) compiled into a fixed set of arithmetic constraints. The structure is public: the lender sees "logistic regression with 12 features" or "40 trees of depth 4", not the numbers.</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Once per model version</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(structure only)</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key (PK) and Verification key (VK)</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Keys derived from the circuit. PK lets the LSP generate proofs; VK lets anyone verify them. Neither contains the weights.</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Once per circuit</w:t>
            </w:r>
          </w:p>
        </w:tc>
        <w:tc>
          <w:tcPr>
            <w:tcW w:type="dxa" w:w="1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PK: LSP. VK: lender and registry</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Commitment</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cryptographic "sealed envelope": </w:t>
            </w:r>
            <w:r>
              <w:rPr>
                <w:rFonts w:ascii="Consolas" w:cs="Consolas" w:eastAsia="Consolas" w:hAnsi="Consolas"/>
                <w:color w:val="8E2C48"/>
                <w:sz w:val="16"/>
                <w:szCs w:val="16"/>
              </w:rPr>
              <w:t xml:space="preserve">C = Hash(weights, bias, salt)</w:t>
            </w:r>
            <w:r>
              <w:rPr>
                <w:rFonts w:ascii="Calibri" w:cs="Calibri" w:eastAsia="Calibri" w:hAnsi="Calibri"/>
                <w:b w:val="false"/>
                <w:bCs w:val="false"/>
                <w:sz w:val="18"/>
                <w:szCs w:val="18"/>
              </w:rPr>
              <w:t xml:space="preserve">. Binding (cannot be opened to different weights later) and hiding (reveals nothing, because of the random salt).</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Once per model version, registered with the lender</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value; contents private</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Witness</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All private values needed for one run: weights, salt, the applicant's features, and every intermediate calculation. The weights are constant across decisions; features and intermediates change every time.</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Every decision</w:t>
            </w:r>
          </w:p>
        </w:tc>
        <w:tc>
          <w:tcPr>
            <w:tcW w:type="dxa" w:w="1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only</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Proof</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small object (kilobytes) that says: "private values exist that satisfy every constraint and produce these public outputs." Zero-knowledge means it reveals nothing else.</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Every proved decision</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Sent to lender; verifiable by anyone with VK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00"/>
              <w:left w:type="dxa" w:w="160"/>
              <w:bottom w:type="dxa" w:w="100"/>
              <w:right w:type="dxa" w:w="140"/>
            </w:tcMar>
          </w:tcPr>
          <w:p>
            <w:pPr>
              <w:spacing w:after="50"/>
            </w:pPr>
            <w:r>
              <w:rPr>
                <w:rFonts w:ascii="Calibri" w:cs="Calibri" w:eastAsia="Calibri" w:hAnsi="Calibri"/>
                <w:b/>
                <w:bCs/>
                <w:color w:val="C0392B"/>
                <w:sz w:val="20"/>
                <w:szCs w:val="20"/>
              </w:rPr>
              <w:t xml:space="preserve">Correction of a common misconception</w:t>
            </w:r>
          </w:p>
          <w:p>
            <w:pPr>
              <w:spacing w:after="50" w:line="256"/>
            </w:pPr>
            <w:r>
              <w:rPr>
                <w:rFonts w:ascii="Calibri" w:cs="Calibri" w:eastAsia="Calibri" w:hAnsi="Calibri"/>
                <w:sz w:val="19"/>
                <w:szCs w:val="19"/>
              </w:rPr>
              <w:t xml:space="preserve">The witness is </w:t>
            </w:r>
            <w:r>
              <w:rPr>
                <w:rFonts w:ascii="Calibri" w:cs="Calibri" w:eastAsia="Calibri" w:hAnsi="Calibri"/>
                <w:b/>
                <w:bCs/>
                <w:sz w:val="19"/>
                <w:szCs w:val="19"/>
              </w:rPr>
              <w:t xml:space="preserve">not</w:t>
            </w:r>
            <w:r>
              <w:rPr>
                <w:rFonts w:ascii="Calibri" w:cs="Calibri" w:eastAsia="Calibri" w:hAnsi="Calibri"/>
                <w:sz w:val="19"/>
                <w:szCs w:val="19"/>
              </w:rPr>
              <w:t xml:space="preserve"> generated once from the weights. It is generated </w:t>
            </w:r>
            <w:r>
              <w:rPr>
                <w:rFonts w:ascii="Calibri" w:cs="Calibri" w:eastAsia="Calibri" w:hAnsi="Calibri"/>
                <w:b/>
                <w:bCs/>
                <w:sz w:val="19"/>
                <w:szCs w:val="19"/>
              </w:rPr>
              <w:t xml:space="preserve">per decision</w:t>
            </w:r>
            <w:r>
              <w:rPr>
                <w:rFonts w:ascii="Calibri" w:cs="Calibri" w:eastAsia="Calibri" w:hAnsi="Calibri"/>
                <w:sz w:val="19"/>
                <w:szCs w:val="19"/>
              </w:rPr>
              <w:t xml:space="preserve">, and the weights are only one part of it. What is generated once is the circuit, the keys and the commitment.</w:t>
            </w:r>
          </w:p>
        </w:tc>
      </w:tr>
    </w:tbl>
    <w:p>
      <w:pPr>
        <w:spacing w:after="120"/>
      </w:pPr>
    </w:p>
    <w:p>
      <w:pPr>
        <w:pStyle w:val="Heading2"/>
        <w:keepNext/>
        <w:spacing w:after="100" w:before="280"/>
      </w:pPr>
      <w:r>
        <w:rPr>
          <w:rFonts w:ascii="Calibri" w:cs="Calibri" w:eastAsia="Calibri" w:hAnsi="Calibri"/>
          <w:b/>
          <w:bCs/>
          <w:color w:val="1F7A8C"/>
          <w:sz w:val="26"/>
          <w:szCs w:val="26"/>
        </w:rPr>
        <w:t xml:space="preserve">5.2 Worked example: a 3-feature scorecard</w:t>
      </w:r>
    </w:p>
    <w:p>
      <w:pPr>
        <w:spacing w:after="120" w:line="276"/>
      </w:pPr>
      <w:r>
        <w:rPr>
          <w:rFonts w:ascii="Calibri" w:cs="Calibri" w:eastAsia="Calibri" w:hAnsi="Calibri"/>
          <w:sz w:val="21"/>
          <w:szCs w:val="21"/>
        </w:rPr>
        <w:t xml:space="preserve">Model (private): </w:t>
      </w:r>
      <w:r>
        <w:rPr>
          <w:rFonts w:ascii="Consolas" w:cs="Consolas" w:eastAsia="Consolas" w:hAnsi="Consolas"/>
          <w:color w:val="8E2C48"/>
          <w:sz w:val="19"/>
          <w:szCs w:val="19"/>
        </w:rPr>
        <w:t xml:space="preserve">score = w1*income + w2*credit + w3*FOIR + b</w:t>
      </w:r>
      <w:r>
        <w:rPr>
          <w:rFonts w:ascii="Calibri" w:cs="Calibri" w:eastAsia="Calibri" w:hAnsi="Calibri"/>
          <w:sz w:val="21"/>
          <w:szCs w:val="21"/>
        </w:rPr>
        <w:t xml:space="preserve">, with </w:t>
      </w:r>
      <w:r>
        <w:rPr>
          <w:rFonts w:ascii="Consolas" w:cs="Consolas" w:eastAsia="Consolas" w:hAnsi="Consolas"/>
          <w:color w:val="8E2C48"/>
          <w:sz w:val="19"/>
          <w:szCs w:val="19"/>
        </w:rPr>
        <w:t xml:space="preserve">w1=0.01, w2=0.5, w3=-2.0, b=-3.0</w:t>
      </w:r>
      <w:r>
        <w:rPr>
          <w:rFonts w:ascii="Calibri" w:cs="Calibri" w:eastAsia="Calibri" w:hAnsi="Calibri"/>
          <w:sz w:val="21"/>
          <w:szCs w:val="21"/>
        </w:rPr>
        <w:t xml:space="preserve">. Public policy: approve iff </w:t>
      </w:r>
      <w:r>
        <w:rPr>
          <w:rFonts w:ascii="Consolas" w:cs="Consolas" w:eastAsia="Consolas" w:hAnsi="Consolas"/>
          <w:color w:val="8E2C48"/>
          <w:sz w:val="19"/>
          <w:szCs w:val="19"/>
        </w:rPr>
        <w:t xml:space="preserve">score &gt;= 0.2</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38"/>
      </w:tblGrid>
      <w:tr>
        <w:trPr>
          <w:tblHeader/>
        </w:trPr>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Step</w:t>
            </w:r>
          </w:p>
        </w:tc>
        <w:tc>
          <w:tcPr>
            <w:tcW w:type="dxa" w:w="4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Value</w:t>
            </w:r>
          </w:p>
        </w:tc>
        <w:tc>
          <w:tcPr>
            <w:tcW w:type="dxa" w:w="24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Visible to lender?</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Applicant (from signed AA / bureau data)</w:t>
            </w:r>
          </w:p>
        </w:tc>
        <w:tc>
          <w:tcPr>
            <w:tcW w:type="dxa" w:w="4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income = 50 (₹ thousand), credit = 7.2 (score 720 scaled), FOIR = 0.4</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Only as commitment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(and recomputable by lender from its own copy)</w:t>
            </w:r>
          </w:p>
        </w:tc>
      </w:tr>
      <w:tr>
        <w:trPr>
          <w:cantSplit/>
        </w:trPr>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Products</w:t>
            </w:r>
          </w:p>
        </w:tc>
        <w:tc>
          <w:tcPr>
            <w:tcW w:type="dxa" w:w="4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0.01*50 = 0.5;  0.5*7.2 = 3.6;  -2.0*0.4 = -0.8</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(private witness)</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Sum plus bias</w:t>
            </w:r>
          </w:p>
        </w:tc>
        <w:tc>
          <w:tcPr>
            <w:tcW w:type="dxa" w:w="4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0.5 + 3.6 - 0.8 - 3.0 = 0.3</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(unless policy exposes score)</w:t>
            </w:r>
          </w:p>
        </w:tc>
      </w:tr>
      <w:tr>
        <w:trPr>
          <w:cantSplit/>
        </w:trPr>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Decision</w:t>
            </w:r>
          </w:p>
        </w:tc>
        <w:tc>
          <w:tcPr>
            <w:tcW w:type="dxa" w:w="4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0.3 &gt;= 0.2, therefore approve = 1</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 (public output)</w:t>
            </w:r>
          </w:p>
        </w:tc>
      </w:tr>
    </w:tbl>
    <w:p>
      <w:pPr>
        <w:spacing w:after="120"/>
      </w:pPr>
    </w:p>
    <w:p>
      <w:pPr>
        <w:spacing w:after="120" w:line="276"/>
      </w:pPr>
      <w:r>
        <w:rPr>
          <w:rFonts w:ascii="Calibri" w:cs="Calibri" w:eastAsia="Calibri" w:hAnsi="Calibri"/>
          <w:b/>
          <w:bCs/>
          <w:sz w:val="21"/>
          <w:szCs w:val="21"/>
        </w:rPr>
        <w:t xml:space="preserve">What the circuit enforces:</w:t>
      </w:r>
      <w:r>
        <w:rPr>
          <w:rFonts w:ascii="Calibri" w:cs="Calibri" w:eastAsia="Calibri" w:hAnsi="Calibri"/>
          <w:sz w:val="21"/>
          <w:szCs w:val="21"/>
        </w:rPr>
        <w:t xml:space="preserve"> (1) </w:t>
      </w:r>
      <w:r>
        <w:rPr>
          <w:rFonts w:ascii="Consolas" w:cs="Consolas" w:eastAsia="Consolas" w:hAnsi="Consolas"/>
          <w:color w:val="8E2C48"/>
          <w:sz w:val="19"/>
          <w:szCs w:val="19"/>
        </w:rPr>
        <w:t xml:space="preserve">Hash(w1,w2,w3,b,salt) == C</w:t>
      </w:r>
      <w:r>
        <w:rPr>
          <w:rFonts w:ascii="Calibri" w:cs="Calibri" w:eastAsia="Calibri" w:hAnsi="Calibri"/>
          <w:sz w:val="21"/>
          <w:szCs w:val="21"/>
        </w:rPr>
        <w:t xml:space="preserve">; (2) </w:t>
      </w:r>
      <w:r>
        <w:rPr>
          <w:rFonts w:ascii="Consolas" w:cs="Consolas" w:eastAsia="Consolas" w:hAnsi="Consolas"/>
          <w:color w:val="8E2C48"/>
          <w:sz w:val="19"/>
          <w:szCs w:val="19"/>
        </w:rPr>
        <w:t xml:space="preserve">Hash(x1,x2,x3,salt_x,app_id) == X</w:t>
      </w:r>
      <w:r>
        <w:rPr>
          <w:rFonts w:ascii="Calibri" w:cs="Calibri" w:eastAsia="Calibri" w:hAnsi="Calibri"/>
          <w:sz w:val="21"/>
          <w:szCs w:val="21"/>
        </w:rPr>
        <w:t xml:space="preserve">; (3) the score is computed correctly; (4) </w:t>
      </w:r>
      <w:r>
        <w:rPr>
          <w:rFonts w:ascii="Consolas" w:cs="Consolas" w:eastAsia="Consolas" w:hAnsi="Consolas"/>
          <w:color w:val="8E2C48"/>
          <w:sz w:val="19"/>
          <w:szCs w:val="19"/>
        </w:rPr>
        <w:t xml:space="preserve">approve = (score &gt;= 0.2)</w:t>
      </w:r>
      <w:r>
        <w:rPr>
          <w:rFonts w:ascii="Calibri" w:cs="Calibri" w:eastAsia="Calibri" w:hAnsi="Calibri"/>
          <w:sz w:val="21"/>
          <w:szCs w:val="21"/>
        </w:rPr>
        <w:t xml:space="preserve"> against the public threshold; (5) hard rules (for example </w:t>
      </w:r>
      <w:r>
        <w:rPr>
          <w:rFonts w:ascii="Consolas" w:cs="Consolas" w:eastAsia="Consolas" w:hAnsi="Consolas"/>
          <w:color w:val="8E2C48"/>
          <w:sz w:val="19"/>
          <w:szCs w:val="19"/>
        </w:rPr>
        <w:t xml:space="preserve">FOIR &lt;= 0.55</w:t>
      </w:r>
      <w:r>
        <w:rPr>
          <w:rFonts w:ascii="Calibri" w:cs="Calibri" w:eastAsia="Calibri" w:hAnsi="Calibri"/>
          <w:sz w:val="21"/>
          <w:szCs w:val="21"/>
        </w:rPr>
        <w:t xml:space="preserve">).</w:t>
      </w:r>
    </w:p>
    <w:p>
      <w:pPr>
        <w:spacing w:after="120" w:line="276"/>
      </w:pPr>
      <w:r>
        <w:rPr>
          <w:rFonts w:ascii="Calibri" w:cs="Calibri" w:eastAsia="Calibri" w:hAnsi="Calibri"/>
          <w:b/>
          <w:bCs/>
          <w:sz w:val="21"/>
          <w:szCs w:val="21"/>
        </w:rPr>
        <w:t xml:space="preserve">What the lender receives:</w:t>
      </w:r>
      <w:r>
        <w:rPr>
          <w:rFonts w:ascii="Calibri" w:cs="Calibri" w:eastAsia="Calibri" w:hAnsi="Calibri"/>
          <w:sz w:val="21"/>
          <w:szCs w:val="21"/>
        </w:rPr>
        <w:t xml:space="preserve"> proof, </w:t>
      </w:r>
      <w:r>
        <w:rPr>
          <w:rFonts w:ascii="Consolas" w:cs="Consolas" w:eastAsia="Consolas" w:hAnsi="Consolas"/>
          <w:color w:val="8E2C48"/>
          <w:sz w:val="19"/>
          <w:szCs w:val="19"/>
        </w:rPr>
        <w:t xml:space="preserve">C</w:t>
      </w:r>
      <w:r>
        <w:rPr>
          <w:rFonts w:ascii="Calibri" w:cs="Calibri" w:eastAsia="Calibri" w:hAnsi="Calibri"/>
          <w:sz w:val="21"/>
          <w:szCs w:val="21"/>
        </w:rPr>
        <w:t xml:space="preserve">, </w:t>
      </w:r>
      <w:r>
        <w:rPr>
          <w:rFonts w:ascii="Consolas" w:cs="Consolas" w:eastAsia="Consolas" w:hAnsi="Consolas"/>
          <w:color w:val="8E2C48"/>
          <w:sz w:val="19"/>
          <w:szCs w:val="19"/>
        </w:rPr>
        <w:t xml:space="preserve">X</w:t>
      </w:r>
      <w:r>
        <w:rPr>
          <w:rFonts w:ascii="Calibri" w:cs="Calibri" w:eastAsia="Calibri" w:hAnsi="Calibri"/>
          <w:sz w:val="21"/>
          <w:szCs w:val="21"/>
        </w:rPr>
        <w:t xml:space="preserve">, </w:t>
      </w:r>
      <w:r>
        <w:rPr>
          <w:rFonts w:ascii="Consolas" w:cs="Consolas" w:eastAsia="Consolas" w:hAnsi="Consolas"/>
          <w:color w:val="8E2C48"/>
          <w:sz w:val="19"/>
          <w:szCs w:val="19"/>
        </w:rPr>
        <w:t xml:space="preserve">policy_hash</w:t>
      </w:r>
      <w:r>
        <w:rPr>
          <w:rFonts w:ascii="Calibri" w:cs="Calibri" w:eastAsia="Calibri" w:hAnsi="Calibri"/>
          <w:sz w:val="21"/>
          <w:szCs w:val="21"/>
        </w:rPr>
        <w:t xml:space="preserve">, </w:t>
      </w:r>
      <w:r>
        <w:rPr>
          <w:rFonts w:ascii="Consolas" w:cs="Consolas" w:eastAsia="Consolas" w:hAnsi="Consolas"/>
          <w:color w:val="8E2C48"/>
          <w:sz w:val="19"/>
          <w:szCs w:val="19"/>
        </w:rPr>
        <w:t xml:space="preserve">approve = 1</w:t>
      </w:r>
      <w:r>
        <w:rPr>
          <w:rFonts w:ascii="Calibri" w:cs="Calibri" w:eastAsia="Calibri" w:hAnsi="Calibri"/>
          <w:sz w:val="21"/>
          <w:szCs w:val="21"/>
        </w:rPr>
        <w:t xml:space="preserve">. It never sees 0.01, 0.5, -2.0 or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Tamper attempt</w:t>
            </w:r>
          </w:p>
        </w:tc>
        <w:tc>
          <w:tcPr>
            <w:tcW w:type="dxa" w:w="5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Why it fails</w:t>
            </w:r>
          </w:p>
        </w:tc>
      </w:tr>
      <w:tr>
        <w:trPr>
          <w:cantSplit/>
        </w:trPr>
        <w:tc>
          <w:tcPr>
            <w:tcW w:type="dxa" w:w="4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LSP quietly changes w2 from 0.5 to 0.6</w:t>
            </w:r>
          </w:p>
        </w:tc>
        <w:tc>
          <w:tcPr>
            <w:tcW w:type="dxa" w:w="5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Recomputed hash is not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Verification fails (G1).</w:t>
            </w:r>
          </w:p>
        </w:tc>
      </w:tr>
      <w:tr>
        <w:trPr>
          <w:cantSplit/>
        </w:trPr>
        <w:tc>
          <w:tcPr>
            <w:tcW w:type="dxa" w:w="4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LSP approves at threshold 0.1</w:t>
            </w:r>
          </w:p>
        </w:tc>
        <w:tc>
          <w:tcPr>
            <w:tcW w:type="dxa" w:w="5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threshold differs from the signed policy. Verifier rejects (G3).</w:t>
            </w:r>
          </w:p>
        </w:tc>
      </w:tr>
      <w:tr>
        <w:trPr>
          <w:cantSplit/>
        </w:trPr>
        <w:tc>
          <w:tcPr>
            <w:tcW w:type="dxa" w:w="4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LSP inflates income from 50 to 80</w:t>
            </w:r>
          </w:p>
        </w:tc>
        <w:tc>
          <w:tcPr>
            <w:tcW w:type="dxa" w:w="5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commitment differs from lender-recomputed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Binding check fails (G7).</w:t>
            </w:r>
          </w:p>
        </w:tc>
      </w:tr>
      <w:tr>
        <w:trPr>
          <w:cantSplit/>
        </w:trPr>
        <w:tc>
          <w:tcPr>
            <w:tcW w:type="dxa" w:w="4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LSP replays an old valid proof for a new application</w:t>
            </w:r>
          </w:p>
        </w:tc>
        <w:tc>
          <w:tcPr>
            <w:tcW w:type="dxa" w:w="5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decision_id</w:t>
            </w:r>
            <w:r>
              <w:rPr>
                <w:rFonts w:ascii="Calibri" w:cs="Calibri" w:eastAsia="Calibri" w:hAnsi="Calibri"/>
                <w:b w:val="false"/>
                <w:bCs w:val="false"/>
                <w:sz w:val="18"/>
                <w:szCs w:val="18"/>
              </w:rPr>
              <w:t xml:space="preserve"> / </w:t>
            </w:r>
            <w:r>
              <w:rPr>
                <w:rFonts w:ascii="Consolas" w:cs="Consolas" w:eastAsia="Consolas" w:hAnsi="Consolas"/>
                <w:color w:val="8E2C48"/>
                <w:sz w:val="16"/>
                <w:szCs w:val="16"/>
              </w:rPr>
              <w:t xml:space="preserve">application_id</w:t>
            </w:r>
            <w:r>
              <w:rPr>
                <w:rFonts w:ascii="Calibri" w:cs="Calibri" w:eastAsia="Calibri" w:hAnsi="Calibri"/>
                <w:b w:val="false"/>
                <w:bCs w:val="false"/>
                <w:sz w:val="18"/>
                <w:szCs w:val="18"/>
              </w:rPr>
              <w:t xml:space="preserve"> mismatch or duplicate. Verifier rejects (G6).</w:t>
            </w:r>
          </w:p>
        </w:tc>
      </w:tr>
      <w:tr>
        <w:trPr>
          <w:cantSplit/>
        </w:trPr>
        <w:tc>
          <w:tcPr>
            <w:tcW w:type="dxa" w:w="4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LSP adds an unapproved feature</w:t>
            </w:r>
          </w:p>
        </w:tc>
        <w:tc>
          <w:tcPr>
            <w:tcW w:type="dxa" w:w="5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Circuit hash and feature schema differ from registered values (G5).</w:t>
            </w:r>
          </w:p>
        </w:tc>
      </w:tr>
    </w:tbl>
    <w:p>
      <w:pPr>
        <w:spacing w:after="120"/>
      </w:pPr>
    </w:p>
    <w:p>
      <w:pPr>
        <w:pStyle w:val="Heading2"/>
        <w:keepNext/>
        <w:spacing w:after="100" w:before="280"/>
      </w:pPr>
      <w:r>
        <w:rPr>
          <w:rFonts w:ascii="Calibri" w:cs="Calibri" w:eastAsia="Calibri" w:hAnsi="Calibri"/>
          <w:b/>
          <w:bCs/>
          <w:color w:val="1F7A8C"/>
          <w:sz w:val="26"/>
          <w:szCs w:val="26"/>
        </w:rPr>
        <w:t xml:space="preserve">5.3 Fixed-point arithmetic and quantisation</w:t>
      </w:r>
    </w:p>
    <w:p>
      <w:pPr>
        <w:spacing w:after="120" w:line="276"/>
      </w:pPr>
      <w:r>
        <w:rPr>
          <w:rFonts w:ascii="Calibri" w:cs="Calibri" w:eastAsia="Calibri" w:hAnsi="Calibri"/>
          <w:sz w:val="21"/>
          <w:szCs w:val="21"/>
        </w:rPr>
        <w:t xml:space="preserve">Circuits work over finite-field integers, not floating point. Every weight and feature is represented as an integer scaled by a fixed factor (for example </w:t>
      </w:r>
      <w:r>
        <w:rPr>
          <w:rFonts w:ascii="Consolas" w:cs="Consolas" w:eastAsia="Consolas" w:hAnsi="Consolas"/>
          <w:color w:val="8E2C48"/>
          <w:sz w:val="19"/>
          <w:szCs w:val="19"/>
        </w:rPr>
        <w:t xml:space="preserve">S = 2^10</w:t>
      </w:r>
      <w:r>
        <w:rPr>
          <w:rFonts w:ascii="Calibri" w:cs="Calibri" w:eastAsia="Calibri" w:hAnsi="Calibri"/>
          <w:sz w:val="21"/>
          <w:szCs w:val="21"/>
        </w:rPr>
        <w:t xml:space="preserve">). Consequences:</w:t>
      </w:r>
    </w:p>
    <w:p>
      <w:pPr>
        <w:pStyle w:val="ListParagraph"/>
        <w:numPr>
          <w:ilvl w:val="0"/>
          <w:numId w:val="2"/>
        </w:numPr>
        <w:spacing w:after="70" w:line="264"/>
      </w:pPr>
      <w:r>
        <w:rPr>
          <w:rFonts w:ascii="Calibri" w:cs="Calibri" w:eastAsia="Calibri" w:hAnsi="Calibri"/>
          <w:sz w:val="21"/>
          <w:szCs w:val="21"/>
        </w:rPr>
        <w:t xml:space="preserve">The </w:t>
      </w:r>
      <w:r>
        <w:rPr>
          <w:rFonts w:ascii="Calibri" w:cs="Calibri" w:eastAsia="Calibri" w:hAnsi="Calibri"/>
          <w:b/>
          <w:bCs/>
          <w:sz w:val="21"/>
          <w:szCs w:val="21"/>
        </w:rPr>
        <w:t xml:space="preserve">registered, committed model is the quantised model</w:t>
      </w:r>
      <w:r>
        <w:rPr>
          <w:rFonts w:ascii="Calibri" w:cs="Calibri" w:eastAsia="Calibri" w:hAnsi="Calibri"/>
          <w:sz w:val="21"/>
          <w:szCs w:val="21"/>
        </w:rPr>
        <w:t xml:space="preserve">. Production must serve exactly that artefact. If production runs the float version and proofs cover the quantised one, you have proven a different model.</w:t>
      </w:r>
    </w:p>
    <w:p>
      <w:pPr>
        <w:pStyle w:val="ListParagraph"/>
        <w:numPr>
          <w:ilvl w:val="0"/>
          <w:numId w:val="2"/>
        </w:numPr>
        <w:spacing w:after="70" w:line="264"/>
      </w:pPr>
      <w:r>
        <w:rPr>
          <w:rFonts w:ascii="Calibri" w:cs="Calibri" w:eastAsia="Calibri" w:hAnsi="Calibri"/>
          <w:sz w:val="21"/>
          <w:szCs w:val="21"/>
        </w:rPr>
        <w:t xml:space="preserve">Registration includes a </w:t>
      </w:r>
      <w:r>
        <w:rPr>
          <w:rFonts w:ascii="Calibri" w:cs="Calibri" w:eastAsia="Calibri" w:hAnsi="Calibri"/>
          <w:b/>
          <w:bCs/>
          <w:sz w:val="21"/>
          <w:szCs w:val="21"/>
        </w:rPr>
        <w:t xml:space="preserve">parity report</w:t>
      </w:r>
      <w:r>
        <w:rPr>
          <w:rFonts w:ascii="Calibri" w:cs="Calibri" w:eastAsia="Calibri" w:hAnsi="Calibri"/>
          <w:sz w:val="21"/>
          <w:szCs w:val="21"/>
        </w:rPr>
        <w:t xml:space="preserve">: agreement rate and maximum score deviation between float and quantised models on a held-out set, signed by the LSP. The lender decides whether the deviation is acceptable and records it in the policy.</w:t>
      </w:r>
    </w:p>
    <w:p>
      <w:pPr>
        <w:pStyle w:val="ListParagraph"/>
        <w:numPr>
          <w:ilvl w:val="0"/>
          <w:numId w:val="2"/>
        </w:numPr>
        <w:spacing w:after="70" w:line="264"/>
      </w:pPr>
      <w:r>
        <w:rPr>
          <w:rFonts w:ascii="Calibri" w:cs="Calibri" w:eastAsia="Calibri" w:hAnsi="Calibri"/>
          <w:sz w:val="21"/>
          <w:szCs w:val="21"/>
        </w:rPr>
        <w:t xml:space="preserve">Rounding rules are part of the circuit definition and must be deterministic across the production runtime and the prover.</w:t>
      </w:r>
    </w:p>
    <w:p>
      <w:pPr>
        <w:pStyle w:val="Heading2"/>
        <w:keepNext/>
        <w:spacing w:after="100" w:before="280"/>
      </w:pPr>
      <w:r>
        <w:rPr>
          <w:rFonts w:ascii="Calibri" w:cs="Calibri" w:eastAsia="Calibri" w:hAnsi="Calibri"/>
          <w:b/>
          <w:bCs/>
          <w:color w:val="1F7A8C"/>
          <w:sz w:val="26"/>
          <w:szCs w:val="26"/>
        </w:rPr>
        <w:t xml:space="preserve">5.4 Supporting tree ensembles (XGBoost / LightGBM)</w:t>
      </w:r>
    </w:p>
    <w:p>
      <w:pPr>
        <w:spacing w:after="120" w:line="276"/>
      </w:pPr>
      <w:r>
        <w:rPr>
          <w:rFonts w:ascii="Calibri" w:cs="Calibri" w:eastAsia="Calibri" w:hAnsi="Calibri"/>
          <w:sz w:val="21"/>
          <w:szCs w:val="21"/>
        </w:rPr>
        <w:t xml:space="preserve">Circuits cannot branch. A tree is evaluated by computing </w:t>
      </w:r>
      <w:r>
        <w:rPr>
          <w:rFonts w:ascii="Calibri" w:cs="Calibri" w:eastAsia="Calibri" w:hAnsi="Calibri"/>
          <w:b/>
          <w:bCs/>
          <w:sz w:val="21"/>
          <w:szCs w:val="21"/>
        </w:rPr>
        <w:t xml:space="preserve">every</w:t>
      </w:r>
      <w:r>
        <w:rPr>
          <w:rFonts w:ascii="Calibri" w:cs="Calibri" w:eastAsia="Calibri" w:hAnsi="Calibri"/>
          <w:sz w:val="21"/>
          <w:szCs w:val="21"/>
        </w:rPr>
        <w:t xml:space="preserve"> node comparison, converting the results into 0/1 path flags, and summing leaf values on the taken path. Cost scales with </w:t>
      </w:r>
      <w:r>
        <w:rPr>
          <w:rFonts w:ascii="Consolas" w:cs="Consolas" w:eastAsia="Consolas" w:hAnsi="Consolas"/>
          <w:color w:val="8E2C48"/>
          <w:sz w:val="19"/>
          <w:szCs w:val="19"/>
        </w:rPr>
        <w:t xml:space="preserve">trees x nodes</w:t>
      </w:r>
      <w:r>
        <w:rPr>
          <w:rFonts w:ascii="Calibri" w:cs="Calibri" w:eastAsia="Calibri" w:hAnsi="Calibri"/>
          <w:sz w:val="21"/>
          <w:szCs w:val="21"/>
        </w:rPr>
        <w:t xml:space="preserve">, and each comparison needs bit decomposition or range checks. Design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300"/>
        <w:gridCol w:w="2238"/>
      </w:tblGrid>
      <w:tr>
        <w:trPr>
          <w:tblHeader/>
        </w:trPr>
        <w:tc>
          <w:tcPr>
            <w:tcW w:type="dxa" w:w="1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Option</w:t>
            </w:r>
          </w:p>
        </w:tc>
        <w:tc>
          <w:tcPr>
            <w:tcW w:type="dxa" w:w="3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Description</w:t>
            </w:r>
          </w:p>
        </w:tc>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Pros</w:t>
            </w:r>
          </w:p>
        </w:tc>
        <w:tc>
          <w:tcPr>
            <w:tcW w:type="dxa" w:w="22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Cons</w:t>
            </w:r>
          </w:p>
        </w:tc>
      </w:tr>
      <w:tr>
        <w:trPr>
          <w:cantSplit/>
        </w:trPr>
        <w:tc>
          <w:tcPr>
            <w:tcW w:type="dxa" w:w="18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 Direct circuit, structure-public</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Tree topology and feature indices public; split thresholds and leaf values private and committed.</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Cheapest circuit. Fine for a hackathon-sized ensemble.</w:t>
            </w:r>
          </w:p>
        </w:tc>
        <w:tc>
          <w:tcPr>
            <w:tcW w:type="dxa" w:w="22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Leaks which features each node uses. Lender must accept structure disclosure.</w:t>
            </w:r>
          </w:p>
        </w:tc>
      </w:tr>
      <w:tr>
        <w:trPr>
          <w:cantSplit/>
        </w:trPr>
        <w:tc>
          <w:tcPr>
            <w:tcW w:type="dxa" w:w="18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 Direct circuit, structure-hidden</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Feature selection per node via private one-hot vectors.</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Hides structure.</w:t>
            </w:r>
          </w:p>
        </w:tc>
        <w:tc>
          <w:tcPr>
            <w:tcW w:type="dxa" w:w="22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Multiplies cost by number of features. Practical only for small models.</w:t>
            </w:r>
          </w:p>
        </w:tc>
      </w:tr>
      <w:tr>
        <w:trPr>
          <w:cantSplit/>
        </w:trPr>
        <w:tc>
          <w:tcPr>
            <w:tcW w:type="dxa" w:w="18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 zkVM (RISC Zero / SP1)</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Run the real inference code inside a zero-knowledge VM.</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hand-built circuit; supports signature verification precompiles for input provenance.</w:t>
            </w:r>
          </w:p>
        </w:tc>
        <w:tc>
          <w:tcPr>
            <w:tcW w:type="dxa" w:w="22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Heavier and slower per proof.</w:t>
            </w:r>
          </w:p>
        </w:tc>
      </w:tr>
      <w:tr>
        <w:trPr>
          <w:cantSplit/>
        </w:trPr>
        <w:tc>
          <w:tcPr>
            <w:tcW w:type="dxa" w:w="18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 Specialised GKR-style forests</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Research prover for decision forests. A 2026 ePrint from Modulus Labs reports a per-tree, per-sample proof time of just over 3 ms, about 180x over plain CPU inference, with sub-linear scaling as trees are added.</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Potentially orders of magnitude faster at scale.</w:t>
            </w:r>
          </w:p>
        </w:tc>
        <w:tc>
          <w:tcPr>
            <w:tcW w:type="dxa" w:w="22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Research-grade; not an off-the-shelf SDK. Roadmap item; verify before claiming.</w:t>
            </w:r>
          </w:p>
        </w:tc>
      </w:tr>
      <w:tr>
        <w:trPr>
          <w:cantSplit/>
        </w:trPr>
        <w:tc>
          <w:tcPr>
            <w:tcW w:type="dxa" w:w="18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E. Merkle-committed trees</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Commit each tree as a Merkle tree and prove only the traversed path.</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cost scales with depth, not node count.</w:t>
            </w:r>
          </w:p>
        </w:tc>
        <w:tc>
          <w:tcPr>
            <w:tcW w:type="dxa" w:w="22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Research-grade engineering risk.</w:t>
            </w:r>
          </w:p>
        </w:tc>
      </w:tr>
    </w:tbl>
    <w:p>
      <w:pPr>
        <w:spacing w:after="120"/>
      </w:pPr>
    </w:p>
    <w:p>
      <w:pPr>
        <w:spacing w:after="120" w:line="276"/>
      </w:pPr>
      <w:r>
        <w:rPr>
          <w:rFonts w:ascii="Calibri" w:cs="Calibri" w:eastAsia="Calibri" w:hAnsi="Calibri"/>
          <w:b/>
          <w:bCs/>
          <w:sz w:val="21"/>
          <w:szCs w:val="21"/>
        </w:rPr>
        <w:t xml:space="preserve">Hackathon recommendation:</w:t>
      </w:r>
      <w:r>
        <w:rPr>
          <w:rFonts w:ascii="Calibri" w:cs="Calibri" w:eastAsia="Calibri" w:hAnsi="Calibri"/>
          <w:sz w:val="21"/>
          <w:szCs w:val="21"/>
        </w:rPr>
        <w:t xml:space="preserve"> Option A for the small GBDT demo (for example 20 to 50 trees at depth 3 to 4), with a scaling slide that points to C and D.</w:t>
      </w:r>
    </w:p>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6. Requirements</w:t>
      </w:r>
    </w:p>
    <w:p>
      <w:pPr>
        <w:pStyle w:val="Heading2"/>
        <w:keepNext/>
        <w:spacing w:after="100" w:before="280"/>
      </w:pPr>
      <w:r>
        <w:rPr>
          <w:rFonts w:ascii="Calibri" w:cs="Calibri" w:eastAsia="Calibri" w:hAnsi="Calibri"/>
          <w:b/>
          <w:bCs/>
          <w:color w:val="1F7A8C"/>
          <w:sz w:val="26"/>
          <w:szCs w:val="26"/>
        </w:rPr>
        <w:t xml:space="preserve">6.1 Functional requirements</w:t>
      </w:r>
    </w:p>
    <w:p>
      <w:pPr>
        <w:spacing w:after="120" w:line="276"/>
      </w:pPr>
      <w:r>
        <w:rPr>
          <w:rFonts w:ascii="Calibri" w:cs="Calibri" w:eastAsia="Calibri" w:hAnsi="Calibri"/>
          <w:sz w:val="21"/>
          <w:szCs w:val="21"/>
        </w:rPr>
        <w:t xml:space="preserve">Priority uses MoSCoW: </w:t>
      </w:r>
      <w:r>
        <w:rPr>
          <w:rFonts w:ascii="Calibri" w:cs="Calibri" w:eastAsia="Calibri" w:hAnsi="Calibri"/>
          <w:b/>
          <w:bCs/>
          <w:sz w:val="21"/>
          <w:szCs w:val="21"/>
        </w:rPr>
        <w:t xml:space="preserve">M</w:t>
      </w:r>
      <w:r>
        <w:rPr>
          <w:rFonts w:ascii="Calibri" w:cs="Calibri" w:eastAsia="Calibri" w:hAnsi="Calibri"/>
          <w:sz w:val="21"/>
          <w:szCs w:val="21"/>
        </w:rPr>
        <w:t xml:space="preserve"> = must (hackathon MVP), </w:t>
      </w:r>
      <w:r>
        <w:rPr>
          <w:rFonts w:ascii="Calibri" w:cs="Calibri" w:eastAsia="Calibri" w:hAnsi="Calibri"/>
          <w:b/>
          <w:bCs/>
          <w:sz w:val="21"/>
          <w:szCs w:val="21"/>
        </w:rPr>
        <w:t xml:space="preserve">S</w:t>
      </w:r>
      <w:r>
        <w:rPr>
          <w:rFonts w:ascii="Calibri" w:cs="Calibri" w:eastAsia="Calibri" w:hAnsi="Calibri"/>
          <w:sz w:val="21"/>
          <w:szCs w:val="21"/>
        </w:rPr>
        <w:t xml:space="preserve"> = should (stretch), </w:t>
      </w:r>
      <w:r>
        <w:rPr>
          <w:rFonts w:ascii="Calibri" w:cs="Calibri" w:eastAsia="Calibri" w:hAnsi="Calibri"/>
          <w:b/>
          <w:bCs/>
          <w:sz w:val="21"/>
          <w:szCs w:val="21"/>
        </w:rPr>
        <w:t xml:space="preserve">C</w:t>
      </w:r>
      <w:r>
        <w:rPr>
          <w:rFonts w:ascii="Calibri" w:cs="Calibri" w:eastAsia="Calibri" w:hAnsi="Calibri"/>
          <w:sz w:val="21"/>
          <w:szCs w:val="21"/>
        </w:rPr>
        <w:t xml:space="preserve"> = could (post-hackathon).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500"/>
        <w:gridCol w:w="4038"/>
      </w:tblGrid>
      <w:tr>
        <w:trPr>
          <w:tblHeader/>
        </w:trPr>
        <w:tc>
          <w:tcPr>
            <w:tcW w:type="dxa" w:w="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ID</w:t>
            </w:r>
          </w:p>
        </w:tc>
        <w:tc>
          <w:tcPr>
            <w:tcW w:type="dxa" w:w="4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Requirement</w:t>
            </w:r>
          </w:p>
        </w:tc>
        <w:tc>
          <w:tcPr>
            <w:tcW w:type="dxa" w:w="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Pri</w:t>
            </w:r>
          </w:p>
        </w:tc>
        <w:tc>
          <w:tcPr>
            <w:tcW w:type="dxa" w:w="4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Acceptance criterion</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FR-01</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Register a model: compile quantised model to circuit, derive keys, compute commitment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submit </w:t>
            </w:r>
            <w:r>
              <w:rPr>
                <w:rFonts w:ascii="Consolas" w:cs="Consolas" w:eastAsia="Consolas" w:hAnsi="Consolas"/>
                <w:color w:val="8E2C48"/>
                <w:sz w:val="16"/>
                <w:szCs w:val="16"/>
              </w:rPr>
              <w:t xml:space="preserve">{C, circuit_hash, VK, parity_report}</w:t>
            </w:r>
            <w:r>
              <w:rPr>
                <w:rFonts w:ascii="Calibri" w:cs="Calibri" w:eastAsia="Calibri" w:hAnsi="Calibri"/>
                <w:b w:val="false"/>
                <w:bCs w:val="false"/>
                <w:sz w:val="18"/>
                <w:szCs w:val="18"/>
              </w:rPr>
              <w:t xml:space="preserve"> without transmitting weights.</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Registration CLI completes; registry shows model in PENDING_APPROVAL; no weight bytes appear in any outbound payload (verified by network capture in demo).</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FR-02</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approves or rejects a registered model and signs a policy referencing it.</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file carries valid LSP and lender signatures; verifier refuses unsigned or single-signed policies.</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FR-03</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Prover sidecar consumes decision events from a queue or HTTP hook and builds a witness per decision.</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Given an event, the sidecar emits a proof artefact and a status record.</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FR-04</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Sidecar generates a proof asserting G1 to G6 and submits it outbound to the Lender Node.</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verifies with the registered VK; public inputs match the event.</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FR-05</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Verifier validates proof and all public-input checks (C, policy hash, threshold, window, uniqueness).</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Each of the five tamper tests in Section 5.2 is rejected with a specific reason code.</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FR-06</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Expose a disbursal gate: </w:t>
            </w:r>
            <w:r>
              <w:rPr>
                <w:rFonts w:ascii="Consolas" w:cs="Consolas" w:eastAsia="Consolas" w:hAnsi="Consolas"/>
                <w:color w:val="8E2C48"/>
                <w:sz w:val="16"/>
                <w:szCs w:val="16"/>
              </w:rPr>
              <w:t xml:space="preserve">GET /v1/decisions/{id}/status</w:t>
            </w:r>
            <w:r>
              <w:rPr>
                <w:rFonts w:ascii="Calibri" w:cs="Calibri" w:eastAsia="Calibri" w:hAnsi="Calibri"/>
                <w:b w:val="false"/>
                <w:bCs w:val="false"/>
                <w:sz w:val="18"/>
                <w:szCs w:val="18"/>
              </w:rPr>
              <w:t xml:space="preserve"> returns VERIFIED / PENDING / FAILED / EXPIRED / NOT_FOUND.</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mock LMS refuses disbursal unless status is VERIFIED.</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FR-07</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Maintain an append-only, hash-chained audit ledger of every verification result.</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Altering any historical row breaks chain verification, detected by an integrity check job.</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FR-08</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Dashboard showing verified, failed and pending counts, failure reasons, model and policy versions, latency percentiles.</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Live view updates during the demo.</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FR-09</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Binding Adapter recomputes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from lender-held signed data and compares to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Altered-income tamper test fails on binding mismatch.</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FR-10</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Reconciler compares decision IDs from the lender's application feed against ledger entries and flags unproven or missing decisions.</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Skipped decisions appear in the dashboard within the configured SLA.</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FR-11</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 rotation: new model version registered and approved; old version has a configurable grace window, then is revoked.</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Proofs under a revoked commitment are rejected after the cut-over timestamp.</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FR-12</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Webhooks and signed notifications for FAILED or EXPIRED decisions.</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Webhook delivered with HMAC signature and retry.</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FR-13</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Sampled and monitor-only modes per policy.</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 switch changes gate behaviour without code change.</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FR-14</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Evidence pack export (decision, policy, proof, verification trace, ledger inclusion proof) for audits.</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Exported ZIP verifies offline using the CLI.</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FR-15</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Borrower decision receipt page with in-browser (WASM) verification.</w:t>
            </w:r>
          </w:p>
        </w:tc>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w:t>
            </w:r>
          </w:p>
        </w:tc>
        <w:tc>
          <w:tcPr>
            <w:tcW w:type="dxa" w:w="4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Receipt shows commitments and verdict only; no weights; no raw score unless policy allows.</w:t>
            </w:r>
          </w:p>
        </w:tc>
      </w:tr>
      <w:tr>
        <w:trPr>
          <w:cantSplit/>
        </w:trPr>
        <w:tc>
          <w:tcPr>
            <w:tcW w:type="dxa" w:w="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FR-16</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Self-hosted verifier packaging for large banks.</w:t>
            </w:r>
          </w:p>
        </w:tc>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w:t>
            </w:r>
          </w:p>
        </w:tc>
        <w:tc>
          <w:tcPr>
            <w:tcW w:type="dxa" w:w="4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Single container runs fully offline from the registry snapshot.</w:t>
            </w:r>
          </w:p>
        </w:tc>
      </w:tr>
    </w:tbl>
    <w:p>
      <w:pPr>
        <w:spacing w:after="120"/>
      </w:pPr>
    </w:p>
    <w:p>
      <w:pPr>
        <w:pStyle w:val="Heading2"/>
        <w:keepNext/>
        <w:spacing w:after="100" w:before="280"/>
      </w:pPr>
      <w:r>
        <w:rPr>
          <w:rFonts w:ascii="Calibri" w:cs="Calibri" w:eastAsia="Calibri" w:hAnsi="Calibri"/>
          <w:b/>
          <w:bCs/>
          <w:color w:val="1F7A8C"/>
          <w:sz w:val="26"/>
          <w:szCs w:val="26"/>
        </w:rPr>
        <w:t xml:space="preserve">6.2 Non-functional requirements and targets</w:t>
      </w:r>
    </w:p>
    <w:p>
      <w:pPr>
        <w:spacing w:after="120" w:line="276"/>
      </w:pPr>
      <w:r>
        <w:rPr>
          <w:rFonts w:ascii="Calibri" w:cs="Calibri" w:eastAsia="Calibri" w:hAnsi="Calibri"/>
          <w:sz w:val="21"/>
          <w:szCs w:val="21"/>
        </w:rPr>
        <w:t xml:space="preserve">Targets below are design goals to be validated by measurement. Replace each with the number you actually measure before presenting.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Category</w:t>
            </w:r>
          </w:p>
        </w:tc>
        <w:tc>
          <w:tcPr>
            <w:tcW w:type="dxa" w:w="4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Requirement</w:t>
            </w:r>
          </w:p>
        </w:tc>
        <w:tc>
          <w:tcPr>
            <w:tcW w:type="dxa" w:w="33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Target (to validate)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Latency (decision path)</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decision latency must be unchanged.</w:t>
            </w:r>
          </w:p>
        </w:tc>
        <w:tc>
          <w:tcPr>
            <w:tcW w:type="dxa" w:w="3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added synchronous call in the default mode.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time, scorecard</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generation per decision on commodity CPU.</w:t>
            </w:r>
          </w:p>
        </w:tc>
        <w:tc>
          <w:tcPr>
            <w:tcW w:type="dxa" w:w="3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Seconds or less (measure).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time, small GBDT</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generation per decision.</w:t>
            </w:r>
          </w:p>
        </w:tc>
        <w:tc>
          <w:tcPr>
            <w:tcW w:type="dxa" w:w="3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Tens of seconds acceptable if within disbursal window (measure).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Verification time</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Per-proof verification at the Lender Node.</w:t>
            </w:r>
          </w:p>
        </w:tc>
        <w:tc>
          <w:tcPr>
            <w:tcW w:type="dxa" w:w="3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Milliseconds to tens of milliseconds.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Time-to-verified SLA</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From decision to VERIFIED status, 95th percentile.</w:t>
            </w:r>
          </w:p>
        </w:tc>
        <w:tc>
          <w:tcPr>
            <w:tcW w:type="dxa" w:w="3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Inside the disbursal preparation window, for example under 10 minutes (configurable).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Throughput</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Sidecar horizontally scalable workers; Lender Node verification scales independently.</w:t>
            </w:r>
          </w:p>
        </w:tc>
        <w:tc>
          <w:tcPr>
            <w:tcW w:type="dxa" w:w="3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Linear scaling with worker count; queue depth alarms.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Availability</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Gate API must not become a single point of failure.</w:t>
            </w:r>
          </w:p>
        </w:tc>
        <w:tc>
          <w:tcPr>
            <w:tcW w:type="dxa" w:w="3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99.9% for gate and verifier; defined fail-closed behaviour for disbursal.</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Security</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weights, salts or raw features leave the LSP. All traffic mutually authenticated.</w:t>
            </w:r>
          </w:p>
        </w:tc>
        <w:tc>
          <w:tcPr>
            <w:tcW w:type="dxa" w:w="3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mTLS plus signed payloads; secrets in KMS/HSM.</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Privacy</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LendProof-hosted components receive only commitments, proofs, verdicts, identifiers.</w:t>
            </w:r>
          </w:p>
        </w:tc>
        <w:tc>
          <w:tcPr>
            <w:tcW w:type="dxa" w:w="3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Verified by data-flow review and payload schema tests.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Auditability</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Ledger tamper-evident and exportable.</w:t>
            </w:r>
          </w:p>
        </w:tc>
        <w:tc>
          <w:tcPr>
            <w:tcW w:type="dxa" w:w="3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Hash chain plus periodically signed root.</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Data retention</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Retain proofs for a configurable period, then keep verdict and hash only.</w:t>
            </w:r>
          </w:p>
        </w:tc>
        <w:tc>
          <w:tcPr>
            <w:tcW w:type="dxa" w:w="3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Policy-driven; aligned to the lender's record-retention rules.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Compatibility</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 formats and frameworks.</w:t>
            </w:r>
          </w:p>
        </w:tc>
        <w:tc>
          <w:tcPr>
            <w:tcW w:type="dxa" w:w="3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ONNX export for scorecards and small trees; documented support matrix.</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7. System Architecture</w:t>
      </w:r>
    </w:p>
    <w:p>
      <w:pPr>
        <w:pStyle w:val="Heading2"/>
        <w:keepNext/>
        <w:spacing w:after="100" w:before="280"/>
      </w:pPr>
      <w:r>
        <w:rPr>
          <w:rFonts w:ascii="Calibri" w:cs="Calibri" w:eastAsia="Calibri" w:hAnsi="Calibri"/>
          <w:b/>
          <w:bCs/>
          <w:color w:val="1F7A8C"/>
          <w:sz w:val="26"/>
          <w:szCs w:val="26"/>
        </w:rPr>
        <w:t xml:space="preserve">7.1 Design principles</w:t>
      </w:r>
    </w:p>
    <w:p>
      <w:pPr>
        <w:pStyle w:val="ListParagraph"/>
        <w:numPr>
          <w:ilvl w:val="0"/>
          <w:numId w:val="2"/>
        </w:numPr>
        <w:spacing w:after="70" w:line="264"/>
      </w:pPr>
      <w:r>
        <w:rPr>
          <w:rFonts w:ascii="Calibri" w:cs="Calibri" w:eastAsia="Calibri" w:hAnsi="Calibri"/>
          <w:b/>
          <w:bCs/>
          <w:sz w:val="21"/>
          <w:szCs w:val="21"/>
        </w:rPr>
        <w:t xml:space="preserve">Weights never cross the LSP boundary.</w:t>
      </w:r>
      <w:r>
        <w:rPr>
          <w:rFonts w:ascii="Calibri" w:cs="Calibri" w:eastAsia="Calibri" w:hAnsi="Calibri"/>
          <w:sz w:val="21"/>
          <w:szCs w:val="21"/>
        </w:rPr>
        <w:t xml:space="preserve"> The prover runs where the model lives.</w:t>
      </w:r>
    </w:p>
    <w:p>
      <w:pPr>
        <w:pStyle w:val="ListParagraph"/>
        <w:numPr>
          <w:ilvl w:val="0"/>
          <w:numId w:val="2"/>
        </w:numPr>
        <w:spacing w:after="70" w:line="264"/>
      </w:pPr>
      <w:r>
        <w:rPr>
          <w:rFonts w:ascii="Calibri" w:cs="Calibri" w:eastAsia="Calibri" w:hAnsi="Calibri"/>
          <w:b/>
          <w:bCs/>
          <w:sz w:val="21"/>
          <w:szCs w:val="21"/>
        </w:rPr>
        <w:t xml:space="preserve">Off the decision path.</w:t>
      </w:r>
      <w:r>
        <w:rPr>
          <w:rFonts w:ascii="Calibri" w:cs="Calibri" w:eastAsia="Calibri" w:hAnsi="Calibri"/>
          <w:sz w:val="21"/>
          <w:szCs w:val="21"/>
        </w:rPr>
        <w:t xml:space="preserve"> Scoring stays untouched; proving is asynchronous and gates disbursal, not the offer.</w:t>
      </w:r>
    </w:p>
    <w:p>
      <w:pPr>
        <w:pStyle w:val="ListParagraph"/>
        <w:numPr>
          <w:ilvl w:val="0"/>
          <w:numId w:val="2"/>
        </w:numPr>
        <w:spacing w:after="70" w:line="264"/>
      </w:pPr>
      <w:r>
        <w:rPr>
          <w:rFonts w:ascii="Calibri" w:cs="Calibri" w:eastAsia="Calibri" w:hAnsi="Calibri"/>
          <w:b/>
          <w:bCs/>
          <w:sz w:val="21"/>
          <w:szCs w:val="21"/>
        </w:rPr>
        <w:t xml:space="preserve">Outbound-only from the LSP.</w:t>
      </w:r>
      <w:r>
        <w:rPr>
          <w:rFonts w:ascii="Calibri" w:cs="Calibri" w:eastAsia="Calibri" w:hAnsi="Calibri"/>
          <w:sz w:val="21"/>
          <w:szCs w:val="21"/>
        </w:rPr>
        <w:t xml:space="preserve"> No inbound internet exposure on the sidecar, which eases the LSP's security review.</w:t>
      </w:r>
    </w:p>
    <w:p>
      <w:pPr>
        <w:pStyle w:val="ListParagraph"/>
        <w:numPr>
          <w:ilvl w:val="0"/>
          <w:numId w:val="2"/>
        </w:numPr>
        <w:spacing w:after="70" w:line="264"/>
      </w:pPr>
      <w:r>
        <w:rPr>
          <w:rFonts w:ascii="Calibri" w:cs="Calibri" w:eastAsia="Calibri" w:hAnsi="Calibri"/>
          <w:b/>
          <w:bCs/>
          <w:sz w:val="21"/>
          <w:szCs w:val="21"/>
        </w:rPr>
        <w:t xml:space="preserve">Minimal lender footprint.</w:t>
      </w:r>
      <w:r>
        <w:rPr>
          <w:rFonts w:ascii="Calibri" w:cs="Calibri" w:eastAsia="Calibri" w:hAnsi="Calibri"/>
          <w:sz w:val="21"/>
          <w:szCs w:val="21"/>
        </w:rPr>
        <w:t xml:space="preserve"> One container and one API call from the LMS. Optional self-hosting.</w:t>
      </w:r>
    </w:p>
    <w:p>
      <w:pPr>
        <w:pStyle w:val="ListParagraph"/>
        <w:numPr>
          <w:ilvl w:val="0"/>
          <w:numId w:val="2"/>
        </w:numPr>
        <w:spacing w:after="70" w:line="264"/>
      </w:pPr>
      <w:r>
        <w:rPr>
          <w:rFonts w:ascii="Calibri" w:cs="Calibri" w:eastAsia="Calibri" w:hAnsi="Calibri"/>
          <w:b/>
          <w:bCs/>
          <w:sz w:val="21"/>
          <w:szCs w:val="21"/>
        </w:rPr>
        <w:t xml:space="preserve">Policy is data.</w:t>
      </w:r>
      <w:r>
        <w:rPr>
          <w:rFonts w:ascii="Calibri" w:cs="Calibri" w:eastAsia="Calibri" w:hAnsi="Calibri"/>
          <w:sz w:val="21"/>
          <w:szCs w:val="21"/>
        </w:rPr>
        <w:t xml:space="preserve"> Everything the lender and LSP agree is a signed document; code reads it, never hard-codes it.</w:t>
      </w:r>
    </w:p>
    <w:p>
      <w:pPr>
        <w:pStyle w:val="ListParagraph"/>
        <w:numPr>
          <w:ilvl w:val="0"/>
          <w:numId w:val="2"/>
        </w:numPr>
        <w:spacing w:after="70" w:line="264"/>
      </w:pPr>
      <w:r>
        <w:rPr>
          <w:rFonts w:ascii="Calibri" w:cs="Calibri" w:eastAsia="Calibri" w:hAnsi="Calibri"/>
          <w:b/>
          <w:bCs/>
          <w:sz w:val="21"/>
          <w:szCs w:val="21"/>
        </w:rPr>
        <w:t xml:space="preserve">Fail closed for money, fail open for UX.</w:t>
      </w:r>
      <w:r>
        <w:rPr>
          <w:rFonts w:ascii="Calibri" w:cs="Calibri" w:eastAsia="Calibri" w:hAnsi="Calibri"/>
          <w:sz w:val="21"/>
          <w:szCs w:val="21"/>
        </w:rPr>
        <w:t xml:space="preserve"> A missing proof blocks disbursal, never the borrower's application.</w:t>
      </w:r>
    </w:p>
    <w:p>
      <w:pPr>
        <w:pStyle w:val="Heading2"/>
        <w:keepNext/>
        <w:spacing w:after="100" w:before="280"/>
      </w:pPr>
      <w:r>
        <w:rPr>
          <w:rFonts w:ascii="Calibri" w:cs="Calibri" w:eastAsia="Calibri" w:hAnsi="Calibri"/>
          <w:b/>
          <w:bCs/>
          <w:color w:val="1F7A8C"/>
          <w:sz w:val="26"/>
          <w:szCs w:val="26"/>
        </w:rPr>
        <w:t xml:space="preserve">7.2 Logical view</w:t>
      </w:r>
    </w:p>
    <w:p>
      <w:pPr>
        <w:spacing w:after="120" w:line="276"/>
      </w:pPr>
      <w:r>
        <w:rPr>
          <w:rFonts w:ascii="Calibri" w:cs="Calibri" w:eastAsia="Calibri" w:hAnsi="Calibri"/>
          <w:sz w:val="21"/>
          <w:szCs w:val="21"/>
        </w:rPr>
        <w:t xml:space="preserve">The system has three zones. Zone 1 is the LSP's private environment. Zone 2 is the shared trust anchor: signed policy plus public registration data (commitments, circuit hash, verification key). Zone 3 is the Lender Node. The Lender Node is a single deployable that can be hosted by LendProof (managed) or by the lender in its own VPC, depending on mutual acceptance; the functional behaviour is identical.</w:t>
      </w:r>
    </w:p>
    <w:p>
      <w:pPr>
        <w:spacing w:after="80" w:before="120"/>
        <w:jc w:val="center"/>
      </w:pPr>
      <w:r>
        <w:drawing>
          <wp:inline distT="0" distB="0" distL="0" distR="0">
            <wp:extent cx="6057900" cy="3838575"/>
            <wp:effectExtent t="0" r="0" b="0" l="0"/>
            <wp:docPr id="1" name="arch" descr="Three-zone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838575"/>
                    </a:xfrm>
                    <a:prstGeom prst="rect">
                      <a:avLst/>
                    </a:prstGeom>
                  </pic:spPr>
                </pic:pic>
              </a:graphicData>
            </a:graphic>
          </wp:inline>
        </w:drawing>
      </w:r>
    </w:p>
    <w:p>
      <w:pPr>
        <w:spacing w:after="120" w:line="276"/>
        <w:jc w:val="center"/>
      </w:pPr>
      <w:r>
        <w:rPr>
          <w:rFonts w:ascii="Calibri" w:cs="Calibri" w:eastAsia="Calibri" w:hAnsi="Calibri"/>
          <w:i/>
          <w:iCs/>
          <w:sz w:val="18"/>
          <w:szCs w:val="18"/>
        </w:rPr>
        <w:t xml:space="preserve">Figure 1. Three-zone architecture. Only proofs, commitments and verdicts cross from the LSP to the lender.</w:t>
      </w:r>
    </w:p>
    <w:p>
      <w:pPr>
        <w:pStyle w:val="Heading2"/>
        <w:keepNext/>
        <w:spacing w:after="100" w:before="280"/>
      </w:pPr>
      <w:r>
        <w:rPr>
          <w:rFonts w:ascii="Calibri" w:cs="Calibri" w:eastAsia="Calibri" w:hAnsi="Calibri"/>
          <w:b/>
          <w:bCs/>
          <w:color w:val="1F7A8C"/>
          <w:sz w:val="26"/>
          <w:szCs w:val="26"/>
        </w:rPr>
        <w:t xml:space="preserve">7.3 Trust boundaries and data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900"/>
        <w:gridCol w:w="1738"/>
      </w:tblGrid>
      <w:tr>
        <w:trPr>
          <w:tblHeader/>
        </w:trPr>
        <w:tc>
          <w:tcPr>
            <w:tcW w:type="dxa" w:w="2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Data item</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Classification</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Lives in</w:t>
            </w:r>
          </w:p>
        </w:tc>
        <w:tc>
          <w:tcPr>
            <w:tcW w:type="dxa" w:w="1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Crosses to lender?</w:t>
            </w:r>
          </w:p>
        </w:tc>
        <w:tc>
          <w:tcPr>
            <w:tcW w:type="dxa" w:w="17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Crosses to LendProof-hosted infra?</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Model weights, biases, split thresholds, leaf values</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Secret (LSP IP)</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key store</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Never</w:t>
            </w:r>
          </w:p>
        </w:tc>
        <w:tc>
          <w:tcPr>
            <w:tcW w:type="dxa" w:w="1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Never</w:t>
            </w:r>
          </w:p>
        </w:tc>
      </w:tr>
      <w:tr>
        <w:trPr>
          <w:cantSplit/>
        </w:trPr>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Commitment salt(s)</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Secret</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key store / KMS</w:t>
            </w:r>
          </w:p>
        </w:tc>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Never</w:t>
            </w:r>
          </w:p>
        </w:tc>
        <w:tc>
          <w:tcPr>
            <w:tcW w:type="dxa" w:w="1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Never</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key</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Confidential (LSP)</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w:t>
            </w:r>
          </w:p>
        </w:tc>
        <w:tc>
          <w:tcPr>
            <w:tcW w:type="dxa" w:w="1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w:t>
            </w:r>
          </w:p>
        </w:tc>
      </w:tr>
      <w:tr>
        <w:trPr>
          <w:cantSplit/>
        </w:trPr>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Raw borrower features</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Personal data</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and lender already hold these</w:t>
            </w:r>
          </w:p>
        </w:tc>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Only via the existing LSP-to-RE data channel, not via LendProof</w:t>
            </w:r>
          </w:p>
        </w:tc>
        <w:tc>
          <w:tcPr>
            <w:tcW w:type="dxa" w:w="1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Input commitment </w:t>
            </w:r>
            <w:r>
              <w:rPr>
                <w:rFonts w:ascii="Consolas" w:cs="Consolas" w:eastAsia="Consolas" w:hAnsi="Consolas"/>
                <w:color w:val="8E2C48"/>
                <w:sz w:val="16"/>
                <w:szCs w:val="16"/>
              </w:rPr>
              <w:t xml:space="preserve">X</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value (salted hash)</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public inputs</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w:t>
            </w:r>
          </w:p>
        </w:tc>
        <w:tc>
          <w:tcPr>
            <w:tcW w:type="dxa" w:w="1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w:t>
            </w:r>
          </w:p>
        </w:tc>
      </w:tr>
      <w:tr>
        <w:trPr>
          <w:cantSplit/>
        </w:trPr>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commitment </w:t>
            </w:r>
            <w:r>
              <w:rPr>
                <w:rFonts w:ascii="Consolas" w:cs="Consolas" w:eastAsia="Consolas" w:hAnsi="Consolas"/>
                <w:color w:val="8E2C48"/>
                <w:sz w:val="16"/>
                <w:szCs w:val="16"/>
              </w:rPr>
              <w:t xml:space="preserve">C</w:t>
            </w:r>
            <w:r>
              <w:rPr>
                <w:rFonts w:ascii="Calibri" w:cs="Calibri" w:eastAsia="Calibri" w:hAnsi="Calibri"/>
                <w:b/>
                <w:bCs/>
                <w:sz w:val="18"/>
                <w:szCs w:val="18"/>
              </w:rPr>
              <w:t xml:space="preserve">, circuit hash, VK</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Registry</w:t>
            </w:r>
          </w:p>
        </w:tc>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w:t>
            </w:r>
          </w:p>
        </w:tc>
        <w:tc>
          <w:tcPr>
            <w:tcW w:type="dxa" w:w="1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Proof and public values</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(reveals only decision, commitments, thresholds)</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Gateway</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w:t>
            </w:r>
          </w:p>
        </w:tc>
        <w:tc>
          <w:tcPr>
            <w:tcW w:type="dxa" w:w="1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 (managed mode)</w:t>
            </w:r>
          </w:p>
        </w:tc>
      </w:tr>
      <w:tr>
        <w:trPr>
          <w:cantSplit/>
        </w:trPr>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Policy file</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Confidential commercial</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Registry</w:t>
            </w:r>
          </w:p>
        </w:tc>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w:t>
            </w:r>
          </w:p>
        </w:tc>
        <w:tc>
          <w:tcPr>
            <w:tcW w:type="dxa" w:w="1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 (managed mode; encrypt at rest)</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Verification verdict</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Operational</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Ledger</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w:t>
            </w:r>
          </w:p>
        </w:tc>
        <w:tc>
          <w:tcPr>
            <w:tcW w:type="dxa" w:w="1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 (managed mode)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18D" w:sz="24"/>
              <w:bottom w:val="none" w:color="FFFFFF" w:sz="0"/>
              <w:right w:val="none" w:color="FFFFFF" w:sz="0"/>
            </w:tcBorders>
            <w:shd w:fill="EAF2F8" w:color="auto" w:val="clear"/>
            <w:tcMar>
              <w:top w:type="dxa" w:w="100"/>
              <w:left w:type="dxa" w:w="160"/>
              <w:bottom w:type="dxa" w:w="100"/>
              <w:right w:type="dxa" w:w="140"/>
            </w:tcMar>
          </w:tcPr>
          <w:p>
            <w:pPr>
              <w:spacing w:after="50"/>
            </w:pPr>
            <w:r>
              <w:rPr>
                <w:rFonts w:ascii="Calibri" w:cs="Calibri" w:eastAsia="Calibri" w:hAnsi="Calibri"/>
                <w:b/>
                <w:bCs/>
                <w:color w:val="1F618D"/>
                <w:sz w:val="20"/>
                <w:szCs w:val="20"/>
              </w:rPr>
              <w:t xml:space="preserve">Input binding without touching personal data</w:t>
            </w:r>
          </w:p>
          <w:p>
            <w:pPr>
              <w:spacing w:after="50" w:line="256"/>
            </w:pPr>
            <w:r>
              <w:rPr>
                <w:rFonts w:ascii="Calibri" w:cs="Calibri" w:eastAsia="Calibri" w:hAnsi="Calibri"/>
                <w:sz w:val="19"/>
                <w:szCs w:val="19"/>
              </w:rPr>
              <w:t xml:space="preserve">In managed mode, features must not flow to LendProof. The </w:t>
            </w:r>
            <w:r>
              <w:rPr>
                <w:rFonts w:ascii="Calibri" w:cs="Calibri" w:eastAsia="Calibri" w:hAnsi="Calibri"/>
                <w:b/>
                <w:bCs/>
                <w:sz w:val="19"/>
                <w:szCs w:val="19"/>
              </w:rPr>
              <w:t xml:space="preserve">Input Binding Adapter</w:t>
            </w:r>
            <w:r>
              <w:rPr>
                <w:rFonts w:ascii="Calibri" w:cs="Calibri" w:eastAsia="Calibri" w:hAnsi="Calibri"/>
                <w:sz w:val="19"/>
                <w:szCs w:val="19"/>
              </w:rPr>
              <w:t xml:space="preserve"> therefore runs inside the lender's own environment (a small agent or an LMS plugin). It recomputes </w:t>
            </w:r>
            <w:r>
              <w:rPr>
                <w:rFonts w:ascii="Consolas" w:cs="Consolas" w:eastAsia="Consolas" w:hAnsi="Consolas"/>
                <w:color w:val="8E2C48"/>
                <w:sz w:val="17"/>
                <w:szCs w:val="17"/>
              </w:rPr>
              <w:t xml:space="preserve">X'</w:t>
            </w:r>
            <w:r>
              <w:rPr>
                <w:rFonts w:ascii="Calibri" w:cs="Calibri" w:eastAsia="Calibri" w:hAnsi="Calibri"/>
                <w:sz w:val="19"/>
                <w:szCs w:val="19"/>
              </w:rPr>
              <w:t xml:space="preserve"> from data the lender already holds and pushes only the hash to the node. In self-hosted mode it is simply a module of the node.</w:t>
            </w:r>
          </w:p>
        </w:tc>
      </w:tr>
    </w:tbl>
    <w:p>
      <w:pPr>
        <w:spacing w:after="120"/>
      </w:pPr>
    </w:p>
    <w:p>
      <w:pPr>
        <w:pStyle w:val="Heading2"/>
        <w:keepNext/>
        <w:spacing w:after="100" w:before="280"/>
      </w:pPr>
      <w:r>
        <w:rPr>
          <w:rFonts w:ascii="Calibri" w:cs="Calibri" w:eastAsia="Calibri" w:hAnsi="Calibri"/>
          <w:b/>
          <w:bCs/>
          <w:color w:val="1F7A8C"/>
          <w:sz w:val="26"/>
          <w:szCs w:val="26"/>
        </w:rPr>
        <w:t xml:space="preserve">7.4 Component specifications</w:t>
      </w:r>
    </w:p>
    <w:p>
      <w:pPr>
        <w:pStyle w:val="Heading3"/>
        <w:keepNext/>
        <w:spacing w:after="80" w:before="200"/>
      </w:pPr>
      <w:r>
        <w:rPr>
          <w:rFonts w:ascii="Calibri" w:cs="Calibri" w:eastAsia="Calibri" w:hAnsi="Calibri"/>
          <w:b/>
          <w:bCs/>
          <w:color w:val="1F3A5F"/>
          <w:sz w:val="22"/>
          <w:szCs w:val="22"/>
        </w:rPr>
        <w:t xml:space="preserve">Zone 1: LSP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300"/>
        <w:gridCol w:w="2038"/>
      </w:tblGrid>
      <w:tr>
        <w:trPr>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Component</w:t>
            </w:r>
          </w:p>
        </w:tc>
        <w:tc>
          <w:tcPr>
            <w:tcW w:type="dxa" w:w="3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Responsibility</w:t>
            </w:r>
          </w:p>
        </w:tc>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Interfaces</w:t>
            </w:r>
          </w:p>
        </w:tc>
        <w:tc>
          <w:tcPr>
            <w:tcW w:type="dxa" w:w="2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Notes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C1. Model Service (existing)</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Production scoring. Unchanged. Must serve the exact quantised artefact that was registered.</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Emits a decision event after scoring.</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Parity tests at registration; deployment pipeline records artefact hash. LSP-side change is limited to emitting an event.</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C2. Decision Event Adapter</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Formats events: </w:t>
            </w:r>
            <w:r>
              <w:rPr>
                <w:rFonts w:ascii="Consolas" w:cs="Consolas" w:eastAsia="Consolas" w:hAnsi="Consolas"/>
                <w:color w:val="8E2C48"/>
                <w:sz w:val="16"/>
                <w:szCs w:val="16"/>
              </w:rPr>
              <w:t xml:space="preserve">decision_id</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application_id</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policy_id</w:t>
            </w:r>
            <w:r>
              <w:rPr>
                <w:rFonts w:ascii="Calibri" w:cs="Calibri" w:eastAsia="Calibri" w:hAnsi="Calibri"/>
                <w:b w:val="false"/>
                <w:bCs w:val="false"/>
                <w:sz w:val="18"/>
                <w:szCs w:val="18"/>
              </w:rPr>
              <w:t xml:space="preserve">, feature vector (staying local), decision, timestamp.</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Kafka/SQS topic (preferred) or </w:t>
            </w:r>
            <w:r>
              <w:rPr>
                <w:rFonts w:ascii="Consolas" w:cs="Consolas" w:eastAsia="Consolas" w:hAnsi="Consolas"/>
                <w:color w:val="8E2C48"/>
                <w:sz w:val="16"/>
                <w:szCs w:val="16"/>
              </w:rPr>
              <w:t xml:space="preserve">POST /v1/prove</w:t>
            </w:r>
            <w:r>
              <w:rPr>
                <w:rFonts w:ascii="Calibri" w:cs="Calibri" w:eastAsia="Calibri" w:hAnsi="Calibri"/>
                <w:b w:val="false"/>
                <w:bCs w:val="false"/>
                <w:sz w:val="18"/>
                <w:szCs w:val="18"/>
              </w:rPr>
              <w:t xml:space="preserve"> on the sidecar.</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Queue integration is least invasive. Event contains raw features, so it stays within the LSP network.</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C3. Prover Sidecar</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See sub-modules below.</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Inbound: queue or local HTTP. Outbound: HTTPS to Lender Node only.</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Stateless workers plus a small local database for the outbox.</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C3a. Ingestor and Outbox</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Idempotent consumption; durable outbox so no decision is lost if the prover crashes.</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Queue consumer; local SQLite/Postgres.</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Exactly-once effect via </w:t>
            </w:r>
            <w:r>
              <w:rPr>
                <w:rFonts w:ascii="Consolas" w:cs="Consolas" w:eastAsia="Consolas" w:hAnsi="Consolas"/>
                <w:color w:val="8E2C48"/>
                <w:sz w:val="16"/>
                <w:szCs w:val="16"/>
              </w:rPr>
              <w:t xml:space="preserve">decision_id</w:t>
            </w:r>
            <w:r>
              <w:rPr>
                <w:rFonts w:ascii="Calibri" w:cs="Calibri" w:eastAsia="Calibri" w:hAnsi="Calibri"/>
                <w:b w:val="false"/>
                <w:bCs w:val="false"/>
                <w:sz w:val="18"/>
                <w:szCs w:val="18"/>
              </w:rPr>
              <w:t xml:space="preserve"> idempotency key.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C3b. Witness Builder</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Loads quantised weights and salt from the key store, quantises features, computes every intermediate value, assembles the witness.</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Local key store (KMS, Vault or encrypted file).</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Deterministic; same code path as the reference quantised inference.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C3c. Prover Workers</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Generate proofs using the proving key (EZKL for MVP; zkVM backend pluggable).</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Job queue; CPU workers, optional GPU.</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Horizontal scale; per-job timeout and retry with backoff.</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C3d. Uploader</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Signs the payload with the LSP's client key and posts </w:t>
            </w:r>
            <w:r>
              <w:rPr>
                <w:rFonts w:ascii="Consolas" w:cs="Consolas" w:eastAsia="Consolas" w:hAnsi="Consolas"/>
                <w:color w:val="8E2C48"/>
                <w:sz w:val="16"/>
                <w:szCs w:val="16"/>
              </w:rPr>
              <w:t xml:space="preserve">{proof, public_values}</w:t>
            </w:r>
            <w:r>
              <w:rPr>
                <w:rFonts w:ascii="Calibri" w:cs="Calibri" w:eastAsia="Calibri" w:hAnsi="Calibri"/>
                <w:b w:val="false"/>
                <w:bCs w:val="false"/>
                <w:sz w:val="18"/>
                <w:szCs w:val="18"/>
              </w:rPr>
              <w:t xml:space="preserve"> over mutual TLS.</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Node </w:t>
            </w:r>
            <w:r>
              <w:rPr>
                <w:rFonts w:ascii="Consolas" w:cs="Consolas" w:eastAsia="Consolas" w:hAnsi="Consolas"/>
                <w:color w:val="8E2C48"/>
                <w:sz w:val="16"/>
                <w:szCs w:val="16"/>
              </w:rPr>
              <w:t xml:space="preserve">POST /v1/proofs</w:t>
            </w:r>
            <w:r>
              <w:rPr>
                <w:rFonts w:ascii="Calibri" w:cs="Calibri" w:eastAsia="Calibri" w:hAnsi="Calibri"/>
                <w:b w:val="false"/>
                <w:bCs w:val="false"/>
                <w:sz w:val="18"/>
                <w:szCs w:val="18"/>
              </w:rPr>
              <w:t xml:space="preserve">.</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Retries with exponential backoff; reports queue depth metric.</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C3e. Local Health and Metrics API</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Exposes sidecar health and Prometheus metrics to the LSP ops team only.</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Localhost / internal network.</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data about weights ever exported.</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C4. Registration CLI</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Compile ONNX to circuit, run setup, compute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produce parity report, sign registration bundle.</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Node </w:t>
            </w:r>
            <w:r>
              <w:rPr>
                <w:rFonts w:ascii="Consolas" w:cs="Consolas" w:eastAsia="Consolas" w:hAnsi="Consolas"/>
                <w:color w:val="8E2C48"/>
                <w:sz w:val="16"/>
                <w:szCs w:val="16"/>
              </w:rPr>
              <w:t xml:space="preserve">POST /v1/models</w:t>
            </w:r>
            <w:r>
              <w:rPr>
                <w:rFonts w:ascii="Calibri" w:cs="Calibri" w:eastAsia="Calibri" w:hAnsi="Calibri"/>
                <w:b w:val="false"/>
                <w:bCs w:val="false"/>
                <w:sz w:val="18"/>
                <w:szCs w:val="18"/>
              </w:rPr>
              <w:t xml:space="preserve">.</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Run by the LSP at onboarding and on each model version.</w:t>
            </w:r>
          </w:p>
        </w:tc>
      </w:tr>
    </w:tbl>
    <w:p>
      <w:pPr>
        <w:spacing w:after="120"/>
      </w:pPr>
    </w:p>
    <w:p>
      <w:pPr>
        <w:pStyle w:val="Heading3"/>
        <w:keepNext/>
        <w:spacing w:after="80" w:before="200"/>
      </w:pPr>
      <w:r>
        <w:rPr>
          <w:rFonts w:ascii="Calibri" w:cs="Calibri" w:eastAsia="Calibri" w:hAnsi="Calibri"/>
          <w:b/>
          <w:bCs/>
          <w:color w:val="1F3A5F"/>
          <w:sz w:val="22"/>
          <w:szCs w:val="22"/>
        </w:rPr>
        <w:t xml:space="preserve">Zone 2: Shared trust anchor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tblHeader/>
        </w:trPr>
        <w:tc>
          <w:tcPr>
            <w:tcW w:type="dxa" w:w="2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Component</w:t>
            </w:r>
          </w:p>
        </w:tc>
        <w:tc>
          <w:tcPr>
            <w:tcW w:type="dxa" w:w="4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Responsibility</w:t>
            </w:r>
          </w:p>
        </w:tc>
        <w:tc>
          <w:tcPr>
            <w:tcW w:type="dxa" w:w="3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Policy Registry</w:t>
            </w:r>
          </w:p>
        </w:tc>
        <w:tc>
          <w:tcPr>
            <w:tcW w:type="dxa" w:w="4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Stores dual-signed policy documents, version history, validity windows; exposes policy by </w:t>
            </w:r>
            <w:r>
              <w:rPr>
                <w:rFonts w:ascii="Consolas" w:cs="Consolas" w:eastAsia="Consolas" w:hAnsi="Consolas"/>
                <w:color w:val="8E2C48"/>
                <w:sz w:val="16"/>
                <w:szCs w:val="16"/>
              </w:rPr>
              <w:t xml:space="preserve">policy_id</w:t>
            </w:r>
            <w:r>
              <w:rPr>
                <w:rFonts w:ascii="Calibri" w:cs="Calibri" w:eastAsia="Calibri" w:hAnsi="Calibri"/>
                <w:b w:val="false"/>
                <w:bCs w:val="false"/>
                <w:sz w:val="18"/>
                <w:szCs w:val="18"/>
              </w:rPr>
              <w:t xml:space="preserve"> and </w:t>
            </w:r>
            <w:r>
              <w:rPr>
                <w:rFonts w:ascii="Consolas" w:cs="Consolas" w:eastAsia="Consolas" w:hAnsi="Consolas"/>
                <w:color w:val="8E2C48"/>
                <w:sz w:val="16"/>
                <w:szCs w:val="16"/>
              </w:rPr>
              <w:t xml:space="preserve">policy_hash</w:t>
            </w:r>
            <w:r>
              <w:rPr>
                <w:rFonts w:ascii="Calibri" w:cs="Calibri" w:eastAsia="Calibri" w:hAnsi="Calibri"/>
                <w:b w:val="false"/>
                <w:bCs w:val="false"/>
                <w:sz w:val="18"/>
                <w:szCs w:val="18"/>
              </w:rPr>
              <w:t xml:space="preserve">.</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Lives inside the Lender Node. Policy is owned by the lender and LSP, not by LendProof.</w:t>
            </w:r>
          </w:p>
        </w:tc>
      </w:tr>
      <w:tr>
        <w:trPr>
          <w:cantSplit/>
        </w:trPr>
        <w:tc>
          <w:tcPr>
            <w:tcW w:type="dxa" w:w="22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Registry</w:t>
            </w:r>
          </w:p>
        </w:tc>
        <w:tc>
          <w:tcPr>
            <w:tcW w:type="dxa" w:w="4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Stores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circuit_hash</w:t>
            </w:r>
            <w:r>
              <w:rPr>
                <w:rFonts w:ascii="Calibri" w:cs="Calibri" w:eastAsia="Calibri" w:hAnsi="Calibri"/>
                <w:b w:val="false"/>
                <w:bCs w:val="false"/>
                <w:sz w:val="18"/>
                <w:szCs w:val="18"/>
              </w:rPr>
              <w:t xml:space="preserve">, VK, parity report, approval status (PENDING, ACTIVE, DEPRECATED, REVOKED).</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data only. Lender approval is a signed action.</w:t>
            </w:r>
          </w:p>
        </w:tc>
      </w:tr>
    </w:tbl>
    <w:p>
      <w:pPr>
        <w:spacing w:after="120"/>
      </w:pPr>
    </w:p>
    <w:p>
      <w:pPr>
        <w:pStyle w:val="Heading3"/>
        <w:keepNext/>
        <w:spacing w:after="80" w:before="200"/>
      </w:pPr>
      <w:r>
        <w:rPr>
          <w:rFonts w:ascii="Calibri" w:cs="Calibri" w:eastAsia="Calibri" w:hAnsi="Calibri"/>
          <w:b/>
          <w:bCs/>
          <w:color w:val="1F3A5F"/>
          <w:sz w:val="22"/>
          <w:szCs w:val="22"/>
        </w:rPr>
        <w:t xml:space="preserve">Zone 3: Lender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300"/>
        <w:gridCol w:w="1938"/>
      </w:tblGrid>
      <w:tr>
        <w:trPr>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Component</w:t>
            </w:r>
          </w:p>
        </w:tc>
        <w:tc>
          <w:tcPr>
            <w:tcW w:type="dxa" w:w="3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Responsibility</w:t>
            </w:r>
          </w:p>
        </w:tc>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Interfaces</w:t>
            </w:r>
          </w:p>
        </w:tc>
        <w:tc>
          <w:tcPr>
            <w:tcW w:type="dxa" w:w="19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Notes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N1. Gateway</w:t>
            </w:r>
          </w:p>
        </w:tc>
        <w:tc>
          <w:tcPr>
            <w:tcW w:type="dxa" w:w="3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Authenticates callers (mTLS plus signed requests), validates schemas, rate-limits, assigns request IDs, enqueues verification jobs.</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POST /v1/proofs</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POST /v1/models</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GET /v1/policies/*</w:t>
            </w:r>
          </w:p>
        </w:tc>
        <w:tc>
          <w:tcPr>
            <w:tcW w:type="dxa" w:w="1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Stateless; scales horizontally.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N2. Verifier Engine</w:t>
            </w:r>
          </w:p>
        </w:tc>
        <w:tc>
          <w:tcPr>
            <w:tcW w:type="dxa" w:w="3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Runs cryptographic verification against the VK, then public-input checks (see 7.6).</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Internal; library call per proof.</w:t>
            </w:r>
          </w:p>
        </w:tc>
        <w:tc>
          <w:tcPr>
            <w:tcW w:type="dxa" w:w="1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Verification is cheap; run in-process with a bounded worker pool.</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N3. Policy Engine</w:t>
            </w:r>
          </w:p>
        </w:tc>
        <w:tc>
          <w:tcPr>
            <w:tcW w:type="dxa" w:w="3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Resolves which policy and version applies; evaluates mode (gated, sampled, monitor).</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Internal.</w:t>
            </w:r>
          </w:p>
        </w:tc>
        <w:tc>
          <w:tcPr>
            <w:tcW w:type="dxa" w:w="1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Reads signed policy; rejects unsigned files.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N4. Audit Ledger</w:t>
            </w:r>
          </w:p>
        </w:tc>
        <w:tc>
          <w:tcPr>
            <w:tcW w:type="dxa" w:w="3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Append-only, hash-chained record of every verification outcome. Each row stores </w:t>
            </w:r>
            <w:r>
              <w:rPr>
                <w:rFonts w:ascii="Consolas" w:cs="Consolas" w:eastAsia="Consolas" w:hAnsi="Consolas"/>
                <w:color w:val="8E2C48"/>
                <w:sz w:val="16"/>
                <w:szCs w:val="16"/>
              </w:rPr>
              <w:t xml:space="preserve">prev_hash</w:t>
            </w:r>
            <w:r>
              <w:rPr>
                <w:rFonts w:ascii="Calibri" w:cs="Calibri" w:eastAsia="Calibri" w:hAnsi="Calibri"/>
                <w:b w:val="false"/>
                <w:bCs w:val="false"/>
                <w:sz w:val="18"/>
                <w:szCs w:val="18"/>
              </w:rPr>
              <w:t xml:space="preserve"> and a row hash; a signed root is produced periodically.</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Internal; export API.</w:t>
            </w:r>
          </w:p>
        </w:tc>
        <w:tc>
          <w:tcPr>
            <w:tcW w:type="dxa" w:w="1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Postgres with write-once constraints (insert-only role) plus periodic root anchoring.</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N5. Gate API</w:t>
            </w:r>
          </w:p>
        </w:tc>
        <w:tc>
          <w:tcPr>
            <w:tcW w:type="dxa" w:w="3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Returns decision status for the LMS.</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GET /v1/decisions/{id}/status</w:t>
            </w:r>
            <w:r>
              <w:rPr>
                <w:rFonts w:ascii="Calibri" w:cs="Calibri" w:eastAsia="Calibri" w:hAnsi="Calibri"/>
                <w:b w:val="false"/>
                <w:bCs w:val="false"/>
                <w:sz w:val="18"/>
                <w:szCs w:val="18"/>
              </w:rPr>
              <w:t xml:space="preserve">, optional webhook.</w:t>
            </w:r>
          </w:p>
        </w:tc>
        <w:tc>
          <w:tcPr>
            <w:tcW w:type="dxa" w:w="1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Low-latency read path with cache; defined semantics for fail-closed.</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N6. Input Binding Adapter</w:t>
            </w:r>
          </w:p>
        </w:tc>
        <w:tc>
          <w:tcPr>
            <w:tcW w:type="dxa" w:w="3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Recomputes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from lender-held signed bureau/AA data and compares to proof's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LMS data feed; pushes </w:t>
            </w:r>
            <w:r>
              <w:rPr>
                <w:rFonts w:ascii="Consolas" w:cs="Consolas" w:eastAsia="Consolas" w:hAnsi="Consolas"/>
                <w:color w:val="8E2C48"/>
                <w:sz w:val="16"/>
                <w:szCs w:val="16"/>
              </w:rPr>
              <w:t xml:space="preserve">{application_id, X'}</w:t>
            </w:r>
            <w:r>
              <w:rPr>
                <w:rFonts w:ascii="Calibri" w:cs="Calibri" w:eastAsia="Calibri" w:hAnsi="Calibri"/>
                <w:b w:val="false"/>
                <w:bCs w:val="false"/>
                <w:sz w:val="18"/>
                <w:szCs w:val="18"/>
              </w:rPr>
              <w:t xml:space="preserve">.</w:t>
            </w:r>
          </w:p>
        </w:tc>
        <w:tc>
          <w:tcPr>
            <w:tcW w:type="dxa" w:w="1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Runs inside lender environment.</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N7. Reconciler</w:t>
            </w:r>
          </w:p>
        </w:tc>
        <w:tc>
          <w:tcPr>
            <w:tcW w:type="dxa" w:w="3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Compares application and decision IDs from the lender feed against the ledger; flags missing proofs and unexpected decisions.</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application feed.</w:t>
            </w:r>
          </w:p>
        </w:tc>
        <w:tc>
          <w:tcPr>
            <w:tcW w:type="dxa" w:w="1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Closes the rejection-skipping gap partially (see N3 in Section 4.5).</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N8. Dashboard and Alerts</w:t>
            </w:r>
          </w:p>
        </w:tc>
        <w:tc>
          <w:tcPr>
            <w:tcW w:type="dxa" w:w="3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Verified / failed / pending, reasons, latency, model and policy versions, evidence export, webhooks/email.</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Web UI plus REST.</w:t>
            </w:r>
          </w:p>
        </w:tc>
        <w:tc>
          <w:tcPr>
            <w:tcW w:type="dxa" w:w="1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React front end.</w:t>
            </w:r>
          </w:p>
        </w:tc>
      </w:tr>
    </w:tbl>
    <w:p>
      <w:pPr>
        <w:pStyle w:val="Heading2"/>
        <w:keepNext/>
        <w:spacing w:after="100" w:before="280"/>
      </w:pPr>
      <w:r>
        <w:rPr>
          <w:rFonts w:ascii="Calibri" w:cs="Calibri" w:eastAsia="Calibri" w:hAnsi="Calibri"/>
          <w:b/>
          <w:bCs/>
          <w:color w:val="1F7A8C"/>
          <w:sz w:val="26"/>
          <w:szCs w:val="26"/>
        </w:rPr>
        <w:t xml:space="preserve">7.5 End-to-end lifecycle flows</w:t>
      </w:r>
    </w:p>
    <w:p>
      <w:pPr>
        <w:pStyle w:val="Heading3"/>
        <w:keepNext/>
        <w:spacing w:after="80" w:before="200"/>
      </w:pPr>
      <w:r>
        <w:rPr>
          <w:rFonts w:ascii="Calibri" w:cs="Calibri" w:eastAsia="Calibri" w:hAnsi="Calibri"/>
          <w:b/>
          <w:bCs/>
          <w:color w:val="1F3A5F"/>
          <w:sz w:val="22"/>
          <w:szCs w:val="22"/>
        </w:rPr>
        <w:t xml:space="preserve">Flow A: Onboarding and model registration (one-time per model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100"/>
        <w:gridCol w:w="2038"/>
      </w:tblGrid>
      <w:tr>
        <w:trPr>
          <w:tblHeader/>
        </w:trPr>
        <w:tc>
          <w:tcPr>
            <w:tcW w:type="dxa" w:w="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t>
            </w:r>
          </w:p>
        </w:tc>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Actor</w:t>
            </w:r>
          </w:p>
        </w:tc>
        <w:tc>
          <w:tcPr>
            <w:tcW w:type="dxa" w:w="51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Action</w:t>
            </w:r>
          </w:p>
        </w:tc>
        <w:tc>
          <w:tcPr>
            <w:tcW w:type="dxa" w:w="2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Output</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 LSP</w:t>
            </w:r>
          </w:p>
        </w:tc>
        <w:tc>
          <w:tcPr>
            <w:tcW w:type="dxa" w:w="5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Negotiate the commercial and policy terms: model class, feature allow-list, cut-off, hard rules, proof mode, SLAs.</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Draft </w:t>
            </w:r>
            <w:r>
              <w:rPr>
                <w:rFonts w:ascii="Consolas" w:cs="Consolas" w:eastAsia="Consolas" w:hAnsi="Consolas"/>
                <w:color w:val="8E2C48"/>
                <w:sz w:val="16"/>
                <w:szCs w:val="16"/>
              </w:rPr>
              <w:t xml:space="preserve">policy.json</w:t>
            </w:r>
          </w:p>
        </w:tc>
      </w:tr>
      <w:tr>
        <w:trPr>
          <w:cantSplit/>
        </w:trPr>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2</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51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Export the production model, quantise, export to ONNX, run parity test (float vs quantised).</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Quantised model artefact, parity report</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3</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(Registration CLI)</w:t>
            </w:r>
          </w:p>
        </w:tc>
        <w:tc>
          <w:tcPr>
            <w:tcW w:type="dxa" w:w="5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Compile ONNX to circuit; run setup; compute </w:t>
            </w:r>
            <w:r>
              <w:rPr>
                <w:rFonts w:ascii="Consolas" w:cs="Consolas" w:eastAsia="Consolas" w:hAnsi="Consolas"/>
                <w:color w:val="8E2C48"/>
                <w:sz w:val="16"/>
                <w:szCs w:val="16"/>
              </w:rPr>
              <w:t xml:space="preserve">C = Poseidon(weights, bias, salt)</w:t>
            </w:r>
            <w:r>
              <w:rPr>
                <w:rFonts w:ascii="Calibri" w:cs="Calibri" w:eastAsia="Calibri" w:hAnsi="Calibri"/>
                <w:b w:val="false"/>
                <w:bCs w:val="false"/>
                <w:sz w:val="18"/>
                <w:szCs w:val="18"/>
              </w:rPr>
              <w:t xml:space="preserve"> locally; compute </w:t>
            </w:r>
            <w:r>
              <w:rPr>
                <w:rFonts w:ascii="Consolas" w:cs="Consolas" w:eastAsia="Consolas" w:hAnsi="Consolas"/>
                <w:color w:val="8E2C48"/>
                <w:sz w:val="16"/>
                <w:szCs w:val="16"/>
              </w:rPr>
              <w:t xml:space="preserve">circuit_hash</w:t>
            </w:r>
            <w:r>
              <w:rPr>
                <w:rFonts w:ascii="Calibri" w:cs="Calibri" w:eastAsia="Calibri" w:hAnsi="Calibri"/>
                <w:b w:val="false"/>
                <w:bCs w:val="false"/>
                <w:sz w:val="18"/>
                <w:szCs w:val="18"/>
              </w:rPr>
              <w:t xml:space="preserve">.</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PK</w:t>
            </w:r>
            <w:r>
              <w:rPr>
                <w:rFonts w:ascii="Calibri" w:cs="Calibri" w:eastAsia="Calibri" w:hAnsi="Calibri"/>
                <w:b w:val="false"/>
                <w:bCs w:val="false"/>
                <w:sz w:val="18"/>
                <w:szCs w:val="18"/>
              </w:rPr>
              <w:t xml:space="preserve"> (stays at LSP), </w:t>
            </w:r>
            <w:r>
              <w:rPr>
                <w:rFonts w:ascii="Consolas" w:cs="Consolas" w:eastAsia="Consolas" w:hAnsi="Consolas"/>
                <w:color w:val="8E2C48"/>
                <w:sz w:val="16"/>
                <w:szCs w:val="16"/>
              </w:rPr>
              <w:t xml:space="preserve">VK</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circuit_hash</w:t>
            </w:r>
          </w:p>
        </w:tc>
      </w:tr>
      <w:tr>
        <w:trPr>
          <w:cantSplit/>
        </w:trPr>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4</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51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Submit </w:t>
            </w:r>
            <w:r>
              <w:rPr>
                <w:rFonts w:ascii="Consolas" w:cs="Consolas" w:eastAsia="Consolas" w:hAnsi="Consolas"/>
                <w:color w:val="8E2C48"/>
                <w:sz w:val="16"/>
                <w:szCs w:val="16"/>
              </w:rPr>
              <w:t xml:space="preserve">{C, circuit_hash, VK, parity_report, feature_schema_hash}</w:t>
            </w:r>
            <w:r>
              <w:rPr>
                <w:rFonts w:ascii="Calibri" w:cs="Calibri" w:eastAsia="Calibri" w:hAnsi="Calibri"/>
                <w:b w:val="false"/>
                <w:bCs w:val="false"/>
                <w:sz w:val="18"/>
                <w:szCs w:val="18"/>
              </w:rPr>
              <w:t xml:space="preserve"> to the Lender Node. </w:t>
            </w:r>
            <w:r>
              <w:rPr>
                <w:rFonts w:ascii="Calibri" w:cs="Calibri" w:eastAsia="Calibri" w:hAnsi="Calibri"/>
                <w:b w:val="false"/>
                <w:bCs w:val="false"/>
                <w:sz w:val="18"/>
                <w:szCs w:val="18"/>
              </w:rPr>
              <w:t xml:space="preserve">No weights, no salt, no PK.</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 record in PENDING_APPROVAL</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5</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w:t>
            </w:r>
          </w:p>
        </w:tc>
        <w:tc>
          <w:tcPr>
            <w:tcW w:type="dxa" w:w="5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Reviews structure (public), parity report and policy; may run independent test proofs on dummy inputs through a sandbox.</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Decision</w:t>
            </w:r>
          </w:p>
        </w:tc>
      </w:tr>
      <w:tr>
        <w:trPr>
          <w:cantSplit/>
        </w:trPr>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6</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 LSP</w:t>
            </w:r>
          </w:p>
        </w:tc>
        <w:tc>
          <w:tcPr>
            <w:tcW w:type="dxa" w:w="51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Both sign the final policy referencing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Lender approves the model.</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Dual-signed policy; model ACTIVE</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7</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5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Deploys the same quantised artefact to production; sidecar configured with the policy ID.</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Go-live</w:t>
            </w:r>
          </w:p>
        </w:tc>
      </w:tr>
    </w:tbl>
    <w:p>
      <w:pPr>
        <w:spacing w:after="120"/>
      </w:pPr>
    </w:p>
    <w:p>
      <w:pPr>
        <w:pStyle w:val="Heading3"/>
        <w:keepNext/>
        <w:spacing w:after="80" w:before="200"/>
      </w:pPr>
      <w:r>
        <w:rPr>
          <w:rFonts w:ascii="Calibri" w:cs="Calibri" w:eastAsia="Calibri" w:hAnsi="Calibri"/>
          <w:b/>
          <w:bCs/>
          <w:color w:val="1F3A5F"/>
          <w:sz w:val="22"/>
          <w:szCs w:val="22"/>
        </w:rPr>
        <w:t xml:space="preserve">Flow B: Per-decision (steady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838"/>
      </w:tblGrid>
      <w:tr>
        <w:trPr>
          <w:tblHeader/>
        </w:trPr>
        <w:tc>
          <w:tcPr>
            <w:tcW w:type="dxa" w:w="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t>
            </w:r>
          </w:p>
        </w:tc>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Actor</w:t>
            </w:r>
          </w:p>
        </w:tc>
        <w:tc>
          <w:tcPr>
            <w:tcW w:type="dxa" w:w="68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Action</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Borrower app / LSP</w:t>
            </w:r>
          </w:p>
        </w:tc>
        <w:tc>
          <w:tcPr>
            <w:tcW w:type="dxa" w:w="6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Application received; data collected; features computed.</w:t>
            </w:r>
          </w:p>
        </w:tc>
      </w:tr>
      <w:tr>
        <w:trPr>
          <w:cantSplit/>
        </w:trPr>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2</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Model Service</w:t>
            </w:r>
          </w:p>
        </w:tc>
        <w:tc>
          <w:tcPr>
            <w:tcW w:type="dxa" w:w="6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Scores the applicant and returns the decision to the app in real time (unchanged latency).</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3</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Model Service</w:t>
            </w:r>
          </w:p>
        </w:tc>
        <w:tc>
          <w:tcPr>
            <w:tcW w:type="dxa" w:w="6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Emits a decision event to the bus. The sidecar immediately posts a hash-only </w:t>
            </w:r>
            <w:r>
              <w:rPr>
                <w:rFonts w:ascii="Calibri" w:cs="Calibri" w:eastAsia="Calibri" w:hAnsi="Calibri"/>
                <w:b w:val="false"/>
                <w:bCs w:val="false"/>
                <w:sz w:val="18"/>
                <w:szCs w:val="18"/>
              </w:rPr>
              <w:t xml:space="preserve">decision notice</w:t>
            </w:r>
            <w:r>
              <w:rPr>
                <w:rFonts w:ascii="Calibri" w:cs="Calibri" w:eastAsia="Calibri" w:hAnsi="Calibri"/>
                <w:b w:val="false"/>
                <w:bCs w:val="false"/>
                <w:sz w:val="18"/>
                <w:szCs w:val="18"/>
              </w:rPr>
              <w:t xml:space="preserve"> to the Lender Node (</w:t>
            </w:r>
            <w:r>
              <w:rPr>
                <w:rFonts w:ascii="Consolas" w:cs="Consolas" w:eastAsia="Consolas" w:hAnsi="Consolas"/>
                <w:color w:val="8E2C48"/>
                <w:sz w:val="16"/>
                <w:szCs w:val="16"/>
              </w:rPr>
              <w:t xml:space="preserve">decision_id</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application_id</w:t>
            </w:r>
            <w:r>
              <w:rPr>
                <w:rFonts w:ascii="Calibri" w:cs="Calibri" w:eastAsia="Calibri" w:hAnsi="Calibri"/>
                <w:b w:val="false"/>
                <w:bCs w:val="false"/>
                <w:sz w:val="18"/>
                <w:szCs w:val="18"/>
              </w:rPr>
              <w:t xml:space="preserve"> hash, </w:t>
            </w:r>
            <w:r>
              <w:rPr>
                <w:rFonts w:ascii="Consolas" w:cs="Consolas" w:eastAsia="Consolas" w:hAnsi="Consolas"/>
                <w:color w:val="8E2C48"/>
                <w:sz w:val="16"/>
                <w:szCs w:val="16"/>
              </w:rPr>
              <w:t xml:space="preserve">policy_id</w:t>
            </w:r>
            <w:r>
              <w:rPr>
                <w:rFonts w:ascii="Calibri" w:cs="Calibri" w:eastAsia="Calibri" w:hAnsi="Calibri"/>
                <w:b w:val="false"/>
                <w:bCs w:val="false"/>
                <w:sz w:val="18"/>
                <w:szCs w:val="18"/>
              </w:rPr>
              <w:t xml:space="preserve">, decision, timestamp). This starts the proof SLA clock at the lender and creates the reconciliation hook.</w:t>
            </w:r>
          </w:p>
        </w:tc>
      </w:tr>
      <w:tr>
        <w:trPr>
          <w:cantSplit/>
        </w:trPr>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4</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Sidecar Witness Builder</w:t>
            </w:r>
          </w:p>
        </w:tc>
        <w:tc>
          <w:tcPr>
            <w:tcW w:type="dxa" w:w="6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Quantises features; loads weights and salt from the key store; computes the full witness.</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5</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Prover Worker</w:t>
            </w:r>
          </w:p>
        </w:tc>
        <w:tc>
          <w:tcPr>
            <w:tcW w:type="dxa" w:w="6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Generates the proof asynchronously.</w:t>
            </w:r>
          </w:p>
        </w:tc>
      </w:tr>
      <w:tr>
        <w:trPr>
          <w:cantSplit/>
        </w:trPr>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6</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Uploader</w:t>
            </w:r>
          </w:p>
        </w:tc>
        <w:tc>
          <w:tcPr>
            <w:tcW w:type="dxa" w:w="6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Signs and posts </w:t>
            </w:r>
            <w:r>
              <w:rPr>
                <w:rFonts w:ascii="Consolas" w:cs="Consolas" w:eastAsia="Consolas" w:hAnsi="Consolas"/>
                <w:color w:val="8E2C48"/>
                <w:sz w:val="16"/>
                <w:szCs w:val="16"/>
              </w:rPr>
              <w:t xml:space="preserve">{proof, public_values}</w:t>
            </w:r>
            <w:r>
              <w:rPr>
                <w:rFonts w:ascii="Calibri" w:cs="Calibri" w:eastAsia="Calibri" w:hAnsi="Calibri"/>
                <w:b w:val="false"/>
                <w:bCs w:val="false"/>
                <w:sz w:val="18"/>
                <w:szCs w:val="18"/>
              </w:rPr>
              <w:t xml:space="preserve"> to </w:t>
            </w:r>
            <w:r>
              <w:rPr>
                <w:rFonts w:ascii="Consolas" w:cs="Consolas" w:eastAsia="Consolas" w:hAnsi="Consolas"/>
                <w:color w:val="8E2C48"/>
                <w:sz w:val="16"/>
                <w:szCs w:val="16"/>
              </w:rPr>
              <w:t xml:space="preserve">POST /v1/proofs</w:t>
            </w:r>
            <w:r>
              <w:rPr>
                <w:rFonts w:ascii="Calibri" w:cs="Calibri" w:eastAsia="Calibri" w:hAnsi="Calibri"/>
                <w:b w:val="false"/>
                <w:bCs w:val="false"/>
                <w:sz w:val="18"/>
                <w:szCs w:val="18"/>
              </w:rPr>
              <w:t xml:space="preserve">.</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7</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Node Verifier</w:t>
            </w:r>
          </w:p>
        </w:tc>
        <w:tc>
          <w:tcPr>
            <w:tcW w:type="dxa" w:w="6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Runs the verification pipeline (7.6), appends the result to the ledger, updates status.</w:t>
            </w:r>
          </w:p>
        </w:tc>
      </w:tr>
      <w:tr>
        <w:trPr>
          <w:cantSplit/>
        </w:trPr>
        <w:tc>
          <w:tcPr>
            <w:tcW w:type="dxa" w:w="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8</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LMS</w:t>
            </w:r>
          </w:p>
        </w:tc>
        <w:tc>
          <w:tcPr>
            <w:tcW w:type="dxa" w:w="6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Before disbursal, calls </w:t>
            </w:r>
            <w:r>
              <w:rPr>
                <w:rFonts w:ascii="Consolas" w:cs="Consolas" w:eastAsia="Consolas" w:hAnsi="Consolas"/>
                <w:color w:val="8E2C48"/>
                <w:sz w:val="16"/>
                <w:szCs w:val="16"/>
              </w:rPr>
              <w:t xml:space="preserve">GET /v1/decisions/{id}/status</w:t>
            </w:r>
            <w:r>
              <w:rPr>
                <w:rFonts w:ascii="Calibri" w:cs="Calibri" w:eastAsia="Calibri" w:hAnsi="Calibri"/>
                <w:b w:val="false"/>
                <w:bCs w:val="false"/>
                <w:sz w:val="18"/>
                <w:szCs w:val="18"/>
              </w:rPr>
              <w:t xml:space="preserve">. Proceeds only on VERIFIED.</w:t>
            </w:r>
          </w:p>
        </w:tc>
      </w:tr>
    </w:tbl>
    <w:p>
      <w:pPr>
        <w:spacing w:after="120"/>
      </w:pPr>
    </w:p>
    <w:p>
      <w:pPr>
        <w:pStyle w:val="Heading3"/>
        <w:keepNext/>
        <w:spacing w:after="80" w:before="200"/>
      </w:pPr>
      <w:r>
        <w:rPr>
          <w:rFonts w:ascii="Calibri" w:cs="Calibri" w:eastAsia="Calibri" w:hAnsi="Calibri"/>
          <w:b/>
          <w:bCs/>
          <w:color w:val="1F3A5F"/>
          <w:sz w:val="22"/>
          <w:szCs w:val="22"/>
        </w:rPr>
        <w:t xml:space="preserve">Flow C: Model update or rotation</w:t>
      </w:r>
    </w:p>
    <w:p>
      <w:pPr>
        <w:pStyle w:val="ListParagraph"/>
        <w:numPr>
          <w:ilvl w:val="0"/>
          <w:numId w:val="2"/>
        </w:numPr>
        <w:spacing w:after="70" w:line="264"/>
      </w:pPr>
      <w:r>
        <w:rPr>
          <w:rFonts w:ascii="Calibri" w:cs="Calibri" w:eastAsia="Calibri" w:hAnsi="Calibri"/>
          <w:sz w:val="21"/>
          <w:szCs w:val="21"/>
        </w:rPr>
        <w:t xml:space="preserve">LSP registers the new model (Flow A steps 2 to 6). Policy v2 references the new </w:t>
      </w:r>
      <w:r>
        <w:rPr>
          <w:rFonts w:ascii="Consolas" w:cs="Consolas" w:eastAsia="Consolas" w:hAnsi="Consolas"/>
          <w:color w:val="8E2C48"/>
          <w:sz w:val="19"/>
          <w:szCs w:val="19"/>
        </w:rPr>
        <w:t xml:space="preserve">C</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Policy v2 defines </w:t>
      </w:r>
      <w:r>
        <w:rPr>
          <w:rFonts w:ascii="Consolas" w:cs="Consolas" w:eastAsia="Consolas" w:hAnsi="Consolas"/>
          <w:color w:val="8E2C48"/>
          <w:sz w:val="19"/>
          <w:szCs w:val="19"/>
        </w:rPr>
        <w:t xml:space="preserve">effective_from</w:t>
      </w:r>
      <w:r>
        <w:rPr>
          <w:rFonts w:ascii="Calibri" w:cs="Calibri" w:eastAsia="Calibri" w:hAnsi="Calibri"/>
          <w:sz w:val="21"/>
          <w:szCs w:val="21"/>
        </w:rPr>
        <w:t xml:space="preserve"> and a grace period during which both </w:t>
      </w:r>
      <w:r>
        <w:rPr>
          <w:rFonts w:ascii="Consolas" w:cs="Consolas" w:eastAsia="Consolas" w:hAnsi="Consolas"/>
          <w:color w:val="8E2C48"/>
          <w:sz w:val="19"/>
          <w:szCs w:val="19"/>
        </w:rPr>
        <w:t xml:space="preserve">C_old</w:t>
      </w:r>
      <w:r>
        <w:rPr>
          <w:rFonts w:ascii="Calibri" w:cs="Calibri" w:eastAsia="Calibri" w:hAnsi="Calibri"/>
          <w:sz w:val="21"/>
          <w:szCs w:val="21"/>
        </w:rPr>
        <w:t xml:space="preserve"> and </w:t>
      </w:r>
      <w:r>
        <w:rPr>
          <w:rFonts w:ascii="Consolas" w:cs="Consolas" w:eastAsia="Consolas" w:hAnsi="Consolas"/>
          <w:color w:val="8E2C48"/>
          <w:sz w:val="19"/>
          <w:szCs w:val="19"/>
        </w:rPr>
        <w:t xml:space="preserve">C_new</w:t>
      </w:r>
      <w:r>
        <w:rPr>
          <w:rFonts w:ascii="Calibri" w:cs="Calibri" w:eastAsia="Calibri" w:hAnsi="Calibri"/>
          <w:sz w:val="21"/>
          <w:szCs w:val="21"/>
        </w:rPr>
        <w:t xml:space="preserve"> are accepted, so in-flight decisions are not stranded.</w:t>
      </w:r>
    </w:p>
    <w:p>
      <w:pPr>
        <w:pStyle w:val="ListParagraph"/>
        <w:numPr>
          <w:ilvl w:val="0"/>
          <w:numId w:val="2"/>
        </w:numPr>
        <w:spacing w:after="70" w:line="264"/>
      </w:pPr>
      <w:r>
        <w:rPr>
          <w:rFonts w:ascii="Calibri" w:cs="Calibri" w:eastAsia="Calibri" w:hAnsi="Calibri"/>
          <w:sz w:val="21"/>
          <w:szCs w:val="21"/>
        </w:rPr>
        <w:t xml:space="preserve">After grace, </w:t>
      </w:r>
      <w:r>
        <w:rPr>
          <w:rFonts w:ascii="Consolas" w:cs="Consolas" w:eastAsia="Consolas" w:hAnsi="Consolas"/>
          <w:color w:val="8E2C48"/>
          <w:sz w:val="19"/>
          <w:szCs w:val="19"/>
        </w:rPr>
        <w:t xml:space="preserve">C_old</w:t>
      </w:r>
      <w:r>
        <w:rPr>
          <w:rFonts w:ascii="Calibri" w:cs="Calibri" w:eastAsia="Calibri" w:hAnsi="Calibri"/>
          <w:sz w:val="21"/>
          <w:szCs w:val="21"/>
        </w:rPr>
        <w:t xml:space="preserve"> is REVOKED. Proofs under it are rejected with </w:t>
      </w:r>
      <w:r>
        <w:rPr>
          <w:rFonts w:ascii="Consolas" w:cs="Consolas" w:eastAsia="Consolas" w:hAnsi="Consolas"/>
          <w:color w:val="8E2C48"/>
          <w:sz w:val="19"/>
          <w:szCs w:val="19"/>
        </w:rPr>
        <w:t xml:space="preserve">MODEL_REVOKED</w:t>
      </w:r>
      <w:r>
        <w:rPr>
          <w:rFonts w:ascii="Calibri" w:cs="Calibri" w:eastAsia="Calibri" w:hAnsi="Calibri"/>
          <w:sz w:val="21"/>
          <w:szCs w:val="21"/>
        </w:rPr>
        <w:t xml:space="preserve">.</w:t>
      </w:r>
    </w:p>
    <w:p>
      <w:pPr>
        <w:pStyle w:val="Heading3"/>
        <w:keepNext/>
        <w:spacing w:after="80" w:before="200"/>
      </w:pPr>
      <w:r>
        <w:rPr>
          <w:rFonts w:ascii="Calibri" w:cs="Calibri" w:eastAsia="Calibri" w:hAnsi="Calibri"/>
          <w:b/>
          <w:bCs/>
          <w:color w:val="1F3A5F"/>
          <w:sz w:val="22"/>
          <w:szCs w:val="22"/>
        </w:rPr>
        <w:t xml:space="preserve">Flow D: Incident handling</w:t>
      </w:r>
    </w:p>
    <w:p>
      <w:pPr>
        <w:pStyle w:val="ListParagraph"/>
        <w:numPr>
          <w:ilvl w:val="0"/>
          <w:numId w:val="2"/>
        </w:numPr>
        <w:spacing w:after="70" w:line="264"/>
      </w:pPr>
      <w:r>
        <w:rPr>
          <w:rFonts w:ascii="Calibri" w:cs="Calibri" w:eastAsia="Calibri" w:hAnsi="Calibri"/>
          <w:sz w:val="21"/>
          <w:szCs w:val="21"/>
        </w:rPr>
        <w:t xml:space="preserve">Any FAILED or EXPIRED proof triggers a webhook and dashboard alert.</w:t>
      </w:r>
    </w:p>
    <w:p>
      <w:pPr>
        <w:pStyle w:val="ListParagraph"/>
        <w:numPr>
          <w:ilvl w:val="0"/>
          <w:numId w:val="2"/>
        </w:numPr>
        <w:spacing w:after="70" w:line="264"/>
      </w:pPr>
      <w:r>
        <w:rPr>
          <w:rFonts w:ascii="Calibri" w:cs="Calibri" w:eastAsia="Calibri" w:hAnsi="Calibri"/>
          <w:sz w:val="21"/>
          <w:szCs w:val="21"/>
        </w:rPr>
        <w:t xml:space="preserve">Policy can auto-escalate: after N failures in a window, the node flips the product from gated to a "hold disbursal" state and alerts the lender risk team.</w:t>
      </w:r>
    </w:p>
    <w:p>
      <w:pPr>
        <w:pStyle w:val="ListParagraph"/>
        <w:numPr>
          <w:ilvl w:val="0"/>
          <w:numId w:val="2"/>
        </w:numPr>
        <w:spacing w:after="70" w:line="264"/>
      </w:pPr>
      <w:r>
        <w:rPr>
          <w:rFonts w:ascii="Calibri" w:cs="Calibri" w:eastAsia="Calibri" w:hAnsi="Calibri"/>
          <w:sz w:val="21"/>
          <w:szCs w:val="21"/>
        </w:rPr>
        <w:t xml:space="preserve">The ledger and evidence pack provide per-decision traceability to support the lender's investigation.</w:t>
      </w:r>
    </w:p>
    <w:p>
      <w:pPr>
        <w:pStyle w:val="Heading2"/>
        <w:keepNext/>
        <w:spacing w:after="100" w:before="280"/>
      </w:pPr>
      <w:r>
        <w:rPr>
          <w:rFonts w:ascii="Calibri" w:cs="Calibri" w:eastAsia="Calibri" w:hAnsi="Calibri"/>
          <w:b/>
          <w:bCs/>
          <w:color w:val="1F7A8C"/>
          <w:sz w:val="26"/>
          <w:szCs w:val="26"/>
        </w:rPr>
        <w:t xml:space="preserve">7.6 Circuit design and the verification pipeline</w:t>
      </w:r>
    </w:p>
    <w:p>
      <w:pPr>
        <w:pStyle w:val="Heading3"/>
        <w:keepNext/>
        <w:spacing w:after="80" w:before="200"/>
      </w:pPr>
      <w:r>
        <w:rPr>
          <w:rFonts w:ascii="Calibri" w:cs="Calibri" w:eastAsia="Calibri" w:hAnsi="Calibri"/>
          <w:b/>
          <w:bCs/>
          <w:color w:val="1F3A5F"/>
          <w:sz w:val="22"/>
          <w:szCs w:val="22"/>
        </w:rPr>
        <w:t xml:space="preserve">7.6.1 Public inputs and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638"/>
      </w:tblGrid>
      <w:tr>
        <w:trPr>
          <w:tblHeader/>
        </w:trPr>
        <w:tc>
          <w:tcPr>
            <w:tcW w:type="dxa" w:w="2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Public value</w:t>
            </w:r>
          </w:p>
        </w:tc>
        <w:tc>
          <w:tcPr>
            <w:tcW w:type="dxa" w:w="4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Meaning</w:t>
            </w:r>
          </w:p>
        </w:tc>
        <w:tc>
          <w:tcPr>
            <w:tcW w:type="dxa" w:w="2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Checked by</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policy_hash</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Hash of the canonical, dual-signed policy.</w:t>
            </w:r>
          </w:p>
        </w:tc>
        <w:tc>
          <w:tcPr>
            <w:tcW w:type="dxa" w:w="2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Verifier equals registry value for </w:t>
            </w:r>
            <w:r>
              <w:rPr>
                <w:rFonts w:ascii="Consolas" w:cs="Consolas" w:eastAsia="Consolas" w:hAnsi="Consolas"/>
                <w:color w:val="8E2C48"/>
                <w:sz w:val="16"/>
                <w:szCs w:val="16"/>
              </w:rPr>
              <w:t xml:space="preserve">policy_id</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model_commitment</w:t>
            </w:r>
            <w:r>
              <w:rPr>
                <w:rFonts w:ascii="Calibri" w:cs="Calibri" w:eastAsia="Calibri" w:hAnsi="Calibri"/>
                <w:b/>
                <w:bCs/>
                <w:sz w:val="18"/>
                <w:szCs w:val="18"/>
              </w:rPr>
              <w:t xml:space="preserve"> (C)</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Output of the in-circuit hash of private weights, bias, salt.</w:t>
            </w:r>
          </w:p>
        </w:tc>
        <w:tc>
          <w:tcPr>
            <w:tcW w:type="dxa" w:w="2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Verifier equals approved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for this policy (or one in grace)</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input_commitment</w:t>
            </w:r>
            <w:r>
              <w:rPr>
                <w:rFonts w:ascii="Calibri" w:cs="Calibri" w:eastAsia="Calibri" w:hAnsi="Calibri"/>
                <w:b/>
                <w:bCs/>
                <w:sz w:val="18"/>
                <w:szCs w:val="18"/>
              </w:rPr>
              <w:t xml:space="preserve"> (X)</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In-circuit hash of features, salt and </w:t>
            </w:r>
            <w:r>
              <w:rPr>
                <w:rFonts w:ascii="Consolas" w:cs="Consolas" w:eastAsia="Consolas" w:hAnsi="Consolas"/>
                <w:color w:val="8E2C48"/>
                <w:sz w:val="16"/>
                <w:szCs w:val="16"/>
              </w:rPr>
              <w:t xml:space="preserve">application_id</w:t>
            </w:r>
            <w:r>
              <w:rPr>
                <w:rFonts w:ascii="Calibri" w:cs="Calibri" w:eastAsia="Calibri" w:hAnsi="Calibri"/>
                <w:b w:val="false"/>
                <w:bCs w:val="false"/>
                <w:sz w:val="18"/>
                <w:szCs w:val="18"/>
              </w:rPr>
              <w:t xml:space="preserve">.</w:t>
            </w:r>
          </w:p>
        </w:tc>
        <w:tc>
          <w:tcPr>
            <w:tcW w:type="dxa" w:w="2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Binding Adapter equals </w:t>
            </w:r>
            <w:r>
              <w:rPr>
                <w:rFonts w:ascii="Consolas" w:cs="Consolas" w:eastAsia="Consolas" w:hAnsi="Consolas"/>
                <w:color w:val="8E2C48"/>
                <w:sz w:val="16"/>
                <w:szCs w:val="16"/>
              </w:rPr>
              <w:t xml:space="preserve">X'</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decision_id_hash</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Unique identifier for this decision.</w:t>
            </w:r>
          </w:p>
        </w:tc>
        <w:tc>
          <w:tcPr>
            <w:tcW w:type="dxa" w:w="2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Uniqueness and equality with the decision notice</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threshold</w:t>
            </w:r>
            <w:r>
              <w:rPr>
                <w:rFonts w:ascii="Calibri" w:cs="Calibri" w:eastAsia="Calibri" w:hAnsi="Calibri"/>
                <w:b/>
                <w:bCs/>
                <w:sz w:val="18"/>
                <w:szCs w:val="18"/>
              </w:rPr>
              <w:t xml:space="preserve">, </w:t>
            </w:r>
            <w:r>
              <w:rPr>
                <w:rFonts w:ascii="Consolas" w:cs="Consolas" w:eastAsia="Consolas" w:hAnsi="Consolas"/>
                <w:color w:val="8E2C48"/>
                <w:sz w:val="16"/>
                <w:szCs w:val="16"/>
              </w:rPr>
              <w:t xml:space="preserve">hard_rule_params</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parameters used by the circuit.</w:t>
            </w:r>
          </w:p>
        </w:tc>
        <w:tc>
          <w:tcPr>
            <w:tcW w:type="dxa" w:w="2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Verifier equals policy values</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0 or 1.</w:t>
            </w:r>
          </w:p>
        </w:tc>
        <w:tc>
          <w:tcPr>
            <w:tcW w:type="dxa" w:w="2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Equality with the decision notice</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epoch</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validity epoch / time bucket.</w:t>
            </w:r>
          </w:p>
        </w:tc>
        <w:tc>
          <w:tcPr>
            <w:tcW w:type="dxa" w:w="2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Within the policy validity and freshness window</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score</w:t>
            </w:r>
            <w:r>
              <w:rPr>
                <w:rFonts w:ascii="Calibri" w:cs="Calibri" w:eastAsia="Calibri" w:hAnsi="Calibri"/>
                <w:b/>
                <w:bCs/>
                <w:sz w:val="18"/>
                <w:szCs w:val="18"/>
              </w:rPr>
              <w:t xml:space="preserve"> (optional)</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Only if the policy allows exposing the score. Default: not exposed, to limit model-extraction leakage.</w:t>
            </w:r>
          </w:p>
        </w:tc>
        <w:tc>
          <w:tcPr>
            <w:tcW w:type="dxa" w:w="2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flag</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offered_amount</w:t>
            </w:r>
            <w:r>
              <w:rPr>
                <w:rFonts w:ascii="Calibri" w:cs="Calibri" w:eastAsia="Calibri" w:hAnsi="Calibri"/>
                <w:b/>
                <w:bCs/>
                <w:sz w:val="18"/>
                <w:szCs w:val="18"/>
              </w:rPr>
              <w:t xml:space="preserve"> (optional)</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If ticket-size caps are enforced.</w:t>
            </w:r>
          </w:p>
        </w:tc>
        <w:tc>
          <w:tcPr>
            <w:tcW w:type="dxa" w:w="2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Equality with lender LMS record</w:t>
            </w:r>
          </w:p>
        </w:tc>
      </w:tr>
    </w:tbl>
    <w:p>
      <w:pPr>
        <w:spacing w:after="120"/>
      </w:pPr>
    </w:p>
    <w:p>
      <w:pPr>
        <w:pStyle w:val="Heading3"/>
        <w:keepNext/>
        <w:spacing w:after="80" w:before="200"/>
      </w:pPr>
      <w:r>
        <w:rPr>
          <w:rFonts w:ascii="Calibri" w:cs="Calibri" w:eastAsia="Calibri" w:hAnsi="Calibri"/>
          <w:b/>
          <w:bCs/>
          <w:color w:val="1F3A5F"/>
          <w:sz w:val="22"/>
          <w:szCs w:val="22"/>
        </w:rPr>
        <w:t xml:space="preserve">7.6.2 Constraints enforced inside the circuit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938"/>
      </w:tblGrid>
      <w:tr>
        <w:trPr>
          <w:tblHeader/>
        </w:trPr>
        <w:tc>
          <w:tcPr>
            <w:tcW w:type="dxa" w:w="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ID</w:t>
            </w:r>
          </w:p>
        </w:tc>
        <w:tc>
          <w:tcPr>
            <w:tcW w:type="dxa" w:w="6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Constraint</w:t>
            </w:r>
          </w:p>
        </w:tc>
        <w:tc>
          <w:tcPr>
            <w:tcW w:type="dxa" w:w="29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Purpose</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K1</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Poseidon(weights || bias || salt || DOMAIN_MODEL) == C</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 identity (G1)</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K2</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Poseidon(features || salt_x || application_id || DOMAIN_INPUT) == X</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commitment and application binding (G6, G7)</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K3</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 computation: linear layer or tree-ensemble evaluation with fixed-point arithmetic and deterministic rounding</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Correct execution (G2)</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K4</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Range checks on all features to prevent field-wraparound tricks</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Soundness of fixed-point comparison</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K5</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 == (score &gt;= threshold)</w:t>
            </w:r>
            <w:r>
              <w:rPr>
                <w:rFonts w:ascii="Calibri" w:cs="Calibri" w:eastAsia="Calibri" w:hAnsi="Calibri"/>
                <w:b w:val="false"/>
                <w:bCs w:val="false"/>
                <w:sz w:val="18"/>
                <w:szCs w:val="18"/>
              </w:rPr>
              <w:t xml:space="preserve"> with threshold a public input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Decision rule (G3)</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K6</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Hard rules: for example </w:t>
            </w:r>
            <w:r>
              <w:rPr>
                <w:rFonts w:ascii="Consolas" w:cs="Consolas" w:eastAsia="Consolas" w:hAnsi="Consolas"/>
                <w:color w:val="8E2C48"/>
                <w:sz w:val="16"/>
                <w:szCs w:val="16"/>
              </w:rPr>
              <w:t xml:space="preserve">FOIR &lt;= max_foir</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bureau_score &gt;= min_score</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offered_amount &lt;= tier_cap</w:t>
            </w:r>
            <w:r>
              <w:rPr>
                <w:rFonts w:ascii="Calibri" w:cs="Calibri" w:eastAsia="Calibri" w:hAnsi="Calibri"/>
                <w:b w:val="false"/>
                <w:bCs w:val="false"/>
                <w:sz w:val="18"/>
                <w:szCs w:val="18"/>
              </w:rPr>
              <w:t xml:space="preserve">, all gated on </w:t>
            </w:r>
            <w:r>
              <w:rPr>
                <w:rFonts w:ascii="Consolas" w:cs="Consolas" w:eastAsia="Consolas" w:hAnsi="Consolas"/>
                <w:color w:val="8E2C48"/>
                <w:sz w:val="16"/>
                <w:szCs w:val="16"/>
              </w:rPr>
              <w:t xml:space="preserve">decision == 1</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hard rules (G4)</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K7</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Feature allow-list: circuit takes exactly the schema's feature vector; any feature not in the policy has no input wire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Feature governance (G5)</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K8</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Optional clauses: excluded attribute weight == 0; monotonicity of selected weights</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Lender-chosen fairness-style conditions</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K9</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decision_id_hash</w:t>
            </w:r>
            <w:r>
              <w:rPr>
                <w:rFonts w:ascii="Calibri" w:cs="Calibri" w:eastAsia="Calibri" w:hAnsi="Calibri"/>
                <w:b w:val="false"/>
                <w:bCs w:val="false"/>
                <w:sz w:val="18"/>
                <w:szCs w:val="18"/>
              </w:rPr>
              <w:t xml:space="preserve"> and </w:t>
            </w:r>
            <w:r>
              <w:rPr>
                <w:rFonts w:ascii="Consolas" w:cs="Consolas" w:eastAsia="Consolas" w:hAnsi="Consolas"/>
                <w:color w:val="8E2C48"/>
                <w:sz w:val="16"/>
                <w:szCs w:val="16"/>
              </w:rPr>
              <w:t xml:space="preserve">epoch</w:t>
            </w:r>
            <w:r>
              <w:rPr>
                <w:rFonts w:ascii="Calibri" w:cs="Calibri" w:eastAsia="Calibri" w:hAnsi="Calibri"/>
                <w:b w:val="false"/>
                <w:bCs w:val="false"/>
                <w:sz w:val="18"/>
                <w:szCs w:val="18"/>
              </w:rPr>
              <w:t xml:space="preserve"> are exposed as public inputs so a proof cannot be reused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Replay resistance (G6)</w:t>
            </w:r>
          </w:p>
        </w:tc>
      </w:tr>
    </w:tbl>
    <w:p>
      <w:pPr>
        <w:spacing w:after="120"/>
      </w:pPr>
    </w:p>
    <w:p>
      <w:pPr>
        <w:spacing w:after="120" w:line="276"/>
      </w:pPr>
      <w:r>
        <w:rPr>
          <w:rFonts w:ascii="Calibri" w:cs="Calibri" w:eastAsia="Calibri" w:hAnsi="Calibri"/>
          <w:sz w:val="21"/>
          <w:szCs w:val="21"/>
        </w:rPr>
        <w:t xml:space="preserve">Domain-separation tags (</w:t>
      </w:r>
      <w:r>
        <w:rPr>
          <w:rFonts w:ascii="Consolas" w:cs="Consolas" w:eastAsia="Consolas" w:hAnsi="Consolas"/>
          <w:color w:val="8E2C48"/>
          <w:sz w:val="19"/>
          <w:szCs w:val="19"/>
        </w:rPr>
        <w:t xml:space="preserve">DOMAIN_MODEL</w:t>
      </w:r>
      <w:r>
        <w:rPr>
          <w:rFonts w:ascii="Calibri" w:cs="Calibri" w:eastAsia="Calibri" w:hAnsi="Calibri"/>
          <w:sz w:val="21"/>
          <w:szCs w:val="21"/>
        </w:rPr>
        <w:t xml:space="preserve">, </w:t>
      </w:r>
      <w:r>
        <w:rPr>
          <w:rFonts w:ascii="Consolas" w:cs="Consolas" w:eastAsia="Consolas" w:hAnsi="Consolas"/>
          <w:color w:val="8E2C48"/>
          <w:sz w:val="19"/>
          <w:szCs w:val="19"/>
        </w:rPr>
        <w:t xml:space="preserve">DOMAIN_INPUT</w:t>
      </w:r>
      <w:r>
        <w:rPr>
          <w:rFonts w:ascii="Calibri" w:cs="Calibri" w:eastAsia="Calibri" w:hAnsi="Calibri"/>
          <w:sz w:val="21"/>
          <w:szCs w:val="21"/>
        </w:rPr>
        <w:t xml:space="preserve">) prevent an attacker from presenting a valid input commitment as a model commitment or vice versa.</w:t>
      </w:r>
    </w:p>
    <w:p>
      <w:pPr>
        <w:pStyle w:val="Heading3"/>
        <w:keepNext/>
        <w:spacing w:after="80" w:before="200"/>
      </w:pPr>
      <w:r>
        <w:rPr>
          <w:rFonts w:ascii="Calibri" w:cs="Calibri" w:eastAsia="Calibri" w:hAnsi="Calibri"/>
          <w:b/>
          <w:bCs/>
          <w:color w:val="1F3A5F"/>
          <w:sz w:val="22"/>
          <w:szCs w:val="22"/>
        </w:rPr>
        <w:t xml:space="preserve">7.6.3 Verifier Engine pipeline (ordered cheap to expensive)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938"/>
      </w:tblGrid>
      <w:tr>
        <w:trPr>
          <w:tblHeader/>
        </w:trPr>
        <w:tc>
          <w:tcPr>
            <w:tcW w:type="dxa" w:w="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Step</w:t>
            </w:r>
          </w:p>
        </w:tc>
        <w:tc>
          <w:tcPr>
            <w:tcW w:type="dxa" w:w="6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Check</w:t>
            </w:r>
          </w:p>
        </w:tc>
        <w:tc>
          <w:tcPr>
            <w:tcW w:type="dxa" w:w="29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Failure reason code</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V1</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Payload schema valid; request signature valid; caller mapped to a known LSP client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BAD_REQUEST</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AUTH_FAILED</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V2</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policy_id</w:t>
            </w:r>
            <w:r>
              <w:rPr>
                <w:rFonts w:ascii="Calibri" w:cs="Calibri" w:eastAsia="Calibri" w:hAnsi="Calibri"/>
                <w:b w:val="false"/>
                <w:bCs w:val="false"/>
                <w:sz w:val="18"/>
                <w:szCs w:val="18"/>
              </w:rPr>
              <w:t xml:space="preserve"> exists, dual-signed, valid at the decision timestamp</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POLICY_INVALID</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POLICY_EXPIRED</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V3</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policy_hash</w:t>
            </w:r>
            <w:r>
              <w:rPr>
                <w:rFonts w:ascii="Calibri" w:cs="Calibri" w:eastAsia="Calibri" w:hAnsi="Calibri"/>
                <w:b w:val="false"/>
                <w:bCs w:val="false"/>
                <w:sz w:val="18"/>
                <w:szCs w:val="18"/>
              </w:rPr>
              <w:t xml:space="preserve"> in proof equals stored hash</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POLICY_MISMATCH</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V4</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is ACTIVE (or in grace) for this policy</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MODEL_MISMATCH</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MODEL_REVOKED</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V5</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circuit_hash</w:t>
            </w:r>
            <w:r>
              <w:rPr>
                <w:rFonts w:ascii="Calibri" w:cs="Calibri" w:eastAsia="Calibri" w:hAnsi="Calibri"/>
                <w:b w:val="false"/>
                <w:bCs w:val="false"/>
                <w:sz w:val="18"/>
                <w:szCs w:val="18"/>
              </w:rPr>
              <w:t xml:space="preserve"> equals registered value; correct VK selected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CIRCUIT_MISMATCH</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V6</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parameters (threshold, rule params) equal policy values</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PARAM_MISMATCH</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V7</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decision_id</w:t>
            </w:r>
            <w:r>
              <w:rPr>
                <w:rFonts w:ascii="Calibri" w:cs="Calibri" w:eastAsia="Calibri" w:hAnsi="Calibri"/>
                <w:b w:val="false"/>
                <w:bCs w:val="false"/>
                <w:sz w:val="18"/>
                <w:szCs w:val="18"/>
              </w:rPr>
              <w:t xml:space="preserve"> not previously verified; matches the decision notice; decision value equals the notice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REPLAY</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NOTICE_MISMATCH</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V8</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freshness: epoch/time within allowed window</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STALE_PROOF</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V9</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Cryptographic proof verification against VK and public inputs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PROOF_INVALID</w:t>
            </w:r>
          </w:p>
        </w:tc>
      </w:tr>
      <w:tr>
        <w:trPr>
          <w:cantSplit/>
        </w:trPr>
        <w:tc>
          <w:tcPr>
            <w:tcW w:type="dxa" w:w="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V10</w:t>
            </w:r>
          </w:p>
        </w:tc>
        <w:tc>
          <w:tcPr>
            <w:tcW w:type="dxa" w:w="6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binding: </w:t>
            </w:r>
            <w:r>
              <w:rPr>
                <w:rFonts w:ascii="Consolas" w:cs="Consolas" w:eastAsia="Consolas" w:hAnsi="Consolas"/>
                <w:color w:val="8E2C48"/>
                <w:sz w:val="16"/>
                <w:szCs w:val="16"/>
              </w:rPr>
              <w:t xml:space="preserve">X == X'</w:t>
            </w:r>
            <w:r>
              <w:rPr>
                <w:rFonts w:ascii="Calibri" w:cs="Calibri" w:eastAsia="Calibri" w:hAnsi="Calibri"/>
                <w:b w:val="false"/>
                <w:bCs w:val="false"/>
                <w:sz w:val="18"/>
                <w:szCs w:val="18"/>
              </w:rPr>
              <w:t xml:space="preserve"> from the lender-side adapter (if the input class requires it); otherwise status VERIFIED_UNBOUND (flagged)</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INPUT_MISMATCH</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AWAITING_BINDING</w:t>
            </w:r>
          </w:p>
        </w:tc>
      </w:tr>
      <w:tr>
        <w:trPr>
          <w:cantSplit/>
        </w:trPr>
        <w:tc>
          <w:tcPr>
            <w:tcW w:type="dxa" w:w="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V11</w:t>
            </w:r>
          </w:p>
        </w:tc>
        <w:tc>
          <w:tcPr>
            <w:tcW w:type="dxa" w:w="6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Append result to ledger; update decision status; fire webhooks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(internal errors alert on-call)</w:t>
            </w:r>
          </w:p>
        </w:tc>
      </w:tr>
    </w:tbl>
    <w:p>
      <w:pPr>
        <w:spacing w:after="120"/>
      </w:pPr>
    </w:p>
    <w:p>
      <w:pPr>
        <w:pStyle w:val="Heading3"/>
        <w:keepNext/>
        <w:spacing w:after="80" w:before="200"/>
      </w:pPr>
      <w:r>
        <w:rPr>
          <w:rFonts w:ascii="Calibri" w:cs="Calibri" w:eastAsia="Calibri" w:hAnsi="Calibri"/>
          <w:b/>
          <w:bCs/>
          <w:color w:val="1F3A5F"/>
          <w:sz w:val="22"/>
          <w:szCs w:val="22"/>
        </w:rPr>
        <w:t xml:space="preserve">7.6.4 Decision status state machine</w:t>
      </w:r>
    </w:p>
    <w:p>
      <w:pPr>
        <w:spacing w:after="120" w:line="276"/>
      </w:pPr>
      <w:r>
        <w:rPr>
          <w:rFonts w:ascii="Consolas" w:cs="Consolas" w:eastAsia="Consolas" w:hAnsi="Consolas"/>
          <w:color w:val="8E2C48"/>
          <w:sz w:val="19"/>
          <w:szCs w:val="19"/>
        </w:rPr>
        <w:t xml:space="preserve">NOT_FOUND</w:t>
      </w:r>
      <w:r>
        <w:rPr>
          <w:rFonts w:ascii="Calibri" w:cs="Calibri" w:eastAsia="Calibri" w:hAnsi="Calibri"/>
          <w:sz w:val="21"/>
          <w:szCs w:val="21"/>
        </w:rPr>
        <w:t xml:space="preserve"> -&gt; </w:t>
      </w:r>
      <w:r>
        <w:rPr>
          <w:rFonts w:ascii="Consolas" w:cs="Consolas" w:eastAsia="Consolas" w:hAnsi="Consolas"/>
          <w:color w:val="8E2C48"/>
          <w:sz w:val="19"/>
          <w:szCs w:val="19"/>
        </w:rPr>
        <w:t xml:space="preserve">NOTICE_RECEIVED</w:t>
      </w:r>
      <w:r>
        <w:rPr>
          <w:rFonts w:ascii="Calibri" w:cs="Calibri" w:eastAsia="Calibri" w:hAnsi="Calibri"/>
          <w:sz w:val="21"/>
          <w:szCs w:val="21"/>
        </w:rPr>
        <w:t xml:space="preserve"> (pending) -&gt; </w:t>
      </w:r>
      <w:r>
        <w:rPr>
          <w:rFonts w:ascii="Consolas" w:cs="Consolas" w:eastAsia="Consolas" w:hAnsi="Consolas"/>
          <w:color w:val="8E2C48"/>
          <w:sz w:val="19"/>
          <w:szCs w:val="19"/>
        </w:rPr>
        <w:t xml:space="preserve">VERIFIED</w:t>
      </w:r>
      <w:r>
        <w:rPr>
          <w:rFonts w:ascii="Calibri" w:cs="Calibri" w:eastAsia="Calibri" w:hAnsi="Calibri"/>
          <w:sz w:val="21"/>
          <w:szCs w:val="21"/>
        </w:rPr>
        <w:t xml:space="preserve"> | </w:t>
      </w:r>
      <w:r>
        <w:rPr>
          <w:rFonts w:ascii="Consolas" w:cs="Consolas" w:eastAsia="Consolas" w:hAnsi="Consolas"/>
          <w:color w:val="8E2C48"/>
          <w:sz w:val="19"/>
          <w:szCs w:val="19"/>
        </w:rPr>
        <w:t xml:space="preserve">FAILED</w:t>
      </w:r>
      <w:r>
        <w:rPr>
          <w:rFonts w:ascii="Calibri" w:cs="Calibri" w:eastAsia="Calibri" w:hAnsi="Calibri"/>
          <w:sz w:val="21"/>
          <w:szCs w:val="21"/>
        </w:rPr>
        <w:t xml:space="preserve"> | </w:t>
      </w:r>
      <w:r>
        <w:rPr>
          <w:rFonts w:ascii="Consolas" w:cs="Consolas" w:eastAsia="Consolas" w:hAnsi="Consolas"/>
          <w:color w:val="8E2C48"/>
          <w:sz w:val="19"/>
          <w:szCs w:val="19"/>
        </w:rPr>
        <w:t xml:space="preserve">EXPIRED</w:t>
      </w:r>
      <w:r>
        <w:rPr>
          <w:rFonts w:ascii="Calibri" w:cs="Calibri" w:eastAsia="Calibri" w:hAnsi="Calibri"/>
          <w:sz w:val="21"/>
          <w:szCs w:val="21"/>
        </w:rPr>
        <w:t xml:space="preserve"> (SLA exceeded). </w:t>
      </w:r>
      <w:r>
        <w:rPr>
          <w:rFonts w:ascii="Consolas" w:cs="Consolas" w:eastAsia="Consolas" w:hAnsi="Consolas"/>
          <w:color w:val="8E2C48"/>
          <w:sz w:val="19"/>
          <w:szCs w:val="19"/>
        </w:rPr>
        <w:t xml:space="preserve">VERIFIED_UNBOUND</w:t>
      </w:r>
      <w:r>
        <w:rPr>
          <w:rFonts w:ascii="Calibri" w:cs="Calibri" w:eastAsia="Calibri" w:hAnsi="Calibri"/>
          <w:sz w:val="21"/>
          <w:szCs w:val="21"/>
        </w:rPr>
        <w:t xml:space="preserve"> is a flagged variant of VERIFIED used when policy permits disbursal before the lender-side input binding arrives; a policy can instead require full binding.</w:t>
      </w:r>
    </w:p>
    <w:p>
      <w:pPr>
        <w:pStyle w:val="Heading3"/>
        <w:keepNext/>
        <w:spacing w:after="80" w:before="200"/>
      </w:pPr>
      <w:r>
        <w:rPr>
          <w:rFonts w:ascii="Calibri" w:cs="Calibri" w:eastAsia="Calibri" w:hAnsi="Calibri"/>
          <w:b/>
          <w:bCs/>
          <w:color w:val="1F3A5F"/>
          <w:sz w:val="22"/>
          <w:szCs w:val="22"/>
        </w:rPr>
        <w:t xml:space="preserve">7.6.5 Input classes and provenance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900"/>
        <w:gridCol w:w="1938"/>
      </w:tblGrid>
      <w:tr>
        <w:trPr>
          <w:tblHeader/>
        </w:trPr>
        <w:tc>
          <w:tcPr>
            <w:tcW w:type="dxa" w:w="1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Class</w:t>
            </w:r>
          </w:p>
        </w:tc>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Examples</w:t>
            </w:r>
          </w:p>
        </w:tc>
        <w:tc>
          <w:tcPr>
            <w:tcW w:type="dxa" w:w="2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How verified (v1)</w:t>
            </w:r>
          </w:p>
        </w:tc>
        <w:tc>
          <w:tcPr>
            <w:tcW w:type="dxa" w:w="19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Roadmap</w:t>
            </w:r>
          </w:p>
        </w:tc>
      </w:tr>
      <w:tr>
        <w:trPr>
          <w:cantSplit/>
        </w:trPr>
        <w:tc>
          <w:tcPr>
            <w:tcW w:type="dxa" w:w="18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 Lender-verifiable</w:t>
            </w:r>
          </w:p>
        </w:tc>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Bureau score and tradelines the lender can pull independently; AA-derived income or balances where the lender holds the signed payload.</w:t>
            </w:r>
          </w:p>
        </w:tc>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recomputes the canonical feature values and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compared with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w:t>
            </w:r>
          </w:p>
        </w:tc>
        <w:tc>
          <w:tcPr>
            <w:tcW w:type="dxa" w:w="1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Verify signatures in a zkVM so even the LSP's copy is provably genuine.</w:t>
            </w:r>
          </w:p>
        </w:tc>
      </w:tr>
      <w:tr>
        <w:trPr>
          <w:cantSplit/>
        </w:trPr>
        <w:tc>
          <w:tcPr>
            <w:tcW w:type="dxa" w:w="18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 LSP-attested</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Proprietary engineered features, device or behavioural signals.</w:t>
            </w:r>
          </w:p>
        </w:tc>
        <w:tc>
          <w:tcPr>
            <w:tcW w:type="dxa" w:w="2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Committed in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 attested by LSP; covered by sampled audits and contractual warranties.</w:t>
            </w:r>
          </w:p>
        </w:tc>
        <w:tc>
          <w:tcPr>
            <w:tcW w:type="dxa" w:w="1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Run the feature pipeline inside a zkVM; prove derivation from signed raw data.</w:t>
            </w:r>
          </w:p>
        </w:tc>
      </w:tr>
    </w:tbl>
    <w:p>
      <w:pPr>
        <w:spacing w:after="120"/>
      </w:pPr>
    </w:p>
    <w:p>
      <w:pPr>
        <w:spacing w:after="120" w:line="276"/>
      </w:pPr>
      <w:r>
        <w:rPr>
          <w:rFonts w:ascii="Calibri" w:cs="Calibri" w:eastAsia="Calibri" w:hAnsi="Calibri"/>
          <w:sz w:val="21"/>
          <w:szCs w:val="21"/>
        </w:rPr>
        <w:t xml:space="preserve">A canonical feature specification (names, units, rounding, order, derivation rules for class A fields) must be part of the policy; otherwise the lender and LSP will compute different </w:t>
      </w:r>
      <w:r>
        <w:rPr>
          <w:rFonts w:ascii="Consolas" w:cs="Consolas" w:eastAsia="Consolas" w:hAnsi="Consolas"/>
          <w:color w:val="8E2C48"/>
          <w:sz w:val="19"/>
          <w:szCs w:val="19"/>
        </w:rPr>
        <w:t xml:space="preserve">X</w:t>
      </w:r>
      <w:r>
        <w:rPr>
          <w:rFonts w:ascii="Calibri" w:cs="Calibri" w:eastAsia="Calibri" w:hAnsi="Calibri"/>
          <w:sz w:val="21"/>
          <w:szCs w:val="21"/>
        </w:rPr>
        <w:t xml:space="preserve"> values for the same applicant.</w:t>
      </w:r>
    </w:p>
    <w:p>
      <w:pPr>
        <w:pStyle w:val="Heading2"/>
        <w:keepNext/>
        <w:spacing w:after="100" w:before="280"/>
      </w:pPr>
      <w:r>
        <w:rPr>
          <w:rFonts w:ascii="Calibri" w:cs="Calibri" w:eastAsia="Calibri" w:hAnsi="Calibri"/>
          <w:b/>
          <w:bCs/>
          <w:color w:val="1F7A8C"/>
          <w:sz w:val="26"/>
          <w:szCs w:val="26"/>
        </w:rPr>
        <w:t xml:space="preserve">7.7 Policy configuration schema</w:t>
      </w:r>
    </w:p>
    <w:p>
      <w:pPr>
        <w:spacing w:after="120" w:line="276"/>
      </w:pPr>
      <w:r>
        <w:rPr>
          <w:rFonts w:ascii="Calibri" w:cs="Calibri" w:eastAsia="Calibri" w:hAnsi="Calibri"/>
          <w:sz w:val="21"/>
          <w:szCs w:val="21"/>
        </w:rPr>
        <w:t xml:space="preserve">The policy is canonicalised (sorted keys, no whitespace, UTF-8) before hashing and signing, so both parties and the verifier compute an identical </w:t>
      </w:r>
      <w:r>
        <w:rPr>
          <w:rFonts w:ascii="Consolas" w:cs="Consolas" w:eastAsia="Consolas" w:hAnsi="Consolas"/>
          <w:color w:val="8E2C48"/>
          <w:sz w:val="19"/>
          <w:szCs w:val="19"/>
        </w:rPr>
        <w:t xml:space="preserve">policy_hash</w:t>
      </w:r>
      <w:r>
        <w:rPr>
          <w:rFonts w:ascii="Calibri" w:cs="Calibri" w:eastAsia="Calibri" w:hAnsi="Calibri"/>
          <w:sz w:val="21"/>
          <w:szCs w:val="21"/>
        </w:rPr>
        <w:t xml:space="preserve">.</w:t>
      </w:r>
    </w:p>
    <w:p>
      <w:pPr>
        <w:pBdr>
          <w:top w:val="single" w:color="BFC9D4" w:sz="4"/>
        </w:pBdr>
        <w:shd w:fill="F1F4F8" w:color="auto" w:val="clear"/>
        <w:spacing w:after="0" w:line="232"/>
        <w:ind w:left="120" w:right="120"/>
      </w:pPr>
      <w:r>
        <w:rPr>
          <w:rFonts w:ascii="Consolas" w:cs="Consolas" w:eastAsia="Consolas" w:hAnsi="Consolas"/>
          <w:sz w:val="16"/>
          <w:szCs w:val="16"/>
        </w:rPr>
        <w:t xml:space="preserve">{</w:t>
      </w:r>
    </w:p>
    <w:p>
      <w:pPr>
        <w:shd w:fill="F1F4F8" w:color="auto" w:val="clear"/>
        <w:spacing w:after="0" w:line="232"/>
        <w:ind w:left="120" w:right="120"/>
      </w:pPr>
      <w:r>
        <w:rPr>
          <w:rFonts w:ascii="Consolas" w:cs="Consolas" w:eastAsia="Consolas" w:hAnsi="Consolas"/>
          <w:sz w:val="16"/>
          <w:szCs w:val="16"/>
        </w:rPr>
        <w:t xml:space="preserve">  "policy_id": "pol_nbfc42_lspX_personal_v3",</w:t>
      </w:r>
    </w:p>
    <w:p>
      <w:pPr>
        <w:shd w:fill="F1F4F8" w:color="auto" w:val="clear"/>
        <w:spacing w:after="0" w:line="232"/>
        <w:ind w:left="120" w:right="120"/>
      </w:pPr>
      <w:r>
        <w:rPr>
          <w:rFonts w:ascii="Consolas" w:cs="Consolas" w:eastAsia="Consolas" w:hAnsi="Consolas"/>
          <w:sz w:val="16"/>
          <w:szCs w:val="16"/>
        </w:rPr>
        <w:t xml:space="preserve">  "version": 3,</w:t>
      </w:r>
    </w:p>
    <w:p>
      <w:pPr>
        <w:shd w:fill="F1F4F8" w:color="auto" w:val="clear"/>
        <w:spacing w:after="0" w:line="232"/>
        <w:ind w:left="120" w:right="120"/>
      </w:pPr>
      <w:r>
        <w:rPr>
          <w:rFonts w:ascii="Consolas" w:cs="Consolas" w:eastAsia="Consolas" w:hAnsi="Consolas"/>
          <w:sz w:val="16"/>
          <w:szCs w:val="16"/>
        </w:rPr>
        <w:t xml:space="preserve">  "lender_id": "nbfc42", "lsp_id": "lspX", "product": "personal_loan",</w:t>
      </w:r>
    </w:p>
    <w:p>
      <w:pPr>
        <w:shd w:fill="F1F4F8" w:color="auto" w:val="clear"/>
        <w:spacing w:after="0" w:line="232"/>
        <w:ind w:left="120" w:right="120"/>
      </w:pPr>
      <w:r>
        <w:rPr>
          <w:rFonts w:ascii="Consolas" w:cs="Consolas" w:eastAsia="Consolas" w:hAnsi="Consolas"/>
          <w:sz w:val="16"/>
          <w:szCs w:val="16"/>
        </w:rPr>
        <w:t xml:space="preserve">  "validity": { "from": "2026-11-01T00:00:00+05:30", "to": "2027-04-30T23:59:59+05:30" },</w:t>
      </w:r>
    </w:p>
    <w:p>
      <w:pPr>
        <w:shd w:fill="F1F4F8" w:color="auto" w:val="clear"/>
        <w:spacing w:after="0" w:line="232"/>
        <w:ind w:left="120" w:right="120"/>
      </w:pPr>
      <w:r>
        <w:rPr>
          <w:rFonts w:ascii="Consolas" w:cs="Consolas" w:eastAsia="Consolas" w:hAnsi="Consolas"/>
          <w:sz w:val="16"/>
          <w:szCs w:val="16"/>
        </w:rPr>
        <w:t xml:space="preserve">  "model": {</w:t>
      </w:r>
    </w:p>
    <w:p>
      <w:pPr>
        <w:shd w:fill="F1F4F8" w:color="auto" w:val="clear"/>
        <w:spacing w:after="0" w:line="232"/>
        <w:ind w:left="120" w:right="120"/>
      </w:pPr>
      <w:r>
        <w:rPr>
          <w:rFonts w:ascii="Consolas" w:cs="Consolas" w:eastAsia="Consolas" w:hAnsi="Consolas"/>
          <w:sz w:val="16"/>
          <w:szCs w:val="16"/>
        </w:rPr>
        <w:t xml:space="preserve">    "class": "scorecard_lr",</w:t>
      </w:r>
    </w:p>
    <w:p>
      <w:pPr>
        <w:shd w:fill="F1F4F8" w:color="auto" w:val="clear"/>
        <w:spacing w:after="0" w:line="232"/>
        <w:ind w:left="120" w:right="120"/>
      </w:pPr>
      <w:r>
        <w:rPr>
          <w:rFonts w:ascii="Consolas" w:cs="Consolas" w:eastAsia="Consolas" w:hAnsi="Consolas"/>
          <w:sz w:val="16"/>
          <w:szCs w:val="16"/>
        </w:rPr>
        <w:t xml:space="preserve">    "commitment": "0x9f3c...e1",          // C, Poseidon hash</w:t>
      </w:r>
    </w:p>
    <w:p>
      <w:pPr>
        <w:shd w:fill="F1F4F8" w:color="auto" w:val="clear"/>
        <w:spacing w:after="0" w:line="232"/>
        <w:ind w:left="120" w:right="120"/>
      </w:pPr>
      <w:r>
        <w:rPr>
          <w:rFonts w:ascii="Consolas" w:cs="Consolas" w:eastAsia="Consolas" w:hAnsi="Consolas"/>
          <w:sz w:val="16"/>
          <w:szCs w:val="16"/>
        </w:rPr>
        <w:t xml:space="preserve">    "circuit_hash": "0x41ab...77",</w:t>
      </w:r>
    </w:p>
    <w:p>
      <w:pPr>
        <w:shd w:fill="F1F4F8" w:color="auto" w:val="clear"/>
        <w:spacing w:after="0" w:line="232"/>
        <w:ind w:left="120" w:right="120"/>
      </w:pPr>
      <w:r>
        <w:rPr>
          <w:rFonts w:ascii="Consolas" w:cs="Consolas" w:eastAsia="Consolas" w:hAnsi="Consolas"/>
          <w:sz w:val="16"/>
          <w:szCs w:val="16"/>
        </w:rPr>
        <w:t xml:space="preserve">    "feature_schema_hash": "0x7d02...c9",</w:t>
      </w:r>
    </w:p>
    <w:p>
      <w:pPr>
        <w:shd w:fill="F1F4F8" w:color="auto" w:val="clear"/>
        <w:spacing w:after="0" w:line="232"/>
        <w:ind w:left="120" w:right="120"/>
      </w:pPr>
      <w:r>
        <w:rPr>
          <w:rFonts w:ascii="Consolas" w:cs="Consolas" w:eastAsia="Consolas" w:hAnsi="Consolas"/>
          <w:sz w:val="16"/>
          <w:szCs w:val="16"/>
        </w:rPr>
        <w:t xml:space="preserve">    "grace": [ { "commitment": "0x22d0...5a", "until": "2026-12-15T00:00:00+05:30" } ]</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  "decision_rule": { "type": "score_gte", "threshold": "0.200", "fixed_point_scale": 1024 },</w:t>
      </w:r>
    </w:p>
    <w:p>
      <w:pPr>
        <w:shd w:fill="F1F4F8" w:color="auto" w:val="clear"/>
        <w:spacing w:after="0" w:line="232"/>
        <w:ind w:left="120" w:right="120"/>
      </w:pPr>
      <w:r>
        <w:rPr>
          <w:rFonts w:ascii="Consolas" w:cs="Consolas" w:eastAsia="Consolas" w:hAnsi="Consolas"/>
          <w:sz w:val="16"/>
          <w:szCs w:val="16"/>
        </w:rPr>
        <w:t xml:space="preserve">  "hard_rules": [</w:t>
      </w:r>
    </w:p>
    <w:p>
      <w:pPr>
        <w:shd w:fill="F1F4F8" w:color="auto" w:val="clear"/>
        <w:spacing w:after="0" w:line="232"/>
        <w:ind w:left="120" w:right="120"/>
      </w:pPr>
      <w:r>
        <w:rPr>
          <w:rFonts w:ascii="Consolas" w:cs="Consolas" w:eastAsia="Consolas" w:hAnsi="Consolas"/>
          <w:sz w:val="16"/>
          <w:szCs w:val="16"/>
        </w:rPr>
        <w:t xml:space="preserve">    { "id": "R1", "feature": "foir",         "op": "lte", "value": "0.55" },</w:t>
      </w:r>
    </w:p>
    <w:p>
      <w:pPr>
        <w:shd w:fill="F1F4F8" w:color="auto" w:val="clear"/>
        <w:spacing w:after="0" w:line="232"/>
        <w:ind w:left="120" w:right="120"/>
      </w:pPr>
      <w:r>
        <w:rPr>
          <w:rFonts w:ascii="Consolas" w:cs="Consolas" w:eastAsia="Consolas" w:hAnsi="Consolas"/>
          <w:sz w:val="16"/>
          <w:szCs w:val="16"/>
        </w:rPr>
        <w:t xml:space="preserve">    { "id": "R2", "feature": "bureau_score", "op": "gte", "value": "650"  },</w:t>
      </w:r>
    </w:p>
    <w:p>
      <w:pPr>
        <w:shd w:fill="F1F4F8" w:color="auto" w:val="clear"/>
        <w:spacing w:after="0" w:line="232"/>
        <w:ind w:left="120" w:right="120"/>
      </w:pPr>
      <w:r>
        <w:rPr>
          <w:rFonts w:ascii="Consolas" w:cs="Consolas" w:eastAsia="Consolas" w:hAnsi="Consolas"/>
          <w:sz w:val="16"/>
          <w:szCs w:val="16"/>
        </w:rPr>
        <w:t xml:space="preserve">    { "id": "R3", "field": "offered_amount", "op": "lte",</w:t>
      </w:r>
    </w:p>
    <w:p>
      <w:pPr>
        <w:shd w:fill="F1F4F8" w:color="auto" w:val="clear"/>
        <w:spacing w:after="0" w:line="232"/>
        <w:ind w:left="120" w:right="120"/>
      </w:pPr>
      <w:r>
        <w:rPr>
          <w:rFonts w:ascii="Consolas" w:cs="Consolas" w:eastAsia="Consolas" w:hAnsi="Consolas"/>
          <w:sz w:val="16"/>
          <w:szCs w:val="16"/>
        </w:rPr>
        <w:t xml:space="preserve">      "value_by_tier": { "T1": 300000, "T2": 150000 } }</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  "optional_clauses": [ { "id": "O1", "type": "zero_weight", "feature": "pin_code_cluster" } ],</w:t>
      </w:r>
    </w:p>
    <w:p>
      <w:pPr>
        <w:shd w:fill="F1F4F8" w:color="auto" w:val="clear"/>
        <w:spacing w:after="0" w:line="232"/>
        <w:ind w:left="120" w:right="120"/>
      </w:pPr>
      <w:r>
        <w:rPr>
          <w:rFonts w:ascii="Consolas" w:cs="Consolas" w:eastAsia="Consolas" w:hAnsi="Consolas"/>
          <w:sz w:val="16"/>
          <w:szCs w:val="16"/>
        </w:rPr>
        <w:t xml:space="preserve">  "inputs": { "class_A": ["bureau_score", "monthly_income"], "class_B": ["behaviour_idx_1"] },</w:t>
      </w:r>
    </w:p>
    <w:p>
      <w:pPr>
        <w:shd w:fill="F1F4F8" w:color="auto" w:val="clear"/>
        <w:spacing w:after="0" w:line="232"/>
        <w:ind w:left="120" w:right="120"/>
      </w:pPr>
      <w:r>
        <w:rPr>
          <w:rFonts w:ascii="Consolas" w:cs="Consolas" w:eastAsia="Consolas" w:hAnsi="Consolas"/>
          <w:sz w:val="16"/>
          <w:szCs w:val="16"/>
        </w:rPr>
        <w:t xml:space="preserve">  "expose": { "score": false },</w:t>
      </w:r>
    </w:p>
    <w:p>
      <w:pPr>
        <w:shd w:fill="F1F4F8" w:color="auto" w:val="clear"/>
        <w:spacing w:after="0" w:line="232"/>
        <w:ind w:left="120" w:right="120"/>
      </w:pPr>
      <w:r>
        <w:rPr>
          <w:rFonts w:ascii="Consolas" w:cs="Consolas" w:eastAsia="Consolas" w:hAnsi="Consolas"/>
          <w:sz w:val="16"/>
          <w:szCs w:val="16"/>
        </w:rPr>
        <w:t xml:space="preserve">  "enforcement": { "mode": "gated", "proof_sla_minutes": 10, "binding": "required_for_class_A" },</w:t>
      </w:r>
    </w:p>
    <w:p>
      <w:pPr>
        <w:shd w:fill="F1F4F8" w:color="auto" w:val="clear"/>
        <w:spacing w:after="0" w:line="232"/>
        <w:ind w:left="120" w:right="120"/>
      </w:pPr>
      <w:r>
        <w:rPr>
          <w:rFonts w:ascii="Consolas" w:cs="Consolas" w:eastAsia="Consolas" w:hAnsi="Consolas"/>
          <w:sz w:val="16"/>
          <w:szCs w:val="16"/>
        </w:rPr>
        <w:t xml:space="preserve">  "retention": { "keep_proof_days": 365, "then": "verdict_and_hash_only" },</w:t>
      </w:r>
    </w:p>
    <w:p>
      <w:pPr>
        <w:shd w:fill="F1F4F8" w:color="auto" w:val="clear"/>
        <w:spacing w:after="0" w:line="232"/>
        <w:ind w:left="120" w:right="120"/>
      </w:pPr>
      <w:r>
        <w:rPr>
          <w:rFonts w:ascii="Consolas" w:cs="Consolas" w:eastAsia="Consolas" w:hAnsi="Consolas"/>
          <w:sz w:val="16"/>
          <w:szCs w:val="16"/>
        </w:rPr>
        <w:t xml:space="preserve">  "signatures": [</w:t>
      </w:r>
    </w:p>
    <w:p>
      <w:pPr>
        <w:shd w:fill="F1F4F8" w:color="auto" w:val="clear"/>
        <w:spacing w:after="0" w:line="232"/>
        <w:ind w:left="120" w:right="120"/>
      </w:pPr>
      <w:r>
        <w:rPr>
          <w:rFonts w:ascii="Consolas" w:cs="Consolas" w:eastAsia="Consolas" w:hAnsi="Consolas"/>
          <w:sz w:val="16"/>
          <w:szCs w:val="16"/>
        </w:rPr>
        <w:t xml:space="preserve">    { "signer": "lender:nbfc42:policy-key-1", "alg": "ed25519", "sig": "..." },</w:t>
      </w:r>
    </w:p>
    <w:p>
      <w:pPr>
        <w:shd w:fill="F1F4F8" w:color="auto" w:val="clear"/>
        <w:spacing w:after="0" w:line="232"/>
        <w:ind w:left="120" w:right="120"/>
      </w:pPr>
      <w:r>
        <w:rPr>
          <w:rFonts w:ascii="Consolas" w:cs="Consolas" w:eastAsia="Consolas" w:hAnsi="Consolas"/>
          <w:sz w:val="16"/>
          <w:szCs w:val="16"/>
        </w:rPr>
        <w:t xml:space="preserve">    { "signer": "lsp:lspX:policy-key-1",      "alg": "ed25519", "sig": "..." }</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w:t>
      </w:r>
    </w:p>
    <w:p>
      <w:pPr>
        <w:spacing w:after="120"/>
      </w:pPr>
    </w:p>
    <w:p>
      <w:pPr>
        <w:pStyle w:val="Heading2"/>
        <w:keepNext/>
        <w:spacing w:after="100" w:before="280"/>
      </w:pPr>
      <w:r>
        <w:rPr>
          <w:rFonts w:ascii="Calibri" w:cs="Calibri" w:eastAsia="Calibri" w:hAnsi="Calibri"/>
          <w:b/>
          <w:bCs/>
          <w:color w:val="1F7A8C"/>
          <w:sz w:val="26"/>
          <w:szCs w:val="26"/>
        </w:rPr>
        <w:t xml:space="preserve">7.8 API specification (v1)</w:t>
      </w:r>
    </w:p>
    <w:p>
      <w:pPr>
        <w:spacing w:after="120" w:line="276"/>
      </w:pPr>
      <w:r>
        <w:rPr>
          <w:rFonts w:ascii="Calibri" w:cs="Calibri" w:eastAsia="Calibri" w:hAnsi="Calibri"/>
          <w:sz w:val="21"/>
          <w:szCs w:val="21"/>
        </w:rPr>
        <w:t xml:space="preserve">All endpoints require mutual TLS plus a signed request header. Write endpoints require an </w:t>
      </w:r>
      <w:r>
        <w:rPr>
          <w:rFonts w:ascii="Consolas" w:cs="Consolas" w:eastAsia="Consolas" w:hAnsi="Consolas"/>
          <w:color w:val="8E2C48"/>
          <w:sz w:val="19"/>
          <w:szCs w:val="19"/>
        </w:rPr>
        <w:t xml:space="preserve">Idempotency-Key</w:t>
      </w:r>
      <w:r>
        <w:rPr>
          <w:rFonts w:ascii="Calibri" w:cs="Calibri" w:eastAsia="Calibri" w:hAnsi="Calibri"/>
          <w:sz w:val="21"/>
          <w:szCs w:val="21"/>
        </w:rPr>
        <w:t xml:space="preserve">. Errors return a stable machine-readable </w:t>
      </w:r>
      <w:r>
        <w:rPr>
          <w:rFonts w:ascii="Consolas" w:cs="Consolas" w:eastAsia="Consolas" w:hAnsi="Consolas"/>
          <w:color w:val="8E2C48"/>
          <w:sz w:val="19"/>
          <w:szCs w:val="19"/>
        </w:rPr>
        <w:t xml:space="preserve">reason</w:t>
      </w:r>
      <w:r>
        <w:rPr>
          <w:rFonts w:ascii="Calibri" w:cs="Calibri" w:eastAsia="Calibri" w:hAnsi="Calibri"/>
          <w:sz w:val="21"/>
          <w:szCs w:val="21"/>
        </w:rPr>
        <w:t xml:space="preserve"> from the code list in 7.6.3.</w:t>
      </w:r>
    </w:p>
    <w:p>
      <w:pPr>
        <w:pStyle w:val="Heading3"/>
        <w:keepNext/>
        <w:spacing w:after="80" w:before="200"/>
      </w:pPr>
      <w:r>
        <w:rPr>
          <w:rFonts w:ascii="Calibri" w:cs="Calibri" w:eastAsia="Calibri" w:hAnsi="Calibri"/>
          <w:b/>
          <w:bCs/>
          <w:color w:val="1F3A5F"/>
          <w:sz w:val="22"/>
          <w:szCs w:val="22"/>
        </w:rPr>
        <w:t xml:space="preserve">Sidecar (LSP, internal)</w:t>
      </w:r>
    </w:p>
    <w:p>
      <w:pPr>
        <w:pBdr>
          <w:top w:val="single" w:color="BFC9D4" w:sz="4"/>
        </w:pBdr>
        <w:shd w:fill="F1F4F8" w:color="auto" w:val="clear"/>
        <w:spacing w:after="0" w:line="232"/>
        <w:ind w:left="120" w:right="120"/>
      </w:pPr>
      <w:r>
        <w:rPr>
          <w:rFonts w:ascii="Consolas" w:cs="Consolas" w:eastAsia="Consolas" w:hAnsi="Consolas"/>
          <w:sz w:val="16"/>
          <w:szCs w:val="16"/>
        </w:rPr>
        <w:t xml:space="preserve">POST /v1/prove                      # optional HTTP hook; queue integration preferred</w:t>
      </w:r>
    </w:p>
    <w:p>
      <w:pPr>
        <w:shd w:fill="F1F4F8" w:color="auto" w:val="clear"/>
        <w:spacing w:after="0" w:line="232"/>
        <w:ind w:left="120" w:right="120"/>
      </w:pPr>
      <w:r>
        <w:rPr>
          <w:rFonts w:ascii="Consolas" w:cs="Consolas" w:eastAsia="Consolas" w:hAnsi="Consolas"/>
          <w:sz w:val="16"/>
          <w:szCs w:val="16"/>
        </w:rPr>
        <w:t xml:space="preserve">  { "decision_id": "d_8842", "application_id": "a_5531", "policy_id": "pol_..._v3",</w:t>
      </w:r>
    </w:p>
    <w:p>
      <w:pPr>
        <w:shd w:fill="F1F4F8" w:color="auto" w:val="clear"/>
        <w:spacing w:after="0" w:line="232"/>
        <w:ind w:left="120" w:right="120"/>
      </w:pPr>
      <w:r>
        <w:rPr>
          <w:rFonts w:ascii="Consolas" w:cs="Consolas" w:eastAsia="Consolas" w:hAnsi="Consolas"/>
          <w:sz w:val="16"/>
          <w:szCs w:val="16"/>
        </w:rPr>
        <w:t xml:space="preserve">    "features": { ... }, "decision": 1, "ts": "2026-11-03T10:15:22+05:30" }</w:t>
      </w:r>
    </w:p>
    <w:p>
      <w:pPr>
        <w:shd w:fill="F1F4F8" w:color="auto" w:val="clear"/>
        <w:spacing w:after="0" w:line="232"/>
        <w:ind w:left="120" w:right="120"/>
      </w:pPr>
      <w:r>
        <w:rPr>
          <w:rFonts w:ascii="Consolas" w:cs="Consolas" w:eastAsia="Consolas" w:hAnsi="Consolas"/>
          <w:sz w:val="16"/>
          <w:szCs w:val="16"/>
        </w:rPr>
        <w:t xml:space="preserve">  -&gt; 202 { "job_id": "j_19", "status": "QUEUED" }</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GET  /v1/jobs/{job_id}              # QUEUED | PROVING | UPLOADED | VERIFIED | FAILED</w:t>
      </w:r>
    </w:p>
    <w:p>
      <w:pPr>
        <w:shd w:fill="F1F4F8" w:color="auto" w:val="clear"/>
        <w:spacing w:after="0" w:line="232"/>
        <w:ind w:left="120" w:right="120"/>
      </w:pPr>
      <w:r>
        <w:rPr>
          <w:rFonts w:ascii="Consolas" w:cs="Consolas" w:eastAsia="Consolas" w:hAnsi="Consolas"/>
          <w:sz w:val="16"/>
          <w:szCs w:val="16"/>
        </w:rPr>
        <w:t xml:space="preserve">GET  /healthz   GET /metrics        # internal only</w:t>
      </w:r>
    </w:p>
    <w:p>
      <w:pPr>
        <w:spacing w:after="120"/>
      </w:pPr>
    </w:p>
    <w:p>
      <w:pPr>
        <w:pStyle w:val="Heading3"/>
        <w:keepNext/>
        <w:spacing w:after="80" w:before="200"/>
      </w:pPr>
      <w:r>
        <w:rPr>
          <w:rFonts w:ascii="Calibri" w:cs="Calibri" w:eastAsia="Calibri" w:hAnsi="Calibri"/>
          <w:b/>
          <w:bCs/>
          <w:color w:val="1F3A5F"/>
          <w:sz w:val="22"/>
          <w:szCs w:val="22"/>
        </w:rPr>
        <w:t xml:space="preserve">Lender Node (gateway)</w:t>
      </w:r>
    </w:p>
    <w:p>
      <w:pPr>
        <w:pBdr>
          <w:top w:val="single" w:color="BFC9D4" w:sz="4"/>
        </w:pBdr>
        <w:shd w:fill="F1F4F8" w:color="auto" w:val="clear"/>
        <w:spacing w:after="0" w:line="232"/>
        <w:ind w:left="120" w:right="120"/>
      </w:pPr>
      <w:r>
        <w:rPr>
          <w:rFonts w:ascii="Consolas" w:cs="Consolas" w:eastAsia="Consolas" w:hAnsi="Consolas"/>
          <w:sz w:val="16"/>
          <w:szCs w:val="16"/>
        </w:rPr>
        <w:t xml:space="preserve">POST /v1/models                     # LSP registers a model (public data only)</w:t>
      </w:r>
    </w:p>
    <w:p>
      <w:pPr>
        <w:shd w:fill="F1F4F8" w:color="auto" w:val="clear"/>
        <w:spacing w:after="0" w:line="232"/>
        <w:ind w:left="120" w:right="120"/>
      </w:pPr>
      <w:r>
        <w:rPr>
          <w:rFonts w:ascii="Consolas" w:cs="Consolas" w:eastAsia="Consolas" w:hAnsi="Consolas"/>
          <w:sz w:val="16"/>
          <w:szCs w:val="16"/>
        </w:rPr>
        <w:t xml:space="preserve">  { "commitment": "0x9f..", "circuit_hash": "0x41..", "vk": "&lt;base64&gt;",</w:t>
      </w:r>
    </w:p>
    <w:p>
      <w:pPr>
        <w:shd w:fill="F1F4F8" w:color="auto" w:val="clear"/>
        <w:spacing w:after="0" w:line="232"/>
        <w:ind w:left="120" w:right="120"/>
      </w:pPr>
      <w:r>
        <w:rPr>
          <w:rFonts w:ascii="Consolas" w:cs="Consolas" w:eastAsia="Consolas" w:hAnsi="Consolas"/>
          <w:sz w:val="16"/>
          <w:szCs w:val="16"/>
        </w:rPr>
        <w:t xml:space="preserve">    "feature_schema_hash": "0x7d..", "parity_report": { ... }, "lsp_sig": "..." }</w:t>
      </w:r>
    </w:p>
    <w:p>
      <w:pPr>
        <w:shd w:fill="F1F4F8" w:color="auto" w:val="clear"/>
        <w:spacing w:after="0" w:line="232"/>
        <w:ind w:left="120" w:right="120"/>
      </w:pPr>
      <w:r>
        <w:rPr>
          <w:rFonts w:ascii="Consolas" w:cs="Consolas" w:eastAsia="Consolas" w:hAnsi="Consolas"/>
          <w:sz w:val="16"/>
          <w:szCs w:val="16"/>
        </w:rPr>
        <w:t xml:space="preserve">  -&gt; 201 { "model_id": "m_7", "status": "PENDING_APPROVAL" }</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POST /v1/models/{id}/approve         # lender-signed action</w:t>
      </w:r>
    </w:p>
    <w:p>
      <w:pPr>
        <w:shd w:fill="F1F4F8" w:color="auto" w:val="clear"/>
        <w:spacing w:after="0" w:line="232"/>
        <w:ind w:left="120" w:right="120"/>
      </w:pPr>
      <w:r>
        <w:rPr>
          <w:rFonts w:ascii="Consolas" w:cs="Consolas" w:eastAsia="Consolas" w:hAnsi="Consolas"/>
          <w:sz w:val="16"/>
          <w:szCs w:val="16"/>
        </w:rPr>
        <w:t xml:space="preserve">POST /v1/policies                    # upload dual-signed policy; node validates both signatures</w:t>
      </w:r>
    </w:p>
    <w:p>
      <w:pPr>
        <w:shd w:fill="F1F4F8" w:color="auto" w:val="clear"/>
        <w:spacing w:after="0" w:line="232"/>
        <w:ind w:left="120" w:right="120"/>
      </w:pPr>
      <w:r>
        <w:rPr>
          <w:rFonts w:ascii="Consolas" w:cs="Consolas" w:eastAsia="Consolas" w:hAnsi="Consolas"/>
          <w:sz w:val="16"/>
          <w:szCs w:val="16"/>
        </w:rPr>
        <w:t xml:space="preserve">GET  /v1/policies/{policy_id}</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POST /v1/decisions                   # hash-only decision notice (starts SLA clock)</w:t>
      </w:r>
    </w:p>
    <w:p>
      <w:pPr>
        <w:shd w:fill="F1F4F8" w:color="auto" w:val="clear"/>
        <w:spacing w:after="0" w:line="232"/>
        <w:ind w:left="120" w:right="120"/>
      </w:pPr>
      <w:r>
        <w:rPr>
          <w:rFonts w:ascii="Consolas" w:cs="Consolas" w:eastAsia="Consolas" w:hAnsi="Consolas"/>
          <w:sz w:val="16"/>
          <w:szCs w:val="16"/>
        </w:rPr>
        <w:t xml:space="preserve">  { "decision_id": "d_8842", "application_id_hash": "0x..", "policy_id": "pol_..",</w:t>
      </w:r>
    </w:p>
    <w:p>
      <w:pPr>
        <w:shd w:fill="F1F4F8" w:color="auto" w:val="clear"/>
        <w:spacing w:after="0" w:line="232"/>
        <w:ind w:left="120" w:right="120"/>
      </w:pPr>
      <w:r>
        <w:rPr>
          <w:rFonts w:ascii="Consolas" w:cs="Consolas" w:eastAsia="Consolas" w:hAnsi="Consolas"/>
          <w:sz w:val="16"/>
          <w:szCs w:val="16"/>
        </w:rPr>
        <w:t xml:space="preserve">    "decision": 1, "ts": "..." }</w:t>
      </w:r>
    </w:p>
    <w:p>
      <w:pPr>
        <w:shd w:fill="F1F4F8" w:color="auto" w:val="clear"/>
        <w:spacing w:after="0" w:line="232"/>
        <w:ind w:left="120" w:right="120"/>
      </w:pPr>
      <w:r>
        <w:rPr>
          <w:rFonts w:ascii="Consolas" w:cs="Consolas" w:eastAsia="Consolas" w:hAnsi="Consolas"/>
          <w:sz w:val="16"/>
          <w:szCs w:val="16"/>
        </w:rPr>
        <w:t xml:space="preserve">  -&gt; 202</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POST /v1/proofs</w:t>
      </w:r>
    </w:p>
    <w:p>
      <w:pPr>
        <w:shd w:fill="F1F4F8" w:color="auto" w:val="clear"/>
        <w:spacing w:after="0" w:line="232"/>
        <w:ind w:left="120" w:right="120"/>
      </w:pPr>
      <w:r>
        <w:rPr>
          <w:rFonts w:ascii="Consolas" w:cs="Consolas" w:eastAsia="Consolas" w:hAnsi="Consolas"/>
          <w:sz w:val="16"/>
          <w:szCs w:val="16"/>
        </w:rPr>
        <w:t xml:space="preserve">  { "decision_id": "d_8842", "policy_id": "pol_..", "proof": "&lt;base64&gt;",</w:t>
      </w:r>
    </w:p>
    <w:p>
      <w:pPr>
        <w:shd w:fill="F1F4F8" w:color="auto" w:val="clear"/>
        <w:spacing w:after="0" w:line="232"/>
        <w:ind w:left="120" w:right="120"/>
      </w:pPr>
      <w:r>
        <w:rPr>
          <w:rFonts w:ascii="Consolas" w:cs="Consolas" w:eastAsia="Consolas" w:hAnsi="Consolas"/>
          <w:sz w:val="16"/>
          <w:szCs w:val="16"/>
        </w:rPr>
        <w:t xml:space="preserve">    "public": { "policy_hash": "0x..", "C": "0x..", "X": "0x..", "decision": 1,</w:t>
      </w:r>
    </w:p>
    <w:p>
      <w:pPr>
        <w:shd w:fill="F1F4F8" w:color="auto" w:val="clear"/>
        <w:spacing w:after="0" w:line="232"/>
        <w:ind w:left="120" w:right="120"/>
      </w:pPr>
      <w:r>
        <w:rPr>
          <w:rFonts w:ascii="Consolas" w:cs="Consolas" w:eastAsia="Consolas" w:hAnsi="Consolas"/>
          <w:sz w:val="16"/>
          <w:szCs w:val="16"/>
        </w:rPr>
        <w:t xml:space="preserve">                "threshold": "0.200", "epoch": 20261103 } }</w:t>
      </w:r>
    </w:p>
    <w:p>
      <w:pPr>
        <w:shd w:fill="F1F4F8" w:color="auto" w:val="clear"/>
        <w:spacing w:after="0" w:line="232"/>
        <w:ind w:left="120" w:right="120"/>
      </w:pPr>
      <w:r>
        <w:rPr>
          <w:rFonts w:ascii="Consolas" w:cs="Consolas" w:eastAsia="Consolas" w:hAnsi="Consolas"/>
          <w:sz w:val="16"/>
          <w:szCs w:val="16"/>
        </w:rPr>
        <w:t xml:space="preserve">  -&gt; 202 { "verification_id": "v_551", "status": "PENDING" }   # verification typically completes in ms</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GET  /v1/decisions/{decision_id}/status</w:t>
      </w:r>
    </w:p>
    <w:p>
      <w:pPr>
        <w:shd w:fill="F1F4F8" w:color="auto" w:val="clear"/>
        <w:spacing w:after="0" w:line="232"/>
        <w:ind w:left="120" w:right="120"/>
      </w:pPr>
      <w:r>
        <w:rPr>
          <w:rFonts w:ascii="Consolas" w:cs="Consolas" w:eastAsia="Consolas" w:hAnsi="Consolas"/>
          <w:sz w:val="16"/>
          <w:szCs w:val="16"/>
        </w:rPr>
        <w:t xml:space="preserve">  -&gt; 200 { "decision_id": "d_8842", "status": "VERIFIED", "model_commitment": "0x9f..",</w:t>
      </w:r>
    </w:p>
    <w:p>
      <w:pPr>
        <w:shd w:fill="F1F4F8" w:color="auto" w:val="clear"/>
        <w:spacing w:after="0" w:line="232"/>
        <w:ind w:left="120" w:right="120"/>
      </w:pPr>
      <w:r>
        <w:rPr>
          <w:rFonts w:ascii="Consolas" w:cs="Consolas" w:eastAsia="Consolas" w:hAnsi="Consolas"/>
          <w:sz w:val="16"/>
          <w:szCs w:val="16"/>
        </w:rPr>
        <w:t xml:space="preserve">           "policy_id": "pol_..", "verified_at": "...", "ledger_seq": 1048211 }</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POST /v1/input-bindings              # from lender-side Input Binding Adapter</w:t>
      </w:r>
    </w:p>
    <w:p>
      <w:pPr>
        <w:shd w:fill="F1F4F8" w:color="auto" w:val="clear"/>
        <w:spacing w:after="0" w:line="232"/>
        <w:ind w:left="120" w:right="120"/>
      </w:pPr>
      <w:r>
        <w:rPr>
          <w:rFonts w:ascii="Consolas" w:cs="Consolas" w:eastAsia="Consolas" w:hAnsi="Consolas"/>
          <w:sz w:val="16"/>
          <w:szCs w:val="16"/>
        </w:rPr>
        <w:t xml:space="preserve">  { "application_id_hash": "0x..", "x_prime": "0x.." }</w:t>
      </w:r>
    </w:p>
    <w:p>
      <w:pPr>
        <w:shd w:fill="F1F4F8" w:color="auto" w:val="clear"/>
        <w:spacing w:after="0" w:line="232"/>
        <w:ind w:left="120" w:right="120"/>
      </w:pPr>
      <w:r>
        <w:rPr>
          <w:rFonts w:ascii="Consolas" w:cs="Consolas" w:eastAsia="Consolas" w:hAnsi="Consolas"/>
          <w:sz w:val="16"/>
          <w:szCs w:val="16"/>
        </w:rPr>
        <w:t xml:space="preserve"> </w:t>
      </w:r>
    </w:p>
    <w:p>
      <w:pPr>
        <w:shd w:fill="F1F4F8" w:color="auto" w:val="clear"/>
        <w:spacing w:after="0" w:line="232"/>
        <w:ind w:left="120" w:right="120"/>
      </w:pPr>
      <w:r>
        <w:rPr>
          <w:rFonts w:ascii="Consolas" w:cs="Consolas" w:eastAsia="Consolas" w:hAnsi="Consolas"/>
          <w:sz w:val="16"/>
          <w:szCs w:val="16"/>
        </w:rPr>
        <w:t xml:space="preserve">GET  /v1/ledger/export?from=&amp;to=     # evidence pack: rows, chain proof, signed root</w:t>
      </w:r>
    </w:p>
    <w:p>
      <w:pPr>
        <w:spacing w:after="120"/>
      </w:pPr>
    </w:p>
    <w:p>
      <w:pPr>
        <w:spacing w:after="120" w:line="276"/>
      </w:pPr>
      <w:r>
        <w:rPr>
          <w:rFonts w:ascii="Calibri" w:cs="Calibri" w:eastAsia="Calibri" w:hAnsi="Calibri"/>
          <w:b/>
          <w:bCs/>
          <w:sz w:val="21"/>
          <w:szCs w:val="21"/>
        </w:rPr>
        <w:t xml:space="preserve">Gate semantics for the LMS:</w:t>
      </w:r>
      <w:r>
        <w:rPr>
          <w:rFonts w:ascii="Calibri" w:cs="Calibri" w:eastAsia="Calibri" w:hAnsi="Calibri"/>
          <w:sz w:val="21"/>
          <w:szCs w:val="21"/>
        </w:rPr>
        <w:t xml:space="preserve"> treat any status other than VERIFIED (or VERIFIED_UNBOUND where the policy permits it) as "do not disburse". If the gate API is unreachable, the LMS must not disburse and should retry. This is the fail-closed rule.</w:t>
      </w:r>
    </w:p>
    <w:p>
      <w:pPr>
        <w:pStyle w:val="Heading2"/>
        <w:keepNext/>
        <w:spacing w:after="100" w:before="280"/>
      </w:pPr>
      <w:r>
        <w:rPr>
          <w:rFonts w:ascii="Calibri" w:cs="Calibri" w:eastAsia="Calibri" w:hAnsi="Calibri"/>
          <w:b/>
          <w:bCs/>
          <w:color w:val="1F7A8C"/>
          <w:sz w:val="26"/>
          <w:szCs w:val="26"/>
        </w:rPr>
        <w:t xml:space="preserve">7.9 Data model (Lender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138"/>
      </w:tblGrid>
      <w:tr>
        <w:trPr>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Table</w:t>
            </w:r>
          </w:p>
        </w:tc>
        <w:tc>
          <w:tcPr>
            <w:tcW w:type="dxa" w:w="4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Key columns</w:t>
            </w:r>
          </w:p>
        </w:tc>
        <w:tc>
          <w:tcPr>
            <w:tcW w:type="dxa" w:w="31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Notes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lsp_clients</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lsp_id, client_cert_fingerprint, signing_pubkey, status</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Authentication and key rotation.</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models</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model_id, lsp_id, commitment, circuit_hash, vk_blob, feature_schema_hash, parity_report, status, approved_by, approved_at</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Public data only. VK blob can be large (megabytes for some systems); store in object storage.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policies</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policy_id, version, policy_hash, body_json, lender_sig, lsp_sig, valid_from, valid_to, status</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Immutable once signed. New version = new row.</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decision_notices</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decision_id, application_id_hash, policy_id, decision, notice_ts, sla_deadline, status</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Starts the SLA clock; hook for reconciliation.</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proofs</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proof_id, decision_id, proof_blob_ref, public_json, received_at</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Retention per policy; may be pruned to hash only.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verifications</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verification_id, proof_id, result, reason_code, vk_id, verifier_version, verified_at</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Result of V1 to V10.</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input_bindings</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application_id_hash, x_prime, received_at</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From the lender-side adapter.</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ledger_entries</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seq, row_json, prev_hash, row_hash, created_at</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Insert-only role; hash chain.</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audit_roots</w:t>
            </w:r>
          </w:p>
        </w:tc>
        <w:tc>
          <w:tcPr>
            <w:tcW w:type="dxa" w:w="4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day, merkle_root, node_signature, tsa_token</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Daily signed root, optionally timestamped by an RFC 3161 authority.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webhooks</w:t>
            </w:r>
          </w:p>
        </w:tc>
        <w:tc>
          <w:tcPr>
            <w:tcW w:type="dxa" w:w="4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endpoint, secret_ref, event_types, retry_state</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HMAC-signed deliveries.</w:t>
            </w:r>
          </w:p>
        </w:tc>
      </w:tr>
    </w:tbl>
    <w:p>
      <w:pPr>
        <w:spacing w:after="120"/>
      </w:pPr>
    </w:p>
    <w:p>
      <w:pPr>
        <w:pStyle w:val="Heading2"/>
        <w:keepNext/>
        <w:spacing w:after="100" w:before="280"/>
      </w:pPr>
      <w:r>
        <w:rPr>
          <w:rFonts w:ascii="Calibri" w:cs="Calibri" w:eastAsia="Calibri" w:hAnsi="Calibri"/>
          <w:b/>
          <w:bCs/>
          <w:color w:val="1F7A8C"/>
          <w:sz w:val="26"/>
          <w:szCs w:val="26"/>
        </w:rPr>
        <w:t xml:space="preserve">7.10 Audit ledger design</w:t>
      </w:r>
    </w:p>
    <w:p>
      <w:pPr>
        <w:pStyle w:val="ListParagraph"/>
        <w:numPr>
          <w:ilvl w:val="0"/>
          <w:numId w:val="2"/>
        </w:numPr>
        <w:spacing w:after="70" w:line="264"/>
      </w:pPr>
      <w:r>
        <w:rPr>
          <w:rFonts w:ascii="Calibri" w:cs="Calibri" w:eastAsia="Calibri" w:hAnsi="Calibri"/>
          <w:b/>
          <w:bCs/>
          <w:sz w:val="21"/>
          <w:szCs w:val="21"/>
        </w:rPr>
        <w:t xml:space="preserve">Hash chain:</w:t>
      </w:r>
      <w:r>
        <w:rPr>
          <w:rFonts w:ascii="Calibri" w:cs="Calibri" w:eastAsia="Calibri" w:hAnsi="Calibri"/>
          <w:sz w:val="21"/>
          <w:szCs w:val="21"/>
        </w:rPr>
        <w:t xml:space="preserve"> </w:t>
      </w:r>
      <w:r>
        <w:rPr>
          <w:rFonts w:ascii="Consolas" w:cs="Consolas" w:eastAsia="Consolas" w:hAnsi="Consolas"/>
          <w:color w:val="8E2C48"/>
          <w:sz w:val="19"/>
          <w:szCs w:val="19"/>
        </w:rPr>
        <w:t xml:space="preserve">row_hash = SHA-256(prev_hash || canonical_json(row))</w:t>
      </w:r>
      <w:r>
        <w:rPr>
          <w:rFonts w:ascii="Calibri" w:cs="Calibri" w:eastAsia="Calibri" w:hAnsi="Calibri"/>
          <w:sz w:val="21"/>
          <w:szCs w:val="21"/>
        </w:rPr>
        <w:t xml:space="preserve">. Changing or deleting any historical row breaks every later hash.</w:t>
      </w:r>
    </w:p>
    <w:p>
      <w:pPr>
        <w:pStyle w:val="ListParagraph"/>
        <w:numPr>
          <w:ilvl w:val="0"/>
          <w:numId w:val="2"/>
        </w:numPr>
        <w:spacing w:after="70" w:line="264"/>
      </w:pPr>
      <w:r>
        <w:rPr>
          <w:rFonts w:ascii="Calibri" w:cs="Calibri" w:eastAsia="Calibri" w:hAnsi="Calibri"/>
          <w:b/>
          <w:bCs/>
          <w:sz w:val="21"/>
          <w:szCs w:val="21"/>
        </w:rPr>
        <w:t xml:space="preserve">Daily root:</w:t>
      </w:r>
      <w:r>
        <w:rPr>
          <w:rFonts w:ascii="Calibri" w:cs="Calibri" w:eastAsia="Calibri" w:hAnsi="Calibri"/>
          <w:sz w:val="21"/>
          <w:szCs w:val="21"/>
        </w:rPr>
        <w:t xml:space="preserve"> a Merkle root over that day's rows, signed by the node key, optionally stamped by an external timestamp authority. This prevents the node operator (including us in managed mode) from silently rewriting history.</w:t>
      </w:r>
    </w:p>
    <w:p>
      <w:pPr>
        <w:pStyle w:val="ListParagraph"/>
        <w:numPr>
          <w:ilvl w:val="0"/>
          <w:numId w:val="2"/>
        </w:numPr>
        <w:spacing w:after="70" w:line="264"/>
      </w:pPr>
      <w:r>
        <w:rPr>
          <w:rFonts w:ascii="Calibri" w:cs="Calibri" w:eastAsia="Calibri" w:hAnsi="Calibri"/>
          <w:b/>
          <w:bCs/>
          <w:sz w:val="21"/>
          <w:szCs w:val="21"/>
        </w:rPr>
        <w:t xml:space="preserve">Insert-only database role:</w:t>
      </w:r>
      <w:r>
        <w:rPr>
          <w:rFonts w:ascii="Calibri" w:cs="Calibri" w:eastAsia="Calibri" w:hAnsi="Calibri"/>
          <w:sz w:val="21"/>
          <w:szCs w:val="21"/>
        </w:rPr>
        <w:t xml:space="preserve"> application credentials cannot UPDATE or DELETE ledger rows.</w:t>
      </w:r>
    </w:p>
    <w:p>
      <w:pPr>
        <w:pStyle w:val="ListParagraph"/>
        <w:numPr>
          <w:ilvl w:val="0"/>
          <w:numId w:val="2"/>
        </w:numPr>
        <w:spacing w:after="70" w:line="264"/>
      </w:pPr>
      <w:r>
        <w:rPr>
          <w:rFonts w:ascii="Calibri" w:cs="Calibri" w:eastAsia="Calibri" w:hAnsi="Calibri"/>
          <w:b/>
          <w:bCs/>
          <w:sz w:val="21"/>
          <w:szCs w:val="21"/>
        </w:rPr>
        <w:t xml:space="preserve">Offline verification:</w:t>
      </w:r>
      <w:r>
        <w:rPr>
          <w:rFonts w:ascii="Calibri" w:cs="Calibri" w:eastAsia="Calibri" w:hAnsi="Calibri"/>
          <w:sz w:val="21"/>
          <w:szCs w:val="21"/>
        </w:rPr>
        <w:t xml:space="preserve"> the CLI verifies an exported evidence pack end to end (chain, root signature, proof, policy signatures) without contacting the node.</w:t>
      </w:r>
    </w:p>
    <w:p>
      <w:pPr>
        <w:pStyle w:val="Heading2"/>
        <w:keepNext/>
        <w:spacing w:after="100" w:before="280"/>
      </w:pPr>
      <w:r>
        <w:rPr>
          <w:rFonts w:ascii="Calibri" w:cs="Calibri" w:eastAsia="Calibri" w:hAnsi="Calibri"/>
          <w:b/>
          <w:bCs/>
          <w:color w:val="1F7A8C"/>
          <w:sz w:val="26"/>
          <w:szCs w:val="26"/>
        </w:rPr>
        <w:t xml:space="preserve">7.11 Threat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300"/>
        <w:gridCol w:w="2438"/>
      </w:tblGrid>
      <w:tr>
        <w:trPr>
          <w:tblHeader/>
        </w:trPr>
        <w:tc>
          <w:tcPr>
            <w:tcW w:type="dxa" w:w="1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Threat</w:t>
            </w:r>
          </w:p>
        </w:tc>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Attack</w:t>
            </w:r>
          </w:p>
        </w:tc>
        <w:tc>
          <w:tcPr>
            <w:tcW w:type="dxa" w:w="3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Control</w:t>
            </w:r>
          </w:p>
        </w:tc>
        <w:tc>
          <w:tcPr>
            <w:tcW w:type="dxa" w:w="24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Residual risk</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Malicious or negligent LSP: silent model swap</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Serve model D in production while proving under C</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Disbursal gated on proof under C; D cannot get approvals that C would not approve. Parity checks at registration.</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 can reject applicants that C would approve (lost business, borrower harm). Mitigate with reconciliation and sampled audits.</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Threshold change</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Approve at lower cut-off</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Threshold is a public input checked against policy.</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None for proved decisions.</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Feature tampering</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Alter inputs to pass the cut-off</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commitment plus lender-side binding for class A inputs.</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Class B inputs rely on attestation and audits in v1.</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Replay</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Reuse a valid proof</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decision_id</w:t>
            </w:r>
            <w:r>
              <w:rPr>
                <w:rFonts w:ascii="Calibri" w:cs="Calibri" w:eastAsia="Calibri" w:hAnsi="Calibri"/>
                <w:b w:val="false"/>
                <w:bCs w:val="false"/>
                <w:sz w:val="18"/>
                <w:szCs w:val="18"/>
              </w:rPr>
              <w:t xml:space="preserve">, </w:t>
            </w:r>
            <w:r>
              <w:rPr>
                <w:rFonts w:ascii="Consolas" w:cs="Consolas" w:eastAsia="Consolas" w:hAnsi="Consolas"/>
                <w:color w:val="8E2C48"/>
                <w:sz w:val="16"/>
                <w:szCs w:val="16"/>
              </w:rPr>
              <w:t xml:space="preserve">application_id</w:t>
            </w:r>
            <w:r>
              <w:rPr>
                <w:rFonts w:ascii="Calibri" w:cs="Calibri" w:eastAsia="Calibri" w:hAnsi="Calibri"/>
                <w:b w:val="false"/>
                <w:bCs w:val="false"/>
                <w:sz w:val="18"/>
                <w:szCs w:val="18"/>
              </w:rPr>
              <w:t xml:space="preserve"> and epoch are public inputs; uniqueness check.</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None if ledger uniqueness is enforced.</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Prover compromise at LSP</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Attacker steals weights or salts</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KMS / HSM key storage, least privilege, outbound-only networking.</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LSP's own security posture; outside our control.</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Compromised Lender Node (managed mode)</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Operator alters verdicts or ledger</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Signed daily roots, external timestamps, offline-verifiable evidence packs, optional self-hosting.</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Residual trust in availability.</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extraction via outputs</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Collect many (input, output) pairs</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Default: do not expose the score; expose only the decision bit.</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already receives decisions today; no new leakage.</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Collusion</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and a lender employee approve a bad policy</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Dual-signed policy, change history in the ledger, board-level governance (FREE-AI).</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Governance, not cryptography.</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Denial of service</w:t>
            </w:r>
          </w:p>
        </w:tc>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Flood the gateway or starve the verifier</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Rate limits, authentication before heavy work, bounded worker pools.</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Standard.</w:t>
            </w:r>
          </w:p>
        </w:tc>
      </w:tr>
      <w:tr>
        <w:trPr>
          <w:cantSplit/>
        </w:trPr>
        <w:tc>
          <w:tcPr>
            <w:tcW w:type="dxa" w:w="19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Soundness bug in the proof system or circuit</w:t>
            </w:r>
          </w:p>
        </w:tc>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Forge a proof of a false statement</w:t>
            </w:r>
          </w:p>
        </w:tc>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Use audited libraries, pin versions, differential testing between circuit and reference implementation, bug-bounty and third-party audit before production.</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Must be called out honestly. This is the central long-term technical risk.</w:t>
            </w:r>
          </w:p>
        </w:tc>
      </w:tr>
    </w:tbl>
    <w:p>
      <w:pPr>
        <w:spacing w:after="120"/>
      </w:pPr>
    </w:p>
    <w:p>
      <w:pPr>
        <w:pStyle w:val="Heading2"/>
        <w:keepNext/>
        <w:spacing w:after="100" w:before="280"/>
      </w:pPr>
      <w:r>
        <w:rPr>
          <w:rFonts w:ascii="Calibri" w:cs="Calibri" w:eastAsia="Calibri" w:hAnsi="Calibri"/>
          <w:b/>
          <w:bCs/>
          <w:color w:val="1F7A8C"/>
          <w:sz w:val="26"/>
          <w:szCs w:val="26"/>
        </w:rPr>
        <w:t xml:space="preserve">7.12 Failure modes and degradation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838"/>
      </w:tblGrid>
      <w:tr>
        <w:trPr>
          <w:tblHeader/>
        </w:trPr>
        <w:tc>
          <w:tcPr>
            <w:tcW w:type="dxa" w:w="2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Failure</w:t>
            </w:r>
          </w:p>
        </w:tc>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Effect</w:t>
            </w:r>
          </w:p>
        </w:tc>
        <w:tc>
          <w:tcPr>
            <w:tcW w:type="dxa" w:w="48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Behaviour</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Prover worker crash</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 delayed</w:t>
            </w:r>
          </w:p>
        </w:tc>
        <w:tc>
          <w:tcPr>
            <w:tcW w:type="dxa" w:w="4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Outbox retries; status remains NOTICE_RECEIVED; SLA timer alerts if exceeded.</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Proof backlog (traffic spike)</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Time-to-verified grows</w:t>
            </w:r>
          </w:p>
        </w:tc>
        <w:tc>
          <w:tcPr>
            <w:tcW w:type="dxa" w:w="4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Autoscale workers; queue-depth alarm; policy can switch low-ticket products to sampled mode.</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Lender Node unreachable from LSP</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Proofs cannot upload</w:t>
            </w:r>
          </w:p>
        </w:tc>
        <w:tc>
          <w:tcPr>
            <w:tcW w:type="dxa" w:w="4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Outbox retains encrypted proofs; resume on recovery.</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Gate API unreachable from LMS</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Cannot read status</w:t>
            </w:r>
          </w:p>
        </w:tc>
        <w:tc>
          <w:tcPr>
            <w:tcW w:type="dxa" w:w="4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LMS fails closed on disbursal and retries; borrower journey unaffected until disbursal.</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Model revoked mid-flight</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In-flight proofs under the old </w:t>
            </w:r>
            <w:r>
              <w:rPr>
                <w:rFonts w:ascii="Consolas" w:cs="Consolas" w:eastAsia="Consolas" w:hAnsi="Consolas"/>
                <w:color w:val="8E2C48"/>
                <w:sz w:val="16"/>
                <w:szCs w:val="16"/>
              </w:rPr>
              <w:t xml:space="preserve">C</w:t>
            </w:r>
          </w:p>
        </w:tc>
        <w:tc>
          <w:tcPr>
            <w:tcW w:type="dxa" w:w="4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Grace window in policy; after expiry proofs fail with MODEL_REVOKED.</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Clock skew</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False STALE_PROOF</w:t>
            </w:r>
          </w:p>
        </w:tc>
        <w:tc>
          <w:tcPr>
            <w:tcW w:type="dxa" w:w="4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NTP requirement; tolerance window in policy.</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Key compromise (LSP client key)</w:t>
            </w:r>
          </w:p>
        </w:tc>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Forged uploads</w:t>
            </w:r>
          </w:p>
        </w:tc>
        <w:tc>
          <w:tcPr>
            <w:tcW w:type="dxa" w:w="4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Revoke key in </w:t>
            </w:r>
            <w:r>
              <w:rPr>
                <w:rFonts w:ascii="Consolas" w:cs="Consolas" w:eastAsia="Consolas" w:hAnsi="Consolas"/>
                <w:color w:val="8E2C48"/>
                <w:sz w:val="16"/>
                <w:szCs w:val="16"/>
              </w:rPr>
              <w:t xml:space="preserve">lsp_clients</w:t>
            </w:r>
            <w:r>
              <w:rPr>
                <w:rFonts w:ascii="Calibri" w:cs="Calibri" w:eastAsia="Calibri" w:hAnsi="Calibri"/>
                <w:b w:val="false"/>
                <w:bCs w:val="false"/>
                <w:sz w:val="18"/>
                <w:szCs w:val="18"/>
              </w:rPr>
              <w:t xml:space="preserve">; proofs still must verify cryptographically, so a stolen client key alone cannot forge a valid proof.</w:t>
            </w:r>
          </w:p>
        </w:tc>
      </w:tr>
      <w:tr>
        <w:trPr>
          <w:cantSplit/>
        </w:trPr>
        <w:tc>
          <w:tcPr>
            <w:tcW w:type="dxa" w:w="2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Policy expiry</w:t>
            </w:r>
          </w:p>
        </w:tc>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All proofs fail</w:t>
            </w:r>
          </w:p>
        </w:tc>
        <w:tc>
          <w:tcPr>
            <w:tcW w:type="dxa" w:w="4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Expiry alerts 30 and 7 days ahead; renewal workflow.</w:t>
            </w:r>
          </w:p>
        </w:tc>
      </w:tr>
    </w:tbl>
    <w:p>
      <w:pPr>
        <w:spacing w:after="120"/>
      </w:pPr>
    </w:p>
    <w:p>
      <w:pPr>
        <w:pStyle w:val="Heading2"/>
        <w:keepNext/>
        <w:spacing w:after="100" w:before="280"/>
      </w:pPr>
      <w:r>
        <w:rPr>
          <w:rFonts w:ascii="Calibri" w:cs="Calibri" w:eastAsia="Calibri" w:hAnsi="Calibri"/>
          <w:b/>
          <w:bCs/>
          <w:color w:val="1F7A8C"/>
          <w:sz w:val="26"/>
          <w:szCs w:val="26"/>
        </w:rPr>
        <w:t xml:space="preserve">7.13 Deployment topologies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338"/>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Topology</w:t>
            </w:r>
          </w:p>
        </w:tc>
        <w:tc>
          <w:tcPr>
            <w:tcW w:type="dxa" w:w="5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Description</w:t>
            </w:r>
          </w:p>
        </w:tc>
        <w:tc>
          <w:tcPr>
            <w:tcW w:type="dxa" w:w="23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When to use</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 Managed Lender Node</w:t>
            </w:r>
          </w:p>
        </w:tc>
        <w:tc>
          <w:tcPr>
            <w:tcW w:type="dxa" w:w="5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LendProof hosts a tenant-isolated Lender Node per lender (separate database, keys in the lender-specific KMS key). The lender receives a dashboard login and the gate API.</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Default. Fastest integration. Fintech-forward NBFCs.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 Self-hosted in lender VPC</w:t>
            </w:r>
          </w:p>
        </w:tc>
        <w:tc>
          <w:tcPr>
            <w:tcW w:type="dxa" w:w="5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same container (and database) is run by the lender. Registry snapshot and updates are signed by LendProof.</w:t>
            </w:r>
          </w:p>
        </w:tc>
        <w:tc>
          <w:tcPr>
            <w:tcW w:type="dxa" w:w="2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Large banks with data-residency or vendor-risk preferences; enterprise tier.</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 Hybrid</w:t>
            </w:r>
          </w:p>
        </w:tc>
        <w:tc>
          <w:tcPr>
            <w:tcW w:type="dxa" w:w="5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Verifier, gate and ledger in the lender VPC; dashboard and analytics managed.</w:t>
            </w:r>
          </w:p>
        </w:tc>
        <w:tc>
          <w:tcPr>
            <w:tcW w:type="dxa" w:w="2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Banks that want sensitive state in-house but are comfortable with managed UI.</w:t>
            </w:r>
          </w:p>
        </w:tc>
      </w:tr>
    </w:tbl>
    <w:p>
      <w:pPr>
        <w:spacing w:after="120"/>
      </w:pPr>
    </w:p>
    <w:p>
      <w:pPr>
        <w:spacing w:after="120" w:line="276"/>
      </w:pPr>
      <w:r>
        <w:rPr>
          <w:rFonts w:ascii="Calibri" w:cs="Calibri" w:eastAsia="Calibri" w:hAnsi="Calibri"/>
          <w:b/>
          <w:bCs/>
          <w:sz w:val="21"/>
          <w:szCs w:val="21"/>
        </w:rPr>
        <w:t xml:space="preserve">Network rules:</w:t>
      </w:r>
      <w:r>
        <w:rPr>
          <w:rFonts w:ascii="Calibri" w:cs="Calibri" w:eastAsia="Calibri" w:hAnsi="Calibri"/>
          <w:sz w:val="21"/>
          <w:szCs w:val="21"/>
        </w:rPr>
        <w:t xml:space="preserve"> LSP sidecar makes outbound HTTPS only to the Lender Node. The lender LMS calls the gate API and receives signed webhooks. The Input Binding Adapter calls the node from inside the lender environment. LendProof-hosted infrastructure never has a path to LSP internal systems.</w:t>
      </w:r>
    </w:p>
    <w:p>
      <w:pPr>
        <w:spacing w:after="120" w:line="276"/>
      </w:pPr>
      <w:r>
        <w:rPr>
          <w:rFonts w:ascii="Calibri" w:cs="Calibri" w:eastAsia="Calibri" w:hAnsi="Calibri"/>
          <w:b/>
          <w:bCs/>
          <w:sz w:val="21"/>
          <w:szCs w:val="21"/>
        </w:rPr>
        <w:t xml:space="preserve">Hackathon deployment:</w:t>
      </w:r>
      <w:r>
        <w:rPr>
          <w:rFonts w:ascii="Calibri" w:cs="Calibri" w:eastAsia="Calibri" w:hAnsi="Calibri"/>
          <w:sz w:val="21"/>
          <w:szCs w:val="21"/>
        </w:rPr>
        <w:t xml:space="preserve"> Docker Compose with three containers on two separate networks (</w:t>
      </w:r>
      <w:r>
        <w:rPr>
          <w:rFonts w:ascii="Consolas" w:cs="Consolas" w:eastAsia="Consolas" w:hAnsi="Consolas"/>
          <w:color w:val="8E2C48"/>
          <w:sz w:val="19"/>
          <w:szCs w:val="19"/>
        </w:rPr>
        <w:t xml:space="preserve">lsp_net</w:t>
      </w:r>
      <w:r>
        <w:rPr>
          <w:rFonts w:ascii="Calibri" w:cs="Calibri" w:eastAsia="Calibri" w:hAnsi="Calibri"/>
          <w:sz w:val="21"/>
          <w:szCs w:val="21"/>
        </w:rPr>
        <w:t xml:space="preserve"> for model service, queue and sidecar; </w:t>
      </w:r>
      <w:r>
        <w:rPr>
          <w:rFonts w:ascii="Consolas" w:cs="Consolas" w:eastAsia="Consolas" w:hAnsi="Consolas"/>
          <w:color w:val="8E2C48"/>
          <w:sz w:val="19"/>
          <w:szCs w:val="19"/>
        </w:rPr>
        <w:t xml:space="preserve">lender_net</w:t>
      </w:r>
      <w:r>
        <w:rPr>
          <w:rFonts w:ascii="Calibri" w:cs="Calibri" w:eastAsia="Calibri" w:hAnsi="Calibri"/>
          <w:sz w:val="21"/>
          <w:szCs w:val="21"/>
        </w:rPr>
        <w:t xml:space="preserve"> for the node and mock LMS), bridged only by the sidecar's outbound call. This makes the trust boundary visible on screen.</w:t>
      </w:r>
    </w:p>
    <w:p>
      <w:pPr>
        <w:pStyle w:val="Heading2"/>
        <w:keepNext/>
        <w:spacing w:after="100" w:before="280"/>
      </w:pPr>
      <w:r>
        <w:rPr>
          <w:rFonts w:ascii="Calibri" w:cs="Calibri" w:eastAsia="Calibri" w:hAnsi="Calibri"/>
          <w:b/>
          <w:bCs/>
          <w:color w:val="1F7A8C"/>
          <w:sz w:val="26"/>
          <w:szCs w:val="26"/>
        </w:rPr>
        <w:t xml:space="preserve">7.14 Observability and operations</w:t>
      </w:r>
    </w:p>
    <w:p>
      <w:pPr>
        <w:pStyle w:val="ListParagraph"/>
        <w:numPr>
          <w:ilvl w:val="0"/>
          <w:numId w:val="2"/>
        </w:numPr>
        <w:spacing w:after="70" w:line="264"/>
      </w:pPr>
      <w:r>
        <w:rPr>
          <w:rFonts w:ascii="Calibri" w:cs="Calibri" w:eastAsia="Calibri" w:hAnsi="Calibri"/>
          <w:sz w:val="21"/>
          <w:szCs w:val="21"/>
        </w:rPr>
        <w:t xml:space="preserve">Metrics: queue depth, proof latency (p50/p95/p99), proof failure rate by reason, verification latency, time-to-verified, SLA breach count, ledger lag.</w:t>
      </w:r>
    </w:p>
    <w:p>
      <w:pPr>
        <w:pStyle w:val="ListParagraph"/>
        <w:numPr>
          <w:ilvl w:val="0"/>
          <w:numId w:val="2"/>
        </w:numPr>
        <w:spacing w:after="70" w:line="264"/>
      </w:pPr>
      <w:r>
        <w:rPr>
          <w:rFonts w:ascii="Calibri" w:cs="Calibri" w:eastAsia="Calibri" w:hAnsi="Calibri"/>
          <w:sz w:val="21"/>
          <w:szCs w:val="21"/>
        </w:rPr>
        <w:t xml:space="preserve">Alerts: any FAILED proof, any REPLAY or MODEL_MISMATCH, SLA breaches, policy expiry, ledger integrity job failure.</w:t>
      </w:r>
    </w:p>
    <w:p>
      <w:pPr>
        <w:pStyle w:val="ListParagraph"/>
        <w:numPr>
          <w:ilvl w:val="0"/>
          <w:numId w:val="2"/>
        </w:numPr>
        <w:spacing w:after="70" w:line="264"/>
      </w:pPr>
      <w:r>
        <w:rPr>
          <w:rFonts w:ascii="Calibri" w:cs="Calibri" w:eastAsia="Calibri" w:hAnsi="Calibri"/>
          <w:sz w:val="21"/>
          <w:szCs w:val="21"/>
        </w:rPr>
        <w:t xml:space="preserve">Dashboards: separate operational view (LSP) and risk view (lender), with no weights or raw features anywhere.</w:t>
      </w:r>
    </w:p>
    <w:p>
      <w:pPr>
        <w:pStyle w:val="Heading2"/>
        <w:keepNext/>
        <w:spacing w:after="100" w:before="280"/>
      </w:pPr>
      <w:r>
        <w:rPr>
          <w:rFonts w:ascii="Calibri" w:cs="Calibri" w:eastAsia="Calibri" w:hAnsi="Calibri"/>
          <w:b/>
          <w:bCs/>
          <w:color w:val="1F7A8C"/>
          <w:sz w:val="26"/>
          <w:szCs w:val="26"/>
        </w:rPr>
        <w:t xml:space="preserve">7.15 Key management and setup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800"/>
        <w:gridCol w:w="2038"/>
      </w:tblGrid>
      <w:tr>
        <w:trPr>
          <w:tblHeader/>
        </w:trPr>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Key / secret</w:t>
            </w:r>
          </w:p>
        </w:tc>
        <w:tc>
          <w:tcPr>
            <w:tcW w:type="dxa" w:w="1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Owner</w:t>
            </w:r>
          </w:p>
        </w:tc>
        <w:tc>
          <w:tcPr>
            <w:tcW w:type="dxa" w:w="2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Storage</w:t>
            </w:r>
          </w:p>
        </w:tc>
        <w:tc>
          <w:tcPr>
            <w:tcW w:type="dxa" w:w="2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Rotation</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Model weights and commitment salt</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KMS / HSM or encrypted vault</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 each model version</w:t>
            </w:r>
          </w:p>
        </w:tc>
      </w:tr>
      <w:tr>
        <w:trPr>
          <w:cantSplit/>
        </w:trPr>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key</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secure storage</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 each circuit</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LSP client mTLS and signing keys</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KMS</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Around 90 days; revocation supported</w:t>
            </w:r>
          </w:p>
        </w:tc>
      </w:tr>
      <w:tr>
        <w:trPr>
          <w:cantSplit/>
        </w:trPr>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Lender policy-signing key</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HSM</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Annual or on personnel change</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Node ledger-signing key</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Node operator</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KMS / HSM</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Annual; old public keys kept for verification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68910" w:sz="24"/>
              <w:bottom w:val="none" w:color="FFFFFF" w:sz="0"/>
              <w:right w:val="none" w:color="FFFFFF" w:sz="0"/>
            </w:tcBorders>
            <w:shd w:fill="FEF5E7" w:color="auto" w:val="clear"/>
            <w:tcMar>
              <w:top w:type="dxa" w:w="100"/>
              <w:left w:type="dxa" w:w="160"/>
              <w:bottom w:type="dxa" w:w="100"/>
              <w:right w:type="dxa" w:w="140"/>
            </w:tcMar>
          </w:tcPr>
          <w:p>
            <w:pPr>
              <w:spacing w:after="50"/>
            </w:pPr>
            <w:r>
              <w:rPr>
                <w:rFonts w:ascii="Calibri" w:cs="Calibri" w:eastAsia="Calibri" w:hAnsi="Calibri"/>
                <w:b/>
                <w:bCs/>
                <w:color w:val="D68910"/>
                <w:sz w:val="20"/>
                <w:szCs w:val="20"/>
              </w:rPr>
              <w:t xml:space="preserve">Open technical item: trusted setup</w:t>
            </w:r>
          </w:p>
          <w:p>
            <w:pPr>
              <w:spacing w:after="50" w:line="256"/>
            </w:pPr>
            <w:r>
              <w:rPr>
                <w:rFonts w:ascii="Calibri" w:cs="Calibri" w:eastAsia="Calibri" w:hAnsi="Calibri"/>
                <w:sz w:val="19"/>
                <w:szCs w:val="19"/>
              </w:rPr>
              <w:t xml:space="preserve">Halo2 with KZG-style commitments, which EZKL uses, relies on a structured reference string from a public ceremony. Confirm the exact SRS source and security assumptions in the EZKL version you pin, and state them in your security notes. If a lender objects to any setup assumption, a transparent (hash-based) backend such as a STARK zkVM is the fallback, at higher proving cost.</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8.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600"/>
        <w:gridCol w:w="2538"/>
      </w:tblGrid>
      <w:tr>
        <w:trPr>
          <w:tblHeader/>
        </w:trPr>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Layer</w:t>
            </w:r>
          </w:p>
        </w:tc>
        <w:tc>
          <w:tcPr>
            <w:tcW w:type="dxa" w:w="2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Hackathon choice</w:t>
            </w:r>
          </w:p>
        </w:tc>
        <w:tc>
          <w:tcPr>
            <w:tcW w:type="dxa" w:w="2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Production options</w:t>
            </w:r>
          </w:p>
        </w:tc>
        <w:tc>
          <w:tcPr>
            <w:tcW w:type="dxa" w:w="25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Rationale / caveat</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training</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Python, scikit-learn (logistic regression), XGBoost or LightGBM (small)</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Same; LSP's own stack</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Demo only needs a believable credit model.</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export</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ONNX (via skl2onnx / onnxmlltools)</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ONNX</w:t>
            </w:r>
          </w:p>
        </w:tc>
        <w:tc>
          <w:tcPr>
            <w:tcW w:type="dxa" w:w="25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Check EZKL's operator support for your version before choosing the tree demo.</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ZK proving (primary)</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EZKL (Halo2) with Python bindings</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EZKL; zkVM (RISC Zero or SP1) for flexible logic and signature verification; research provers for forests</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Pin versions. Do not promise tree-ensemble support until you have run it.</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Hash</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Poseidon (ZK-friendly)</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Poseidon / Poseidon2</w:t>
            </w:r>
          </w:p>
        </w:tc>
        <w:tc>
          <w:tcPr>
            <w:tcW w:type="dxa" w:w="25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Use salted commitments with domain separation. Confirm that your EZKL version exposes a blinding/salt option for hashed visibility, or add an explicit salted commitment layer.</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Sidecar</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Python (FastAPI) container, SQLite outbox, Redis or in-memory queue</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Go or Rust service; Kafka or SQS; Postgres outbox</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Queue integration is the preferred production path.</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Lender Node API</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FastAPI</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Same; or Go</w:t>
            </w:r>
          </w:p>
        </w:tc>
        <w:tc>
          <w:tcPr>
            <w:tcW w:type="dxa" w:w="25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Stateless gateway.</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Datastore</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Postgres</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Postgres plus object storage for VK and proof blobs</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Ledger role is insert-only.</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Dashboard</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React + Tailwind</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Same</w:t>
            </w:r>
          </w:p>
        </w:tc>
        <w:tc>
          <w:tcPr>
            <w:tcW w:type="dxa" w:w="25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WASM verifier for receipt page (stretch).</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Signatures</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Ed25519 (policy, requests, ledger roots)</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Ed25519 with HSM-backed keys</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Canonical JSON (RFC 8785 style) before hashing.</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Transport</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mTLS in compose with a local CA</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mTLS with enterprise PKI</w:t>
            </w:r>
          </w:p>
        </w:tc>
        <w:tc>
          <w:tcPr>
            <w:tcW w:type="dxa" w:w="25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Visible in the demo as "two networks, one outbound call".</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Packaging</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Docker Compose</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Helm / Kubernetes; air-gappable image for self-hosting</w:t>
            </w:r>
          </w:p>
        </w:tc>
        <w:tc>
          <w:tcPr>
            <w:tcW w:type="dxa" w:w="2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Same images in both modes.</w:t>
            </w:r>
          </w:p>
        </w:tc>
      </w:tr>
      <w:tr>
        <w:trPr>
          <w:cantSplit/>
        </w:trPr>
        <w:tc>
          <w:tcPr>
            <w:tcW w:type="dxa" w:w="1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Observability</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Prometheus + Grafana or built-in dashboard</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OpenTelemetry</w:t>
            </w:r>
          </w:p>
        </w:tc>
        <w:tc>
          <w:tcPr>
            <w:tcW w:type="dxa" w:w="25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Show proof latency live.</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9. Performance, Overhead and Cost Model</w:t>
      </w:r>
    </w:p>
    <w:p>
      <w:pPr>
        <w:pStyle w:val="Heading2"/>
        <w:keepNext/>
        <w:spacing w:after="100" w:before="280"/>
      </w:pPr>
      <w:r>
        <w:rPr>
          <w:rFonts w:ascii="Calibri" w:cs="Calibri" w:eastAsia="Calibri" w:hAnsi="Calibri"/>
          <w:b/>
          <w:bCs/>
          <w:color w:val="1F7A8C"/>
          <w:sz w:val="26"/>
          <w:szCs w:val="26"/>
        </w:rPr>
        <w:t xml:space="preserve">9.1 What the research says, and what it does not</w:t>
      </w:r>
    </w:p>
    <w:p>
      <w:pPr>
        <w:spacing w:after="120" w:line="276"/>
      </w:pPr>
      <w:r>
        <w:rPr>
          <w:rFonts w:ascii="Calibri" w:cs="Calibri" w:eastAsia="Calibri" w:hAnsi="Calibri"/>
          <w:sz w:val="21"/>
          <w:szCs w:val="21"/>
        </w:rPr>
        <w:t xml:space="preserve">Public benchmarks of zero-knowledge machine learning are dominated by neural networks and are not directly representative of a credit scorecard or a small tree ensemble. Use them for orders of magnitude only and </w:t>
      </w:r>
      <w:r>
        <w:rPr>
          <w:rFonts w:ascii="Calibri" w:cs="Calibri" w:eastAsia="Calibri" w:hAnsi="Calibri"/>
          <w:b/>
          <w:bCs/>
          <w:sz w:val="21"/>
          <w:szCs w:val="21"/>
        </w:rPr>
        <w:t xml:space="preserve">replace all numbers with your own measurements before presenting</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tblHeader/>
        </w:trPr>
        <w:tc>
          <w:tcPr>
            <w:tcW w:type="dxa" w:w="2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Evidence</w:t>
            </w:r>
          </w:p>
        </w:tc>
        <w:tc>
          <w:tcPr>
            <w:tcW w:type="dxa" w:w="4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What it shows</w:t>
            </w:r>
          </w:p>
        </w:tc>
        <w:tc>
          <w:tcPr>
            <w:tcW w:type="dxa" w:w="28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How to use it</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Independent benchmark in the Bionetta paper (arXiv 2510.06784, Oct 2025)</w:t>
            </w:r>
          </w:p>
        </w:tc>
        <w:tc>
          <w:tcPr>
            <w:tcW w:type="dxa" w:w="4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For CNN-class models, EZKL produced proofs of roughly 127 KB to 478 KB with proving times from minutes to hours and proving keys in the gigabytes. The same paper shows other systems with sub-kilobyte proofs and seconds-scale proving, but they target constant (embedded) weights and note they do not support private model weights.</w:t>
            </w:r>
          </w:p>
        </w:tc>
        <w:tc>
          <w:tcPr>
            <w:tcW w:type="dxa" w:w="2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Warns against quoting "a few KB". Tabular scorecards are far smaller than these networks, but state that you measured your own. Alternative provers with small proofs may not fit the private-weights requirement; verify before citing.</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EZKL project benchmarks</w:t>
            </w:r>
          </w:p>
        </w:tc>
        <w:tc>
          <w:tcPr>
            <w:tcW w:type="dxa" w:w="4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EZKL publishes benchmarks for classical models (linear regression, random forest, SVM, tree ensembles).</w:t>
            </w:r>
          </w:p>
        </w:tc>
        <w:tc>
          <w:tcPr>
            <w:tcW w:type="dxa" w:w="2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Use as a starting point, then reproduce on your hardware.</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Modulus Labs "Remainder" (IACR ePrint 2026/1038)</w:t>
            </w:r>
          </w:p>
        </w:tc>
        <w:tc>
          <w:tcPr>
            <w:tcW w:type="dxa" w:w="4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GKR-based verifiable decision-forest inference. Reported per-tree, per-sample proof time of just over 3 ms, about 180x the cost of plain CPU inference, with sub-linear scaling as trees are added.</w:t>
            </w:r>
          </w:p>
        </w:tc>
        <w:tc>
          <w:tcPr>
            <w:tcW w:type="dxa" w:w="2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Evidence that tree ensembles can scale. It is a different proving stack, not EZKL. Roadmap, not MVP.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00"/>
              <w:left w:type="dxa" w:w="160"/>
              <w:bottom w:type="dxa" w:w="100"/>
              <w:right w:type="dxa" w:w="140"/>
            </w:tcMar>
          </w:tcPr>
          <w:p>
            <w:pPr>
              <w:spacing w:after="50"/>
            </w:pPr>
            <w:r>
              <w:rPr>
                <w:rFonts w:ascii="Calibri" w:cs="Calibri" w:eastAsia="Calibri" w:hAnsi="Calibri"/>
                <w:b/>
                <w:bCs/>
                <w:color w:val="C0392B"/>
                <w:sz w:val="20"/>
                <w:szCs w:val="20"/>
              </w:rPr>
              <w:t xml:space="preserve">Revision to earlier working assumptions</w:t>
            </w:r>
          </w:p>
          <w:p>
            <w:pPr>
              <w:spacing w:after="50" w:line="256"/>
            </w:pPr>
            <w:r>
              <w:rPr>
                <w:rFonts w:ascii="Calibri" w:cs="Calibri" w:eastAsia="Calibri" w:hAnsi="Calibri"/>
                <w:sz w:val="19"/>
                <w:szCs w:val="19"/>
              </w:rPr>
              <w:t xml:space="preserve">Earlier discussion assumed proofs of "a few KB". Research shows proof size depends heavily on the proof system and model: EZKL proofs can be tens to hundreds of kilobytes. The design is unaffected (retention policy and batching handle it), but the pitch must quote </w:t>
            </w:r>
            <w:r>
              <w:rPr>
                <w:rFonts w:ascii="Calibri" w:cs="Calibri" w:eastAsia="Calibri" w:hAnsi="Calibri"/>
                <w:b/>
                <w:bCs/>
                <w:sz w:val="19"/>
                <w:szCs w:val="19"/>
              </w:rPr>
              <w:t xml:space="preserve">your measured number</w:t>
            </w:r>
            <w:r>
              <w:rPr>
                <w:rFonts w:ascii="Calibri" w:cs="Calibri" w:eastAsia="Calibri" w:hAnsi="Calibri"/>
                <w:sz w:val="19"/>
                <w:szCs w:val="19"/>
              </w:rPr>
              <w:t xml:space="preserve">.</w:t>
            </w:r>
          </w:p>
        </w:tc>
      </w:tr>
    </w:tbl>
    <w:p>
      <w:pPr>
        <w:spacing w:after="120"/>
      </w:pPr>
    </w:p>
    <w:p>
      <w:pPr>
        <w:pStyle w:val="Heading2"/>
        <w:keepNext/>
        <w:spacing w:after="100" w:before="280"/>
      </w:pPr>
      <w:r>
        <w:rPr>
          <w:rFonts w:ascii="Calibri" w:cs="Calibri" w:eastAsia="Calibri" w:hAnsi="Calibri"/>
          <w:b/>
          <w:bCs/>
          <w:color w:val="1F7A8C"/>
          <w:sz w:val="26"/>
          <w:szCs w:val="26"/>
        </w:rPr>
        <w:t xml:space="preserve">9.2 Where overhead appears, and who bears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700"/>
        <w:gridCol w:w="2938"/>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Overhead</w:t>
            </w:r>
          </w:p>
        </w:tc>
        <w:tc>
          <w:tcPr>
            <w:tcW w:type="dxa" w:w="1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Who bears it</w:t>
            </w:r>
          </w:p>
        </w:tc>
        <w:tc>
          <w:tcPr>
            <w:tcW w:type="dxa" w:w="2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Scale</w:t>
            </w:r>
          </w:p>
        </w:tc>
        <w:tc>
          <w:tcPr>
            <w:tcW w:type="dxa" w:w="29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Mitigation</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compute (CPU/GPU)</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(runs in its cloud)</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Dominant cost; scales with model size and decision volume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Async proving, batching, sampled mode for small tickets, prove only approvals, recursion / aggregation on roadmap</w:t>
            </w:r>
          </w:p>
        </w:tc>
      </w:tr>
      <w:tr>
        <w:trPr>
          <w:cantSplit/>
        </w:trPr>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key storage</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2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Megabytes to gigabytes per circuit</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One per model version</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Proof upload bandwidth</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KB to hundreds of KB per proof</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Compression; aggregation</w:t>
            </w:r>
          </w:p>
        </w:tc>
      </w:tr>
      <w:tr>
        <w:trPr>
          <w:cantSplit/>
        </w:trPr>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Verification compute</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Node</w:t>
            </w:r>
          </w:p>
        </w:tc>
        <w:tc>
          <w:tcPr>
            <w:tcW w:type="dxa" w:w="2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Milliseconds per proof</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Negligible</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Proof storage</w:t>
            </w:r>
          </w:p>
        </w:tc>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Node</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See table below</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Retention policy: keep verdict and hash after N days</w:t>
            </w:r>
          </w:p>
        </w:tc>
      </w:tr>
      <w:tr>
        <w:trPr>
          <w:cantSplit/>
        </w:trPr>
        <w:tc>
          <w:tcPr>
            <w:tcW w:type="dxa" w:w="2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Engineering effort</w:t>
            </w:r>
          </w:p>
        </w:tc>
        <w:tc>
          <w:tcPr>
            <w:tcW w:type="dxa" w:w="1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and lender</w:t>
            </w:r>
          </w:p>
        </w:tc>
        <w:tc>
          <w:tcPr>
            <w:tcW w:type="dxa" w:w="2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Event emission plus one LMS API call</w:t>
            </w:r>
          </w:p>
        </w:tc>
        <w:tc>
          <w:tcPr>
            <w:tcW w:type="dxa" w:w="29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Queue-based integration; reference adapters</w:t>
            </w:r>
          </w:p>
        </w:tc>
      </w:tr>
    </w:tbl>
    <w:p>
      <w:pPr>
        <w:spacing w:after="120"/>
      </w:pPr>
    </w:p>
    <w:p>
      <w:pPr>
        <w:pStyle w:val="Heading2"/>
        <w:keepNext/>
        <w:spacing w:after="100" w:before="280"/>
      </w:pPr>
      <w:r>
        <w:rPr>
          <w:rFonts w:ascii="Calibri" w:cs="Calibri" w:eastAsia="Calibri" w:hAnsi="Calibri"/>
          <w:b/>
          <w:bCs/>
          <w:color w:val="1F7A8C"/>
          <w:sz w:val="26"/>
          <w:szCs w:val="26"/>
        </w:rPr>
        <w:t xml:space="preserve">9.3 Storage sizing (formula and examples)</w:t>
      </w:r>
    </w:p>
    <w:p>
      <w:pPr>
        <w:spacing w:after="120" w:line="276"/>
      </w:pPr>
      <w:r>
        <w:rPr>
          <w:rFonts w:ascii="Consolas" w:cs="Consolas" w:eastAsia="Consolas" w:hAnsi="Consolas"/>
          <w:color w:val="8E2C48"/>
          <w:sz w:val="19"/>
          <w:szCs w:val="19"/>
        </w:rPr>
        <w:t xml:space="preserve">daily_storage = decisions_per_day x proof_size</w:t>
      </w:r>
      <w:r>
        <w:rPr>
          <w:rFonts w:ascii="Calibri" w:cs="Calibri" w:eastAsia="Calibri" w:hAnsi="Calibri"/>
          <w:sz w:val="21"/>
          <w:szCs w:val="21"/>
        </w:rPr>
        <w:t xml:space="preserve">. Examples at 1 million proved decisions per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Proof size</w:t>
            </w:r>
          </w:p>
        </w:tc>
        <w:tc>
          <w:tcPr>
            <w:tcW w:type="dxa" w:w="2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Per day</w:t>
            </w:r>
          </w:p>
        </w:tc>
        <w:tc>
          <w:tcPr>
            <w:tcW w:type="dxa" w:w="2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90-day retention</w:t>
            </w:r>
          </w:p>
        </w:tc>
        <w:tc>
          <w:tcPr>
            <w:tcW w:type="dxa" w:w="24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1-year retention</w:t>
            </w:r>
          </w:p>
        </w:tc>
      </w:tr>
      <w:tr>
        <w:trPr>
          <w:cantSplit/>
        </w:trPr>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20 KB</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20 GB</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1.8 TB</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7.3 TB</w:t>
            </w:r>
          </w:p>
        </w:tc>
      </w:tr>
      <w:tr>
        <w:trPr>
          <w:cantSplit/>
        </w:trPr>
        <w:tc>
          <w:tcPr>
            <w:tcW w:type="dxa" w:w="2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130 KB</w:t>
            </w:r>
          </w:p>
        </w:tc>
        <w:tc>
          <w:tcPr>
            <w:tcW w:type="dxa" w:w="2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130 GB</w:t>
            </w:r>
          </w:p>
        </w:tc>
        <w:tc>
          <w:tcPr>
            <w:tcW w:type="dxa" w:w="24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11.7 TB</w:t>
            </w:r>
          </w:p>
        </w:tc>
        <w:tc>
          <w:tcPr>
            <w:tcW w:type="dxa" w:w="24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47 TB</w:t>
            </w:r>
          </w:p>
        </w:tc>
      </w:tr>
      <w:tr>
        <w:trPr>
          <w:cantSplit/>
        </w:trPr>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500 KB</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500 GB</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45 TB</w:t>
            </w:r>
          </w:p>
        </w:tc>
        <w:tc>
          <w:tcPr>
            <w:tcW w:type="dxa" w:w="24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182 TB</w:t>
            </w:r>
          </w:p>
        </w:tc>
      </w:tr>
    </w:tbl>
    <w:p>
      <w:pPr>
        <w:spacing w:after="120"/>
      </w:pPr>
    </w:p>
    <w:p>
      <w:pPr>
        <w:spacing w:after="120" w:line="276"/>
      </w:pPr>
      <w:r>
        <w:rPr>
          <w:rFonts w:ascii="Calibri" w:cs="Calibri" w:eastAsia="Calibri" w:hAnsi="Calibri"/>
          <w:sz w:val="21"/>
          <w:szCs w:val="21"/>
        </w:rPr>
        <w:t xml:space="preserve">The point for judges: this is manageable with retention tiers, because the lender needs the full proof only for a defined window and the verdict, hashes and signed ledger roots afterwards.</w:t>
      </w:r>
    </w:p>
    <w:p>
      <w:pPr>
        <w:pStyle w:val="Heading2"/>
        <w:keepNext/>
        <w:spacing w:after="100" w:before="280"/>
      </w:pPr>
      <w:r>
        <w:rPr>
          <w:rFonts w:ascii="Calibri" w:cs="Calibri" w:eastAsia="Calibri" w:hAnsi="Calibri"/>
          <w:b/>
          <w:bCs/>
          <w:color w:val="1F7A8C"/>
          <w:sz w:val="26"/>
          <w:szCs w:val="26"/>
        </w:rPr>
        <w:t xml:space="preserve">9.4 Cost per 1,000 decisions: method and illustrative numbers</w:t>
      </w:r>
    </w:p>
    <w:p>
      <w:pPr>
        <w:spacing w:after="120" w:line="276"/>
      </w:pPr>
      <w:r>
        <w:rPr>
          <w:rFonts w:ascii="Consolas" w:cs="Consolas" w:eastAsia="Consolas" w:hAnsi="Consolas"/>
          <w:color w:val="8E2C48"/>
          <w:sz w:val="19"/>
          <w:szCs w:val="19"/>
        </w:rPr>
        <w:t xml:space="preserve">cost_per_proof = proving_seconds x vCPUs x (price_per_vCPU_hour / 3600)</w:t>
      </w:r>
      <w:r>
        <w:rPr>
          <w:rFonts w:ascii="Calibri" w:cs="Calibri" w:eastAsia="Calibri" w:hAnsi="Calibri"/>
          <w:sz w:val="21"/>
          <w:szCs w:val="21"/>
        </w:rPr>
        <w:t xml:space="preserve">. The figures below use an </w:t>
      </w:r>
      <w:r>
        <w:rPr>
          <w:rFonts w:ascii="Calibri" w:cs="Calibri" w:eastAsia="Calibri" w:hAnsi="Calibri"/>
          <w:b/>
          <w:bCs/>
          <w:sz w:val="21"/>
          <w:szCs w:val="21"/>
        </w:rPr>
        <w:t xml:space="preserve">assumed</w:t>
      </w:r>
      <w:r>
        <w:rPr>
          <w:rFonts w:ascii="Calibri" w:cs="Calibri" w:eastAsia="Calibri" w:hAnsi="Calibri"/>
          <w:sz w:val="21"/>
          <w:szCs w:val="21"/>
        </w:rPr>
        <w:t xml:space="preserve"> price of about ₹3.5 per vCPU-hour purely as a worked example. Replace with your actual cloud quote and measured proving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000"/>
        <w:gridCol w:w="1900"/>
        <w:gridCol w:w="2038"/>
      </w:tblGrid>
      <w:tr>
        <w:trPr>
          <w:tblHeader/>
        </w:trPr>
        <w:tc>
          <w:tcPr>
            <w:tcW w:type="dxa" w:w="3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Scenario (illustrative)</w:t>
            </w:r>
          </w:p>
        </w:tc>
        <w:tc>
          <w:tcPr>
            <w:tcW w:type="dxa" w:w="15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Proving time</w:t>
            </w:r>
          </w:p>
        </w:tc>
        <w:tc>
          <w:tcPr>
            <w:tcW w:type="dxa" w:w="1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vCPUs</w:t>
            </w:r>
          </w:p>
        </w:tc>
        <w:tc>
          <w:tcPr>
            <w:tcW w:type="dxa" w:w="1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Cost per proof</w:t>
            </w:r>
          </w:p>
        </w:tc>
        <w:tc>
          <w:tcPr>
            <w:tcW w:type="dxa" w:w="2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Cost per 1,000 proofs</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Scorecard, small</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2 s</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4</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about ₹0.008</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about ₹8</w:t>
            </w:r>
          </w:p>
        </w:tc>
      </w:tr>
      <w:tr>
        <w:trPr>
          <w:cantSplit/>
        </w:trPr>
        <w:tc>
          <w:tcPr>
            <w:tcW w:type="dxa" w:w="3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Small GBDT (50 trees, depth 4)</w:t>
            </w:r>
          </w:p>
        </w:tc>
        <w:tc>
          <w:tcPr>
            <w:tcW w:type="dxa" w:w="15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60 s</w:t>
            </w:r>
          </w:p>
        </w:tc>
        <w:tc>
          <w:tcPr>
            <w:tcW w:type="dxa" w:w="1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8</w:t>
            </w:r>
          </w:p>
        </w:tc>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about ₹0.47</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about ₹470</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Larger GBDT</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10 min</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16</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about ₹9.3</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about ₹9,300</w:t>
            </w:r>
          </w:p>
        </w:tc>
      </w:tr>
    </w:tbl>
    <w:p>
      <w:pPr>
        <w:spacing w:after="120"/>
      </w:pPr>
    </w:p>
    <w:p>
      <w:pPr>
        <w:spacing w:after="120" w:line="276"/>
      </w:pPr>
      <w:r>
        <w:rPr>
          <w:rFonts w:ascii="Calibri" w:cs="Calibri" w:eastAsia="Calibri" w:hAnsi="Calibri"/>
          <w:sz w:val="21"/>
          <w:szCs w:val="21"/>
        </w:rPr>
        <w:t xml:space="preserve">Compare against the lender's cost of a single mis-underwritten loan, an audit finding, or a remediation exercise. Offer sampled mode for tickets where full proving is not economic.</w:t>
      </w:r>
    </w:p>
    <w:p>
      <w:pPr>
        <w:pStyle w:val="Heading2"/>
        <w:keepNext/>
        <w:spacing w:after="100" w:before="280"/>
      </w:pPr>
      <w:r>
        <w:rPr>
          <w:rFonts w:ascii="Calibri" w:cs="Calibri" w:eastAsia="Calibri" w:hAnsi="Calibri"/>
          <w:b/>
          <w:bCs/>
          <w:color w:val="1F7A8C"/>
          <w:sz w:val="26"/>
          <w:szCs w:val="26"/>
        </w:rPr>
        <w:t xml:space="preserve">9.5 Benchmark table you must produce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2738"/>
      </w:tblGrid>
      <w:tr>
        <w:trPr>
          <w:tblHeader/>
        </w:trPr>
        <w:tc>
          <w:tcPr>
            <w:tcW w:type="dxa" w:w="3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Metric</w:t>
            </w:r>
          </w:p>
        </w:tc>
        <w:tc>
          <w:tcPr>
            <w:tcW w:type="dxa" w:w="1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Scorecard (LR)</w:t>
            </w:r>
          </w:p>
        </w:tc>
        <w:tc>
          <w:tcPr>
            <w:tcW w:type="dxa" w:w="1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Small GBDT</w:t>
            </w:r>
          </w:p>
        </w:tc>
        <w:tc>
          <w:tcPr>
            <w:tcW w:type="dxa" w:w="27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How measured</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Circuit size (constraints/rows)</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EZKL settings output</w:t>
            </w:r>
          </w:p>
        </w:tc>
      </w:tr>
      <w:tr>
        <w:trPr>
          <w:cantSplit/>
        </w:trPr>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Setup time</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One-time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Witness generation time</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Per decision</w:t>
            </w:r>
          </w:p>
        </w:tc>
      </w:tr>
      <w:tr>
        <w:trPr>
          <w:cantSplit/>
        </w:trPr>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time (p50 / p95)</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100+ runs, state the CPU model</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Peak prover RAM</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Process monitor</w:t>
            </w:r>
          </w:p>
        </w:tc>
      </w:tr>
      <w:tr>
        <w:trPr>
          <w:cantSplit/>
        </w:trPr>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Proof size</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Bytes on disk</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Proving key and VK size</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Bytes on disk</w:t>
            </w:r>
          </w:p>
        </w:tc>
      </w:tr>
      <w:tr>
        <w:trPr>
          <w:cantSplit/>
        </w:trPr>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Verification time</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Native and WASM</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Accuracy: float vs quantised (AUC, agreement %)</w:t>
            </w: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Held-out set</w:t>
            </w:r>
          </w:p>
        </w:tc>
      </w:tr>
      <w:tr>
        <w:trPr>
          <w:cantSplit/>
        </w:trPr>
        <w:tc>
          <w:tcPr>
            <w:tcW w:type="dxa" w:w="3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Cost per 1,000 decisions (₹)</w:t>
            </w: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1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p>
        </w:tc>
        <w:tc>
          <w:tcPr>
            <w:tcW w:type="dxa" w:w="2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Formula in 9.4</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10. Positioning Against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Alternative</w:t>
            </w:r>
          </w:p>
        </w:tc>
        <w:tc>
          <w:tcPr>
            <w:tcW w:type="dxa" w:w="2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Strengths</w:t>
            </w:r>
          </w:p>
        </w:tc>
        <w:tc>
          <w:tcPr>
            <w:tcW w:type="dxa" w:w="4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Why LendProof still matters</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Contractual covenants and audits</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Familiar; required anyway.</w:t>
            </w:r>
          </w:p>
        </w:tc>
        <w:tc>
          <w:tcPr>
            <w:tcW w:type="dxa" w:w="4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We make covenants machine-verifiable per decision. We complement, not replace, contracts.</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escrow / lender access to weights</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Full transparency to lender.</w:t>
            </w:r>
          </w:p>
        </w:tc>
        <w:tc>
          <w:tcPr>
            <w:tcW w:type="dxa" w:w="4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LSPs refuse, multi-lender conflicts, escrowed copy may differ from production.</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TEE-based attestation</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Faster and cheaper than ZK; strong when infrastructure is available.</w:t>
            </w:r>
          </w:p>
        </w:tc>
        <w:tc>
          <w:tcPr>
            <w:tcW w:type="dxa" w:w="4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Trust sits with a hardware vendor and attestation chain; side-channel exposure; lender needs enclave infrastructure. A ZKP is publicly verifiable with only a verification key. We acknowledge TEEs as a valid alternative backend and a pragmatic fallback for large models.</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Immutable audit logs or blockchain anchoring</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Tamper-evident records.</w:t>
            </w:r>
          </w:p>
        </w:tc>
        <w:tc>
          <w:tcPr>
            <w:tcW w:type="dxa" w:w="4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log proves that something was written, not that the stated model computed the stated output. We use hash-chained logs for the verdicts but the evidence comes from the proof.</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AI governance / model risk platforms (explainability, drift, bias)</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Rich analytics for models the lender can see.</w:t>
            </w:r>
          </w:p>
        </w:tc>
        <w:tc>
          <w:tcPr>
            <w:tcW w:type="dxa" w:w="4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They need model or data access. We operate where the model is confidential. Complementary: policy clauses can reference their metrics.</w:t>
            </w:r>
          </w:p>
        </w:tc>
      </w:tr>
      <w:tr>
        <w:trPr>
          <w:cantSplit/>
        </w:trPr>
        <w:tc>
          <w:tcPr>
            <w:tcW w:type="dxa" w:w="24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Generic zkML projects</w:t>
            </w:r>
          </w:p>
        </w:tc>
        <w:tc>
          <w:tcPr>
            <w:tcW w:type="dxa" w:w="2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Cryptographic building blocks.</w:t>
            </w:r>
          </w:p>
        </w:tc>
        <w:tc>
          <w:tcPr>
            <w:tcW w:type="dxa" w:w="4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We provide the RE-LSP workflow: dual-signed policy, registry, gate, ledger, reconciliation, packaged for Indian lending operations.</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11. Business Model and Go-to-Market</w:t>
      </w:r>
    </w:p>
    <w:p>
      <w:pPr>
        <w:pStyle w:val="Heading2"/>
        <w:keepNext/>
        <w:spacing w:after="100" w:before="280"/>
      </w:pPr>
      <w:r>
        <w:rPr>
          <w:rFonts w:ascii="Calibri" w:cs="Calibri" w:eastAsia="Calibri" w:hAnsi="Calibri"/>
          <w:b/>
          <w:bCs/>
          <w:color w:val="1F7A8C"/>
          <w:sz w:val="26"/>
          <w:szCs w:val="26"/>
        </w:rPr>
        <w:t xml:space="preserve">11.1 Customer and payer</w:t>
      </w:r>
    </w:p>
    <w:p>
      <w:pPr>
        <w:spacing w:after="120" w:line="276"/>
      </w:pPr>
      <w:r>
        <w:rPr>
          <w:rFonts w:ascii="Calibri" w:cs="Calibri" w:eastAsia="Calibri" w:hAnsi="Calibri"/>
          <w:sz w:val="21"/>
          <w:szCs w:val="21"/>
        </w:rPr>
        <w:t xml:space="preserve">The </w:t>
      </w:r>
      <w:r>
        <w:rPr>
          <w:rFonts w:ascii="Calibri" w:cs="Calibri" w:eastAsia="Calibri" w:hAnsi="Calibri"/>
          <w:b/>
          <w:bCs/>
          <w:sz w:val="21"/>
          <w:szCs w:val="21"/>
        </w:rPr>
        <w:t xml:space="preserve">lender</w:t>
      </w:r>
      <w:r>
        <w:rPr>
          <w:rFonts w:ascii="Calibri" w:cs="Calibri" w:eastAsia="Calibri" w:hAnsi="Calibri"/>
          <w:sz w:val="21"/>
          <w:szCs w:val="21"/>
        </w:rPr>
        <w:t xml:space="preserve"> is the buyer because it carries the liability and has the leverage to mandate controls in LSP contracts. The </w:t>
      </w:r>
      <w:r>
        <w:rPr>
          <w:rFonts w:ascii="Calibri" w:cs="Calibri" w:eastAsia="Calibri" w:hAnsi="Calibri"/>
          <w:b/>
          <w:bCs/>
          <w:sz w:val="21"/>
          <w:szCs w:val="21"/>
        </w:rPr>
        <w:t xml:space="preserve">LSP</w:t>
      </w:r>
      <w:r>
        <w:rPr>
          <w:rFonts w:ascii="Calibri" w:cs="Calibri" w:eastAsia="Calibri" w:hAnsi="Calibri"/>
          <w:sz w:val="21"/>
          <w:szCs w:val="21"/>
        </w:rPr>
        <w:t xml:space="preserve"> bears proving compute and integration effort; contracts should recognise this, for example through a fee rebate or shared-savings arrangement.</w:t>
      </w:r>
    </w:p>
    <w:p>
      <w:pPr>
        <w:pStyle w:val="Heading2"/>
        <w:keepNext/>
        <w:spacing w:after="100" w:before="280"/>
      </w:pPr>
      <w:r>
        <w:rPr>
          <w:rFonts w:ascii="Calibri" w:cs="Calibri" w:eastAsia="Calibri" w:hAnsi="Calibri"/>
          <w:b/>
          <w:bCs/>
          <w:color w:val="1F7A8C"/>
          <w:sz w:val="26"/>
          <w:szCs w:val="26"/>
        </w:rPr>
        <w:t xml:space="preserve">11.2 Pricing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tblHeader/>
        </w:trPr>
        <w:tc>
          <w:tcPr>
            <w:tcW w:type="dxa" w:w="2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Model</w:t>
            </w:r>
          </w:p>
        </w:tc>
        <w:tc>
          <w:tcPr>
            <w:tcW w:type="dxa" w:w="4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How it works</w:t>
            </w:r>
          </w:p>
        </w:tc>
        <w:tc>
          <w:tcPr>
            <w:tcW w:type="dxa" w:w="27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Notes</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Per verified decision</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Small fee per proof verified, paid by the lender.</w:t>
            </w:r>
          </w:p>
        </w:tc>
        <w:tc>
          <w:tcPr>
            <w:tcW w:type="dxa" w:w="2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Aligns with volume; simple to explain.</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Platform subscription</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Annual fee per lender plus per-LSP onboarding fee.</w:t>
            </w:r>
          </w:p>
        </w:tc>
        <w:tc>
          <w:tcPr>
            <w:tcW w:type="dxa" w:w="2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Predictable revenue; good for banks.</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Enterprise self-hosted license</w:t>
            </w:r>
          </w:p>
        </w:tc>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Annual license for the container, support and signed registry updates.</w:t>
            </w:r>
          </w:p>
        </w:tc>
        <w:tc>
          <w:tcPr>
            <w:tcW w:type="dxa" w:w="27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For large banks wanting in-house deployment.</w:t>
            </w:r>
          </w:p>
        </w:tc>
      </w:tr>
      <w:tr>
        <w:trPr>
          <w:cantSplit/>
        </w:trPr>
        <w:tc>
          <w:tcPr>
            <w:tcW w:type="dxa" w:w="26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Assurance services</w:t>
            </w:r>
          </w:p>
        </w:tc>
        <w:tc>
          <w:tcPr>
            <w:tcW w:type="dxa" w:w="43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Policy design workshops, third-party review of circuits, audit evidence support.</w:t>
            </w:r>
          </w:p>
        </w:tc>
        <w:tc>
          <w:tcPr>
            <w:tcW w:type="dxa" w:w="27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Services revenue and credibility.</w:t>
            </w:r>
          </w:p>
        </w:tc>
      </w:tr>
    </w:tbl>
    <w:p>
      <w:pPr>
        <w:spacing w:after="120"/>
      </w:pPr>
    </w:p>
    <w:p>
      <w:pPr>
        <w:pStyle w:val="Heading2"/>
        <w:keepNext/>
        <w:spacing w:after="100" w:before="280"/>
      </w:pPr>
      <w:r>
        <w:rPr>
          <w:rFonts w:ascii="Calibri" w:cs="Calibri" w:eastAsia="Calibri" w:hAnsi="Calibri"/>
          <w:b/>
          <w:bCs/>
          <w:color w:val="1F7A8C"/>
          <w:sz w:val="26"/>
          <w:szCs w:val="26"/>
        </w:rPr>
        <w:t xml:space="preserve">11.3 Contract clause starter list (RE-LSP agreement)</w:t>
      </w:r>
    </w:p>
    <w:p>
      <w:pPr>
        <w:pStyle w:val="ListParagraph"/>
        <w:numPr>
          <w:ilvl w:val="0"/>
          <w:numId w:val="2"/>
        </w:numPr>
        <w:spacing w:after="70" w:line="264"/>
      </w:pPr>
      <w:r>
        <w:rPr>
          <w:rFonts w:ascii="Calibri" w:cs="Calibri" w:eastAsia="Calibri" w:hAnsi="Calibri"/>
          <w:sz w:val="21"/>
          <w:szCs w:val="21"/>
        </w:rPr>
        <w:t xml:space="preserve">LSP shall run the LendProof prover sidecar and submit decision notices for all decisions and proofs for all approvals (or as per policy mode).</w:t>
      </w:r>
    </w:p>
    <w:p>
      <w:pPr>
        <w:pStyle w:val="ListParagraph"/>
        <w:numPr>
          <w:ilvl w:val="0"/>
          <w:numId w:val="2"/>
        </w:numPr>
        <w:spacing w:after="70" w:line="264"/>
      </w:pPr>
      <w:r>
        <w:rPr>
          <w:rFonts w:ascii="Calibri" w:cs="Calibri" w:eastAsia="Calibri" w:hAnsi="Calibri"/>
          <w:sz w:val="21"/>
          <w:szCs w:val="21"/>
        </w:rPr>
        <w:t xml:space="preserve">LSP shall serve only the model artefact whose commitment is registered and approved; changes follow the registration process.</w:t>
      </w:r>
    </w:p>
    <w:p>
      <w:pPr>
        <w:pStyle w:val="ListParagraph"/>
        <w:numPr>
          <w:ilvl w:val="0"/>
          <w:numId w:val="2"/>
        </w:numPr>
        <w:spacing w:after="70" w:line="264"/>
      </w:pPr>
      <w:r>
        <w:rPr>
          <w:rFonts w:ascii="Calibri" w:cs="Calibri" w:eastAsia="Calibri" w:hAnsi="Calibri"/>
          <w:sz w:val="21"/>
          <w:szCs w:val="21"/>
        </w:rPr>
        <w:t xml:space="preserve">Proof SLA, consequence of failed or missing proofs (for example hold disbursal; remediation timelines).</w:t>
      </w:r>
    </w:p>
    <w:p>
      <w:pPr>
        <w:pStyle w:val="ListParagraph"/>
        <w:numPr>
          <w:ilvl w:val="0"/>
          <w:numId w:val="2"/>
        </w:numPr>
        <w:spacing w:after="70" w:line="264"/>
      </w:pPr>
      <w:r>
        <w:rPr>
          <w:rFonts w:ascii="Calibri" w:cs="Calibri" w:eastAsia="Calibri" w:hAnsi="Calibri"/>
          <w:sz w:val="21"/>
          <w:szCs w:val="21"/>
        </w:rPr>
        <w:t xml:space="preserve">Fee allocation for proving compute and integration.</w:t>
      </w:r>
    </w:p>
    <w:p>
      <w:pPr>
        <w:pStyle w:val="ListParagraph"/>
        <w:numPr>
          <w:ilvl w:val="0"/>
          <w:numId w:val="2"/>
        </w:numPr>
        <w:spacing w:after="70" w:line="264"/>
      </w:pPr>
      <w:r>
        <w:rPr>
          <w:rFonts w:ascii="Calibri" w:cs="Calibri" w:eastAsia="Calibri" w:hAnsi="Calibri"/>
          <w:sz w:val="21"/>
          <w:szCs w:val="21"/>
        </w:rPr>
        <w:t xml:space="preserve">Audit rights, evidence retention, incident notification.</w:t>
      </w:r>
    </w:p>
    <w:p>
      <w:pPr>
        <w:pStyle w:val="ListParagraph"/>
        <w:numPr>
          <w:ilvl w:val="0"/>
          <w:numId w:val="2"/>
        </w:numPr>
        <w:spacing w:after="70" w:line="264"/>
      </w:pPr>
      <w:r>
        <w:rPr>
          <w:rFonts w:ascii="Calibri" w:cs="Calibri" w:eastAsia="Calibri" w:hAnsi="Calibri"/>
          <w:sz w:val="21"/>
          <w:szCs w:val="21"/>
        </w:rPr>
        <w:t xml:space="preserve">Data handling: weights and raw features are never shared with the assurance provider; only commitments, proofs and verdicts.</w:t>
      </w:r>
    </w:p>
    <w:p>
      <w:pPr>
        <w:pStyle w:val="ListParagraph"/>
        <w:numPr>
          <w:ilvl w:val="0"/>
          <w:numId w:val="2"/>
        </w:numPr>
        <w:spacing w:after="70" w:line="264"/>
      </w:pPr>
      <w:r>
        <w:rPr>
          <w:rFonts w:ascii="Calibri" w:cs="Calibri" w:eastAsia="Calibri" w:hAnsi="Calibri"/>
          <w:sz w:val="21"/>
          <w:szCs w:val="21"/>
        </w:rPr>
        <w:t xml:space="preserve">Termination, key revocation and transition provisions.</w:t>
      </w:r>
    </w:p>
    <w:p>
      <w:pPr>
        <w:pStyle w:val="Heading2"/>
        <w:keepNext/>
        <w:spacing w:after="100" w:before="280"/>
      </w:pPr>
      <w:r>
        <w:rPr>
          <w:rFonts w:ascii="Calibri" w:cs="Calibri" w:eastAsia="Calibri" w:hAnsi="Calibri"/>
          <w:b/>
          <w:bCs/>
          <w:color w:val="1F7A8C"/>
          <w:sz w:val="26"/>
          <w:szCs w:val="26"/>
        </w:rPr>
        <w:t xml:space="preserve">11.4 Go-to-market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Phase</w:t>
            </w:r>
          </w:p>
        </w:tc>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Target</w:t>
            </w:r>
          </w:p>
        </w:tc>
        <w:tc>
          <w:tcPr>
            <w:tcW w:type="dxa" w:w="4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Goal</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 Design partner</w:t>
            </w:r>
          </w:p>
        </w:tc>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One digital-first NBFC and one LSP</w:t>
            </w:r>
          </w:p>
        </w:tc>
        <w:tc>
          <w:tcPr>
            <w:tcW w:type="dxa" w:w="4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Monitor-only integration; collect real proof timings; refine policy schema.</w:t>
            </w:r>
          </w:p>
        </w:tc>
      </w:tr>
      <w:tr>
        <w:trPr>
          <w:cantSplit/>
        </w:trPr>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2. Gated pilot</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Same pair; one product</w:t>
            </w:r>
          </w:p>
        </w:tc>
        <w:tc>
          <w:tcPr>
            <w:tcW w:type="dxa" w:w="4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Turn on disbursal gating; produce an evidence pack for the lender's internal audit.</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3. Multi-LSP lender</w:t>
            </w:r>
          </w:p>
        </w:tc>
        <w:tc>
          <w:tcPr>
            <w:tcW w:type="dxa" w:w="3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with several LSPs</w:t>
            </w:r>
          </w:p>
        </w:tc>
        <w:tc>
          <w:tcPr>
            <w:tcW w:type="dxa" w:w="4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Standardise onboarding; show the value for para-6-style multi-RE LSP scrutiny (verify applicability).</w:t>
            </w:r>
          </w:p>
        </w:tc>
      </w:tr>
      <w:tr>
        <w:trPr>
          <w:cantSplit/>
        </w:trPr>
        <w:tc>
          <w:tcPr>
            <w:tcW w:type="dxa" w:w="2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4. Ecosystem</w:t>
            </w:r>
          </w:p>
        </w:tc>
        <w:tc>
          <w:tcPr>
            <w:tcW w:type="dxa" w:w="30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Banks, associations, regulators</w:t>
            </w:r>
          </w:p>
        </w:tc>
        <w:tc>
          <w:tcPr>
            <w:tcW w:type="dxa" w:w="4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Engage with industry bodies and consider RBI regulatory sandbox or innovation channels (verify current themes and eligibility).</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12. Compliance Mapping</w:t>
      </w:r>
    </w:p>
    <w:p>
      <w:pPr>
        <w:spacing w:after="120" w:line="276"/>
      </w:pPr>
      <w:r>
        <w:rPr>
          <w:rFonts w:ascii="Calibri" w:cs="Calibri" w:eastAsia="Calibri" w:hAnsi="Calibri"/>
          <w:sz w:val="21"/>
          <w:szCs w:val="21"/>
        </w:rPr>
        <w:t xml:space="preserve">Use language such as "supports", "helps evidence" and "aligns with". Do not say "ensures compliance with" or "is mandated by" unless you have the primary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800"/>
        <w:gridCol w:w="2038"/>
      </w:tblGrid>
      <w:tr>
        <w:trPr>
          <w:tblHeader/>
        </w:trPr>
        <w:tc>
          <w:tcPr>
            <w:tcW w:type="dxa" w:w="2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Obligation or expectation</w:t>
            </w:r>
          </w:p>
        </w:tc>
        <w:tc>
          <w:tcPr>
            <w:tcW w:type="dxa" w:w="21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Source</w:t>
            </w:r>
          </w:p>
        </w:tc>
        <w:tc>
          <w:tcPr>
            <w:tcW w:type="dxa" w:w="28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How LendProof helps</w:t>
            </w:r>
          </w:p>
        </w:tc>
        <w:tc>
          <w:tcPr>
            <w:tcW w:type="dxa" w:w="2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What it does not do</w:t>
            </w:r>
          </w:p>
        </w:tc>
      </w:tr>
      <w:tr>
        <w:trPr>
          <w:cantSplit/>
        </w:trPr>
        <w:tc>
          <w:tcPr>
            <w:tcW w:type="dxa" w:w="2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Digital lending through an LSP must be governed by a contract that defines roles, rights and obligations</w:t>
            </w:r>
          </w:p>
        </w:tc>
        <w:tc>
          <w:tcPr>
            <w:tcW w:type="dxa" w:w="2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RBI Digital Lending Directions 2025</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Converts the model and policy parts of that contract into verifiable per-decision conditions.</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Does not draft the contract.</w:t>
            </w:r>
          </w:p>
        </w:tc>
      </w:tr>
      <w:tr>
        <w:trPr>
          <w:cantSplit/>
        </w:trPr>
        <w:tc>
          <w:tcPr>
            <w:tcW w:type="dxa" w:w="2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RE conducts enhanced due diligence on the LSP and remains responsible for outcomes</w:t>
            </w:r>
          </w:p>
        </w:tc>
        <w:tc>
          <w:tcPr>
            <w:tcW w:type="dxa" w:w="21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RBI Digital Lending Directions 2025</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Continuous evidence on the technical conformance of the LSP's underwriting.</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Does not replace the RE's due diligence process.</w:t>
            </w:r>
          </w:p>
        </w:tc>
      </w:tr>
      <w:tr>
        <w:trPr>
          <w:cantSplit/>
        </w:trPr>
        <w:tc>
          <w:tcPr>
            <w:tcW w:type="dxa" w:w="2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Underwriting algorithms should be auditable</w:t>
            </w:r>
          </w:p>
        </w:tc>
        <w:tc>
          <w:tcPr>
            <w:tcW w:type="dxa" w:w="2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Working Group on Digital Lending recommendation (2022)</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Auditability of "which model, which policy, which input" without model disclosure.</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Does not audit for discrimination unless the lender adds clauses.</w:t>
            </w:r>
          </w:p>
        </w:tc>
      </w:tr>
      <w:tr>
        <w:trPr>
          <w:cantSplit/>
        </w:trPr>
        <w:tc>
          <w:tcPr>
            <w:tcW w:type="dxa" w:w="2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Model governance across the lifecycle: documentation, validation, monitoring; board-approved AI policy; AI audit</w:t>
            </w:r>
          </w:p>
        </w:tc>
        <w:tc>
          <w:tcPr>
            <w:tcW w:type="dxa" w:w="21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RBI FREE-AI framework (Aug 2025)</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Evidence layer for deployment control and change management; supports audit.</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Does not validate the model's quality or bias.</w:t>
            </w:r>
          </w:p>
        </w:tc>
      </w:tr>
      <w:tr>
        <w:trPr>
          <w:cantSplit/>
        </w:trPr>
        <w:tc>
          <w:tcPr>
            <w:tcW w:type="dxa" w:w="2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Contractual safeguards for third-party AI</w:t>
            </w:r>
          </w:p>
        </w:tc>
        <w:tc>
          <w:tcPr>
            <w:tcW w:type="dxa" w:w="2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RBI FREE-AI framework</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Makes safeguards enforceable by machine.</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Does not define the safeguards.</w:t>
            </w:r>
          </w:p>
        </w:tc>
      </w:tr>
      <w:tr>
        <w:trPr>
          <w:cantSplit/>
        </w:trPr>
        <w:tc>
          <w:tcPr>
            <w:tcW w:type="dxa" w:w="2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Grievance redressal remains with the RE</w:t>
            </w:r>
          </w:p>
        </w:tc>
        <w:tc>
          <w:tcPr>
            <w:tcW w:type="dxa" w:w="21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RBI Digital Lending Directions 2025</w:t>
            </w:r>
          </w:p>
        </w:tc>
        <w:tc>
          <w:tcPr>
            <w:tcW w:type="dxa" w:w="28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Per-decision evidence supports dispute handling; optional decision receipt.</w:t>
            </w:r>
          </w:p>
        </w:tc>
        <w:tc>
          <w:tcPr>
            <w:tcW w:type="dxa" w:w="2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Does not decide grievances.</w:t>
            </w:r>
          </w:p>
        </w:tc>
      </w:tr>
      <w:tr>
        <w:trPr>
          <w:cantSplit/>
        </w:trPr>
        <w:tc>
          <w:tcPr>
            <w:tcW w:type="dxa" w:w="27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Data minimisation and processor safeguards</w:t>
            </w:r>
          </w:p>
        </w:tc>
        <w:tc>
          <w:tcPr>
            <w:tcW w:type="dxa" w:w="21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DPDP Act and Rules (phasing in)</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weights or raw personal data to LendProof; commitments and verdicts only.</w:t>
            </w:r>
          </w:p>
        </w:tc>
        <w:tc>
          <w:tcPr>
            <w:tcW w:type="dxa" w:w="2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and RE remain data fiduciaries for their own processing.</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13. Hackathon Execution Plan</w:t>
      </w:r>
    </w:p>
    <w:p>
      <w:pPr>
        <w:pStyle w:val="Heading2"/>
        <w:keepNext/>
        <w:spacing w:after="100" w:before="280"/>
      </w:pPr>
      <w:r>
        <w:rPr>
          <w:rFonts w:ascii="Calibri" w:cs="Calibri" w:eastAsia="Calibri" w:hAnsi="Calibri"/>
          <w:b/>
          <w:bCs/>
          <w:color w:val="1F7A8C"/>
          <w:sz w:val="26"/>
          <w:szCs w:val="26"/>
        </w:rPr>
        <w:t xml:space="preserve">13.1 Scope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838"/>
      </w:tblGrid>
      <w:tr>
        <w:trPr>
          <w:tblHeader/>
        </w:trPr>
        <w:tc>
          <w:tcPr>
            <w:tcW w:type="dxa" w:w="1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Tier</w:t>
            </w:r>
          </w:p>
        </w:tc>
        <w:tc>
          <w:tcPr>
            <w:tcW w:type="dxa" w:w="5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Content</w:t>
            </w:r>
          </w:p>
        </w:tc>
        <w:tc>
          <w:tcPr>
            <w:tcW w:type="dxa" w:w="28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Rule</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Must (MVP)</w:t>
            </w:r>
          </w:p>
        </w:tc>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Scorecard (logistic regression) end to end: registration, commitment, proof, verification, tamper tests, disbursal gate, ledger, dashboard, benchmark table.</w:t>
            </w:r>
          </w:p>
        </w:tc>
        <w:tc>
          <w:tcPr>
            <w:tcW w:type="dxa" w:w="2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Do not start anything else until this is solid and demonstrable offline.</w:t>
            </w:r>
          </w:p>
        </w:tc>
      </w:tr>
      <w:tr>
        <w:trPr>
          <w:cantSplit/>
        </w:trPr>
        <w:tc>
          <w:tcPr>
            <w:tcW w:type="dxa" w:w="1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Should</w:t>
            </w:r>
          </w:p>
        </w:tc>
        <w:tc>
          <w:tcPr>
            <w:tcW w:type="dxa" w:w="5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 Binding Adapter, reconciliation, model rotation, sampled mode, small GBDT demo.</w:t>
            </w:r>
          </w:p>
        </w:tc>
        <w:tc>
          <w:tcPr>
            <w:tcW w:type="dxa" w:w="2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Pick two. GBDT only if EZKL support is confirmed in your pinned version.</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Could</w:t>
            </w:r>
          </w:p>
        </w:tc>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WASM decision receipt, evidence pack export, self-hosted packaging slide.</w:t>
            </w:r>
          </w:p>
        </w:tc>
        <w:tc>
          <w:tcPr>
            <w:tcW w:type="dxa" w:w="2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Mock if needed and label as roadmap.</w:t>
            </w:r>
          </w:p>
        </w:tc>
      </w:tr>
    </w:tbl>
    <w:p>
      <w:pPr>
        <w:spacing w:after="120"/>
      </w:pPr>
    </w:p>
    <w:p>
      <w:pPr>
        <w:pStyle w:val="Heading2"/>
        <w:keepNext/>
        <w:spacing w:after="100" w:before="280"/>
      </w:pPr>
      <w:r>
        <w:rPr>
          <w:rFonts w:ascii="Calibri" w:cs="Calibri" w:eastAsia="Calibri" w:hAnsi="Calibri"/>
          <w:b/>
          <w:bCs/>
          <w:color w:val="1F7A8C"/>
          <w:sz w:val="26"/>
          <w:szCs w:val="26"/>
        </w:rPr>
        <w:t xml:space="preserve">13.2 Build order (compress or stretch to your remaining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3138"/>
      </w:tblGrid>
      <w:tr>
        <w:trPr>
          <w:tblHeader/>
        </w:trPr>
        <w:tc>
          <w:tcPr>
            <w:tcW w:type="dxa" w:w="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Stage</w:t>
            </w:r>
          </w:p>
        </w:tc>
        <w:tc>
          <w:tcPr>
            <w:tcW w:type="dxa" w:w="5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Work</w:t>
            </w:r>
          </w:p>
        </w:tc>
        <w:tc>
          <w:tcPr>
            <w:tcW w:type="dxa" w:w="31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Done when</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Synthetic India-style dataset; train logistic regression; quantise; ONNX export; parity report.</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Float vs quantised agreement measured.</w:t>
            </w:r>
          </w:p>
        </w:tc>
      </w:tr>
      <w:tr>
        <w:trPr>
          <w:cantSplit/>
        </w:trPr>
        <w:tc>
          <w:tcPr>
            <w:tcW w:type="dxa" w:w="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2</w:t>
            </w:r>
          </w:p>
        </w:tc>
        <w:tc>
          <w:tcPr>
            <w:tcW w:type="dxa" w:w="5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Compile with EZKL; produce proof and verify locally; record timings.</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Benchmark table started.</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3</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Add commitment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(salted) and public threshold; add input commitment </w:t>
            </w:r>
            <w:r>
              <w:rPr>
                <w:rFonts w:ascii="Consolas" w:cs="Consolas" w:eastAsia="Consolas" w:hAnsi="Consolas"/>
                <w:color w:val="8E2C48"/>
                <w:sz w:val="16"/>
                <w:szCs w:val="16"/>
              </w:rPr>
              <w:t xml:space="preserve">X</w:t>
            </w:r>
            <w:r>
              <w:rPr>
                <w:rFonts w:ascii="Calibri" w:cs="Calibri" w:eastAsia="Calibri" w:hAnsi="Calibri"/>
                <w:b w:val="false"/>
                <w:bCs w:val="false"/>
                <w:sz w:val="18"/>
                <w:szCs w:val="18"/>
              </w:rPr>
              <w:t xml:space="preserve">.</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Model-swap and threshold-change tamper cases fail.</w:t>
            </w:r>
          </w:p>
        </w:tc>
      </w:tr>
      <w:tr>
        <w:trPr>
          <w:cantSplit/>
        </w:trPr>
        <w:tc>
          <w:tcPr>
            <w:tcW w:type="dxa" w:w="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4</w:t>
            </w:r>
          </w:p>
        </w:tc>
        <w:tc>
          <w:tcPr>
            <w:tcW w:type="dxa" w:w="5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Node: registry, policy signing/validation, verifier pipeline V1 to V9, ledger.</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Reason codes appear for each failure.</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5</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Sidecar with queue, outbox and uploader; Docker Compose with two networks.</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Honest flow works across the boundary.</w:t>
            </w:r>
          </w:p>
        </w:tc>
      </w:tr>
      <w:tr>
        <w:trPr>
          <w:cantSplit/>
        </w:trPr>
        <w:tc>
          <w:tcPr>
            <w:tcW w:type="dxa" w:w="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6</w:t>
            </w:r>
          </w:p>
        </w:tc>
        <w:tc>
          <w:tcPr>
            <w:tcW w:type="dxa" w:w="5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Disbursal gate and mock LMS; decision notices; SLA timer.</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proof, no disbursal" demonstrated.</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7</w:t>
            </w:r>
          </w:p>
        </w:tc>
        <w:tc>
          <w:tcPr>
            <w:tcW w:type="dxa" w:w="5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Dashboard; live proof latency; tamper-test panel.</w:t>
            </w:r>
          </w:p>
        </w:tc>
        <w:tc>
          <w:tcPr>
            <w:tcW w:type="dxa" w:w="3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Demo script runs end to end without edits.</w:t>
            </w:r>
          </w:p>
        </w:tc>
      </w:tr>
      <w:tr>
        <w:trPr>
          <w:cantSplit/>
        </w:trPr>
        <w:tc>
          <w:tcPr>
            <w:tcW w:type="dxa" w:w="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8</w:t>
            </w:r>
          </w:p>
        </w:tc>
        <w:tc>
          <w:tcPr>
            <w:tcW w:type="dxa" w:w="5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Stretch items; polish; rehearse; prepare fallback recording.</w:t>
            </w:r>
          </w:p>
        </w:tc>
        <w:tc>
          <w:tcPr>
            <w:tcW w:type="dxa" w:w="31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Two full rehearsals complete.</w:t>
            </w:r>
          </w:p>
        </w:tc>
      </w:tr>
    </w:tbl>
    <w:p>
      <w:pPr>
        <w:spacing w:after="120"/>
      </w:pPr>
    </w:p>
    <w:p>
      <w:pPr>
        <w:pStyle w:val="Heading2"/>
        <w:keepNext/>
        <w:spacing w:after="100" w:before="280"/>
      </w:pPr>
      <w:r>
        <w:rPr>
          <w:rFonts w:ascii="Calibri" w:cs="Calibri" w:eastAsia="Calibri" w:hAnsi="Calibri"/>
          <w:b/>
          <w:bCs/>
          <w:color w:val="1F7A8C"/>
          <w:sz w:val="26"/>
          <w:szCs w:val="26"/>
        </w:rPr>
        <w:t xml:space="preserve">13.3 Suggested repository layout</w:t>
      </w:r>
    </w:p>
    <w:p>
      <w:pPr>
        <w:pBdr>
          <w:top w:val="single" w:color="BFC9D4" w:sz="4"/>
        </w:pBdr>
        <w:shd w:fill="F1F4F8" w:color="auto" w:val="clear"/>
        <w:spacing w:after="0" w:line="232"/>
        <w:ind w:left="120" w:right="120"/>
      </w:pPr>
      <w:r>
        <w:rPr>
          <w:rFonts w:ascii="Consolas" w:cs="Consolas" w:eastAsia="Consolas" w:hAnsi="Consolas"/>
          <w:sz w:val="16"/>
          <w:szCs w:val="16"/>
        </w:rPr>
        <w:t xml:space="preserve">lendproof/</w:t>
      </w:r>
    </w:p>
    <w:p>
      <w:pPr>
        <w:shd w:fill="F1F4F8" w:color="auto" w:val="clear"/>
        <w:spacing w:after="0" w:line="232"/>
        <w:ind w:left="120" w:right="120"/>
      </w:pPr>
      <w:r>
        <w:rPr>
          <w:rFonts w:ascii="Consolas" w:cs="Consolas" w:eastAsia="Consolas" w:hAnsi="Consolas"/>
          <w:sz w:val="16"/>
          <w:szCs w:val="16"/>
        </w:rPr>
        <w:t xml:space="preserve">  model/            # training, quantisation, ONNX export, parity report</w:t>
      </w:r>
    </w:p>
    <w:p>
      <w:pPr>
        <w:shd w:fill="F1F4F8" w:color="auto" w:val="clear"/>
        <w:spacing w:after="0" w:line="232"/>
        <w:ind w:left="120" w:right="120"/>
      </w:pPr>
      <w:r>
        <w:rPr>
          <w:rFonts w:ascii="Consolas" w:cs="Consolas" w:eastAsia="Consolas" w:hAnsi="Consolas"/>
          <w:sz w:val="16"/>
          <w:szCs w:val="16"/>
        </w:rPr>
        <w:t xml:space="preserve">  circuits/         # EZKL settings, calibration data, compiled artefacts (no weights in repo for demo secrets)</w:t>
      </w:r>
    </w:p>
    <w:p>
      <w:pPr>
        <w:shd w:fill="F1F4F8" w:color="auto" w:val="clear"/>
        <w:spacing w:after="0" w:line="232"/>
        <w:ind w:left="120" w:right="120"/>
      </w:pPr>
      <w:r>
        <w:rPr>
          <w:rFonts w:ascii="Consolas" w:cs="Consolas" w:eastAsia="Consolas" w:hAnsi="Consolas"/>
          <w:sz w:val="16"/>
          <w:szCs w:val="16"/>
        </w:rPr>
        <w:t xml:space="preserve">  sidecar/          # ingestor, outbox, witness builder, prover workers, uploader</w:t>
      </w:r>
    </w:p>
    <w:p>
      <w:pPr>
        <w:shd w:fill="F1F4F8" w:color="auto" w:val="clear"/>
        <w:spacing w:after="0" w:line="232"/>
        <w:ind w:left="120" w:right="120"/>
      </w:pPr>
      <w:r>
        <w:rPr>
          <w:rFonts w:ascii="Consolas" w:cs="Consolas" w:eastAsia="Consolas" w:hAnsi="Consolas"/>
          <w:sz w:val="16"/>
          <w:szCs w:val="16"/>
        </w:rPr>
        <w:t xml:space="preserve">  node/             # gateway, verifier engine, policy engine, ledger, gate API</w:t>
      </w:r>
    </w:p>
    <w:p>
      <w:pPr>
        <w:shd w:fill="F1F4F8" w:color="auto" w:val="clear"/>
        <w:spacing w:after="0" w:line="232"/>
        <w:ind w:left="120" w:right="120"/>
      </w:pPr>
      <w:r>
        <w:rPr>
          <w:rFonts w:ascii="Consolas" w:cs="Consolas" w:eastAsia="Consolas" w:hAnsi="Consolas"/>
          <w:sz w:val="16"/>
          <w:szCs w:val="16"/>
        </w:rPr>
        <w:t xml:space="preserve">  adapter/          # input binding adapter (lender side)</w:t>
      </w:r>
    </w:p>
    <w:p>
      <w:pPr>
        <w:shd w:fill="F1F4F8" w:color="auto" w:val="clear"/>
        <w:spacing w:after="0" w:line="232"/>
        <w:ind w:left="120" w:right="120"/>
      </w:pPr>
      <w:r>
        <w:rPr>
          <w:rFonts w:ascii="Consolas" w:cs="Consolas" w:eastAsia="Consolas" w:hAnsi="Consolas"/>
          <w:sz w:val="16"/>
          <w:szCs w:val="16"/>
        </w:rPr>
        <w:t xml:space="preserve">  dashboard/        # React UI</w:t>
      </w:r>
    </w:p>
    <w:p>
      <w:pPr>
        <w:shd w:fill="F1F4F8" w:color="auto" w:val="clear"/>
        <w:spacing w:after="0" w:line="232"/>
        <w:ind w:left="120" w:right="120"/>
      </w:pPr>
      <w:r>
        <w:rPr>
          <w:rFonts w:ascii="Consolas" w:cs="Consolas" w:eastAsia="Consolas" w:hAnsi="Consolas"/>
          <w:sz w:val="16"/>
          <w:szCs w:val="16"/>
        </w:rPr>
        <w:t xml:space="preserve">  mock_lms/         # disbursal gate consumer</w:t>
      </w:r>
    </w:p>
    <w:p>
      <w:pPr>
        <w:shd w:fill="F1F4F8" w:color="auto" w:val="clear"/>
        <w:spacing w:after="0" w:line="232"/>
        <w:ind w:left="120" w:right="120"/>
      </w:pPr>
      <w:r>
        <w:rPr>
          <w:rFonts w:ascii="Consolas" w:cs="Consolas" w:eastAsia="Consolas" w:hAnsi="Consolas"/>
          <w:sz w:val="16"/>
          <w:szCs w:val="16"/>
        </w:rPr>
        <w:t xml:space="preserve">  policy/           # example policies and signing tools</w:t>
      </w:r>
    </w:p>
    <w:p>
      <w:pPr>
        <w:shd w:fill="F1F4F8" w:color="auto" w:val="clear"/>
        <w:spacing w:after="0" w:line="232"/>
        <w:ind w:left="120" w:right="120"/>
      </w:pPr>
      <w:r>
        <w:rPr>
          <w:rFonts w:ascii="Consolas" w:cs="Consolas" w:eastAsia="Consolas" w:hAnsi="Consolas"/>
          <w:sz w:val="16"/>
          <w:szCs w:val="16"/>
        </w:rPr>
        <w:t xml:space="preserve">  deploy/           # docker-compose.yml, networks, mTLS dev CA</w:t>
      </w:r>
    </w:p>
    <w:p>
      <w:pPr>
        <w:shd w:fill="F1F4F8" w:color="auto" w:val="clear"/>
        <w:spacing w:after="0" w:line="232"/>
        <w:ind w:left="120" w:right="120"/>
      </w:pPr>
      <w:r>
        <w:rPr>
          <w:rFonts w:ascii="Consolas" w:cs="Consolas" w:eastAsia="Consolas" w:hAnsi="Consolas"/>
          <w:sz w:val="16"/>
          <w:szCs w:val="16"/>
        </w:rPr>
        <w:t xml:space="preserve">  bench/            # benchmark scripts producing the table in 9.5</w:t>
      </w:r>
    </w:p>
    <w:p>
      <w:pPr>
        <w:shd w:fill="F1F4F8" w:color="auto" w:val="clear"/>
        <w:spacing w:after="0" w:line="232"/>
        <w:ind w:left="120" w:right="120"/>
      </w:pPr>
      <w:r>
        <w:rPr>
          <w:rFonts w:ascii="Consolas" w:cs="Consolas" w:eastAsia="Consolas" w:hAnsi="Consolas"/>
          <w:sz w:val="16"/>
          <w:szCs w:val="16"/>
        </w:rPr>
        <w:t xml:space="preserve">  docs/</w:t>
      </w:r>
    </w:p>
    <w:p>
      <w:pPr>
        <w:spacing w:after="120"/>
      </w:pPr>
    </w:p>
    <w:p>
      <w:pPr>
        <w:pStyle w:val="Heading2"/>
        <w:keepNext/>
        <w:spacing w:after="100" w:before="280"/>
      </w:pPr>
      <w:r>
        <w:rPr>
          <w:rFonts w:ascii="Calibri" w:cs="Calibri" w:eastAsia="Calibri" w:hAnsi="Calibri"/>
          <w:b/>
          <w:bCs/>
          <w:color w:val="1F7A8C"/>
          <w:sz w:val="26"/>
          <w:szCs w:val="26"/>
        </w:rPr>
        <w:t xml:space="preserve">13.4 Demo data and model</w:t>
      </w:r>
    </w:p>
    <w:p>
      <w:pPr>
        <w:pStyle w:val="ListParagraph"/>
        <w:numPr>
          <w:ilvl w:val="0"/>
          <w:numId w:val="2"/>
        </w:numPr>
        <w:spacing w:after="70" w:line="264"/>
      </w:pPr>
      <w:r>
        <w:rPr>
          <w:rFonts w:ascii="Calibri" w:cs="Calibri" w:eastAsia="Calibri" w:hAnsi="Calibri"/>
          <w:sz w:val="21"/>
          <w:szCs w:val="21"/>
        </w:rPr>
        <w:t xml:space="preserve">Use a </w:t>
      </w:r>
      <w:r>
        <w:rPr>
          <w:rFonts w:ascii="Calibri" w:cs="Calibri" w:eastAsia="Calibri" w:hAnsi="Calibri"/>
          <w:b/>
          <w:bCs/>
          <w:sz w:val="21"/>
          <w:szCs w:val="21"/>
        </w:rPr>
        <w:t xml:space="preserve">synthetic, India-flavoured</w:t>
      </w:r>
      <w:r>
        <w:rPr>
          <w:rFonts w:ascii="Calibri" w:cs="Calibri" w:eastAsia="Calibri" w:hAnsi="Calibri"/>
          <w:sz w:val="21"/>
          <w:szCs w:val="21"/>
        </w:rPr>
        <w:t xml:space="preserve"> dataset (income band, bureau score on the 300 to 900 scale, FOIR, tenure of bank account, number of active loans, recent enquiries). Say clearly that it is synthetic. Public datasets such as Give Me Some Credit or LendingClub are acceptable fallbacks but are not Indian.</w:t>
      </w:r>
    </w:p>
    <w:p>
      <w:pPr>
        <w:pStyle w:val="ListParagraph"/>
        <w:numPr>
          <w:ilvl w:val="0"/>
          <w:numId w:val="2"/>
        </w:numPr>
        <w:spacing w:after="70" w:line="264"/>
      </w:pPr>
      <w:r>
        <w:rPr>
          <w:rFonts w:ascii="Calibri" w:cs="Calibri" w:eastAsia="Calibri" w:hAnsi="Calibri"/>
          <w:sz w:val="21"/>
          <w:szCs w:val="21"/>
        </w:rPr>
        <w:t xml:space="preserve">Tier 1: logistic regression with 8 to 12 features. Tier 2: gradient-boosted trees with 20 to 50 trees at depth 3 to 4.</w:t>
      </w:r>
    </w:p>
    <w:p>
      <w:pPr>
        <w:pStyle w:val="ListParagraph"/>
        <w:numPr>
          <w:ilvl w:val="0"/>
          <w:numId w:val="2"/>
        </w:numPr>
        <w:spacing w:after="70" w:line="264"/>
      </w:pPr>
      <w:r>
        <w:rPr>
          <w:rFonts w:ascii="Calibri" w:cs="Calibri" w:eastAsia="Calibri" w:hAnsi="Calibri"/>
          <w:sz w:val="21"/>
          <w:szCs w:val="21"/>
        </w:rPr>
        <w:t xml:space="preserve">Include one </w:t>
      </w:r>
      <w:r>
        <w:rPr>
          <w:rFonts w:ascii="Calibri" w:cs="Calibri" w:eastAsia="Calibri" w:hAnsi="Calibri"/>
          <w:b/>
          <w:bCs/>
          <w:sz w:val="21"/>
          <w:szCs w:val="21"/>
        </w:rPr>
        <w:t xml:space="preserve">prohibited-attribute</w:t>
      </w:r>
      <w:r>
        <w:rPr>
          <w:rFonts w:ascii="Calibri" w:cs="Calibri" w:eastAsia="Calibri" w:hAnsi="Calibri"/>
          <w:sz w:val="21"/>
          <w:szCs w:val="21"/>
        </w:rPr>
        <w:t xml:space="preserve"> clause (for example a proxy feature with zero weight) to show that lenders can add their own conditions as policy.</w:t>
      </w:r>
    </w:p>
    <w:p>
      <w:pPr>
        <w:pStyle w:val="Heading2"/>
        <w:keepNext/>
        <w:spacing w:after="100" w:before="280"/>
      </w:pPr>
      <w:r>
        <w:rPr>
          <w:rFonts w:ascii="Calibri" w:cs="Calibri" w:eastAsia="Calibri" w:hAnsi="Calibri"/>
          <w:b/>
          <w:bCs/>
          <w:color w:val="1F7A8C"/>
          <w:sz w:val="26"/>
          <w:szCs w:val="26"/>
        </w:rPr>
        <w:t xml:space="preserve">13.5 Live demo script (about five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038"/>
      </w:tblGrid>
      <w:tr>
        <w:trPr>
          <w:tblHeader/>
        </w:trPr>
        <w:tc>
          <w:tcPr>
            <w:tcW w:type="dxa" w:w="19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Scene</w:t>
            </w:r>
          </w:p>
        </w:tc>
        <w:tc>
          <w:tcPr>
            <w:tcW w:type="dxa" w:w="47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What you do</w:t>
            </w:r>
          </w:p>
        </w:tc>
        <w:tc>
          <w:tcPr>
            <w:tcW w:type="dxa" w:w="3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What the judge sees</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1. The blind spot</w:t>
            </w:r>
          </w:p>
        </w:tc>
        <w:tc>
          <w:tcPr>
            <w:tcW w:type="dxa" w:w="4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Show the lender screen with only "approved / rejected" and no model visibility.</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problem in ten seconds.</w:t>
            </w:r>
          </w:p>
        </w:tc>
      </w:tr>
      <w:tr>
        <w:trPr>
          <w:cantSplit/>
        </w:trPr>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2. Registration</w:t>
            </w:r>
          </w:p>
        </w:tc>
        <w:tc>
          <w:tcPr>
            <w:tcW w:type="dxa" w:w="4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Run the registration CLI at the LSP; show network capture proving only </w:t>
            </w:r>
            <w:r>
              <w:rPr>
                <w:rFonts w:ascii="Consolas" w:cs="Consolas" w:eastAsia="Consolas" w:hAnsi="Consolas"/>
                <w:color w:val="8E2C48"/>
                <w:sz w:val="16"/>
                <w:szCs w:val="16"/>
              </w:rPr>
              <w:t xml:space="preserve">{C, circuit_hash, VK}</w:t>
            </w:r>
            <w:r>
              <w:rPr>
                <w:rFonts w:ascii="Calibri" w:cs="Calibri" w:eastAsia="Calibri" w:hAnsi="Calibri"/>
                <w:b w:val="false"/>
                <w:bCs w:val="false"/>
                <w:sz w:val="18"/>
                <w:szCs w:val="18"/>
              </w:rPr>
              <w:t xml:space="preserve"> leave.</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Weights never leave.</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3. Policy</w:t>
            </w:r>
          </w:p>
        </w:tc>
        <w:tc>
          <w:tcPr>
            <w:tcW w:type="dxa" w:w="4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Show the dual-signed policy; lender approves the model.</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Neutral, contract-driven design.</w:t>
            </w:r>
          </w:p>
        </w:tc>
      </w:tr>
      <w:tr>
        <w:trPr>
          <w:cantSplit/>
        </w:trPr>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4. Honest decision</w:t>
            </w:r>
          </w:p>
        </w:tc>
        <w:tc>
          <w:tcPr>
            <w:tcW w:type="dxa" w:w="4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Submit an application; decision returns instantly; proof appears; lender status moves from PENDING to VERIFIED; mock LMS disburses.</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UX impact; gate works.</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5. Tamper: model swap</w:t>
            </w:r>
          </w:p>
        </w:tc>
        <w:tc>
          <w:tcPr>
            <w:tcW w:type="dxa" w:w="4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Change one weight in production; proof under </w:t>
            </w:r>
            <w:r>
              <w:rPr>
                <w:rFonts w:ascii="Consolas" w:cs="Consolas" w:eastAsia="Consolas" w:hAnsi="Consolas"/>
                <w:color w:val="8E2C48"/>
                <w:sz w:val="16"/>
                <w:szCs w:val="16"/>
              </w:rPr>
              <w:t xml:space="preserve">C</w:t>
            </w:r>
            <w:r>
              <w:rPr>
                <w:rFonts w:ascii="Calibri" w:cs="Calibri" w:eastAsia="Calibri" w:hAnsi="Calibri"/>
                <w:b w:val="false"/>
                <w:bCs w:val="false"/>
                <w:sz w:val="18"/>
                <w:szCs w:val="18"/>
              </w:rPr>
              <w:t xml:space="preserve"> cannot be produced or fails; status FAILED.</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Reason code </w:t>
            </w:r>
            <w:r>
              <w:rPr>
                <w:rFonts w:ascii="Consolas" w:cs="Consolas" w:eastAsia="Consolas" w:hAnsi="Consolas"/>
                <w:color w:val="8E2C48"/>
                <w:sz w:val="16"/>
                <w:szCs w:val="16"/>
              </w:rPr>
              <w:t xml:space="preserve">MODEL_MISMATCH</w:t>
            </w:r>
            <w:r>
              <w:rPr>
                <w:rFonts w:ascii="Calibri" w:cs="Calibri" w:eastAsia="Calibri" w:hAnsi="Calibri"/>
                <w:b w:val="false"/>
                <w:bCs w:val="false"/>
                <w:sz w:val="18"/>
                <w:szCs w:val="18"/>
              </w:rPr>
              <w:t xml:space="preserve">.</w:t>
            </w:r>
          </w:p>
        </w:tc>
      </w:tr>
      <w:tr>
        <w:trPr>
          <w:cantSplit/>
        </w:trPr>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6. Tamper: threshold and input</w:t>
            </w:r>
          </w:p>
        </w:tc>
        <w:tc>
          <w:tcPr>
            <w:tcW w:type="dxa" w:w="4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Lower threshold to approve more; alter income. Both rejected with distinct reasons.</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Specific, explainable failures.</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7. Tamper: replay</w:t>
            </w:r>
          </w:p>
        </w:tc>
        <w:tc>
          <w:tcPr>
            <w:tcW w:type="dxa" w:w="4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Resubmit an old valid proof for a new application.</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onsolas" w:cs="Consolas" w:eastAsia="Consolas" w:hAnsi="Consolas"/>
                <w:color w:val="8E2C48"/>
                <w:sz w:val="16"/>
                <w:szCs w:val="16"/>
              </w:rPr>
              <w:t xml:space="preserve">REPLAY</w:t>
            </w:r>
            <w:r>
              <w:rPr>
                <w:rFonts w:ascii="Calibri" w:cs="Calibri" w:eastAsia="Calibri" w:hAnsi="Calibri"/>
                <w:b w:val="false"/>
                <w:bCs w:val="false"/>
                <w:sz w:val="18"/>
                <w:szCs w:val="18"/>
              </w:rPr>
              <w:t xml:space="preserve">.</w:t>
            </w:r>
          </w:p>
        </w:tc>
      </w:tr>
      <w:tr>
        <w:trPr>
          <w:cantSplit/>
        </w:trPr>
        <w:tc>
          <w:tcPr>
            <w:tcW w:type="dxa" w:w="19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8. Numbers</w:t>
            </w:r>
          </w:p>
        </w:tc>
        <w:tc>
          <w:tcPr>
            <w:tcW w:type="dxa" w:w="47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Show benchmark table: proof time, size, verify time, ₹ per 1,000.</w:t>
            </w:r>
          </w:p>
        </w:tc>
        <w:tc>
          <w:tcPr>
            <w:tcW w:type="dxa" w:w="3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Measured, not claimed.</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9. Limits</w:t>
            </w:r>
          </w:p>
        </w:tc>
        <w:tc>
          <w:tcPr>
            <w:tcW w:type="dxa" w:w="4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One slide: what we cover and what we do not (Section 4.5).</w:t>
            </w:r>
          </w:p>
        </w:tc>
        <w:tc>
          <w:tcPr>
            <w:tcW w:type="dxa" w:w="3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Credibility.</w:t>
            </w:r>
          </w:p>
        </w:tc>
      </w:tr>
    </w:tbl>
    <w:p>
      <w:pPr>
        <w:spacing w:after="120"/>
      </w:pPr>
    </w:p>
    <w:p>
      <w:pPr>
        <w:pStyle w:val="Heading2"/>
        <w:keepNext/>
        <w:spacing w:after="100" w:before="280"/>
      </w:pPr>
      <w:r>
        <w:rPr>
          <w:rFonts w:ascii="Calibri" w:cs="Calibri" w:eastAsia="Calibri" w:hAnsi="Calibri"/>
          <w:b/>
          <w:bCs/>
          <w:color w:val="1F7A8C"/>
          <w:sz w:val="26"/>
          <w:szCs w:val="26"/>
        </w:rPr>
        <w:t xml:space="preserve">13.6 Fallbacks</w:t>
      </w:r>
    </w:p>
    <w:p>
      <w:pPr>
        <w:pStyle w:val="ListParagraph"/>
        <w:numPr>
          <w:ilvl w:val="0"/>
          <w:numId w:val="2"/>
        </w:numPr>
        <w:spacing w:after="70" w:line="264"/>
      </w:pPr>
      <w:r>
        <w:rPr>
          <w:rFonts w:ascii="Calibri" w:cs="Calibri" w:eastAsia="Calibri" w:hAnsi="Calibri"/>
          <w:sz w:val="21"/>
          <w:szCs w:val="21"/>
        </w:rPr>
        <w:t xml:space="preserve">Pre-generate proofs for the demo applications; run live proving for one case only.</w:t>
      </w:r>
    </w:p>
    <w:p>
      <w:pPr>
        <w:pStyle w:val="ListParagraph"/>
        <w:numPr>
          <w:ilvl w:val="0"/>
          <w:numId w:val="2"/>
        </w:numPr>
        <w:spacing w:after="70" w:line="264"/>
      </w:pPr>
      <w:r>
        <w:rPr>
          <w:rFonts w:ascii="Calibri" w:cs="Calibri" w:eastAsia="Calibri" w:hAnsi="Calibri"/>
          <w:sz w:val="21"/>
          <w:szCs w:val="21"/>
        </w:rPr>
        <w:t xml:space="preserve">Run everything locally in Compose with no external network dependency.</w:t>
      </w:r>
    </w:p>
    <w:p>
      <w:pPr>
        <w:pStyle w:val="ListParagraph"/>
        <w:numPr>
          <w:ilvl w:val="0"/>
          <w:numId w:val="2"/>
        </w:numPr>
        <w:spacing w:after="70" w:line="264"/>
      </w:pPr>
      <w:r>
        <w:rPr>
          <w:rFonts w:ascii="Calibri" w:cs="Calibri" w:eastAsia="Calibri" w:hAnsi="Calibri"/>
          <w:sz w:val="21"/>
          <w:szCs w:val="21"/>
        </w:rPr>
        <w:t xml:space="preserve">Keep a screen recording of the complete flow as the last resort.</w:t>
      </w:r>
    </w:p>
    <w:p>
      <w:pPr>
        <w:pStyle w:val="ListParagraph"/>
        <w:numPr>
          <w:ilvl w:val="0"/>
          <w:numId w:val="2"/>
        </w:numPr>
        <w:spacing w:after="70" w:line="264"/>
      </w:pPr>
      <w:r>
        <w:rPr>
          <w:rFonts w:ascii="Calibri" w:cs="Calibri" w:eastAsia="Calibri" w:hAnsi="Calibri"/>
          <w:sz w:val="21"/>
          <w:szCs w:val="21"/>
        </w:rPr>
        <w:t xml:space="preserve">Have the benchmark table as a static slide in case the live dashboard fails.</w:t>
      </w:r>
    </w:p>
    <w:p>
      <w:pPr>
        <w:pStyle w:val="Heading2"/>
        <w:keepNext/>
        <w:spacing w:after="100" w:before="280"/>
      </w:pPr>
      <w:r>
        <w:rPr>
          <w:rFonts w:ascii="Calibri" w:cs="Calibri" w:eastAsia="Calibri" w:hAnsi="Calibri"/>
          <w:b/>
          <w:bCs/>
          <w:color w:val="1F7A8C"/>
          <w:sz w:val="26"/>
          <w:szCs w:val="26"/>
        </w:rPr>
        <w:t xml:space="preserve">13.7 Anticipated adversarial questions and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Question</w:t>
            </w:r>
          </w:p>
        </w:tc>
        <w:tc>
          <w:tcPr>
            <w:tcW w:type="dxa" w:w="6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Answer</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Why should the LSP trust you with its model?</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We never receive it. The prover runs in the LSP's environment; we receive only a commitment, proofs and verdicts. Network capture shows this.</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What stops fake inputs?</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Inputs are bound by commitment. For lender-verifiable inputs (bureau, AA-derived data), the lender recomputes the commitment from its own data. Proprietary engineered features are LSP-attested in v1 and covered by sampled audits; moving feature computation into a zkVM is on the roadmap.</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Can the LSP run a different model in production?</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It can, but it cannot get an approval through the gate unless the committed model also approves that input and the proof verifies. The residual gap is rejections that the committed model would have approved; reconciliation and sampled audits cover that, and we state it openly.</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Why not a TEE?</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TEEs are faster and cheaper, and a reasonable alternative backend. ZK removes hardware-vendor trust and is verifiable by anyone with a verification key. We design the verifier interface so a TEE attestation backend can be plugged in for very large models.</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What about latency?</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Scoring is unchanged. Proving is asynchronous and gates disbursal, which already waits on e-sign and mandate steps. Synchronous mode is offered for scorecards only.</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Does it work for XGBoost?</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 for small and medium ensembles with a public tree structure and private thresholds and leaves; we measured it. Large ensembles are on the roadmap via zkVMs and specialised forest provers.</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Does it prove the model is fair?</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No. Fairness and thresholds are policy decisions between lender and LSP. We make any agreed clause enforceable per decision, including excluded-feature clauses if they want them.</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Float versus quantised models?</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committed model is the quantised one; production serves that artefact. A signed parity report is part of registration.</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Can the LSP skip proving rejections?</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Yes, which is why decision notices and reconciliation exist, plus an optional prove-all mode. We list this as a known gap.</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What if your proof system has a bug?</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That is the central technical risk. We pin audited libraries, differentially test the circuit against a reference implementation, and plan an independent audit before production.</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Trusted setup?</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State the SRS source for the pinned EZKL version; if a lender rejects any setup assumption, a transparent STARK-based backend is the fallback at higher cost.</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How is this different from a blockchain audit trail?</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 log shows that a record was written. A proof shows that the committed model computed the recorded result under the agreed policy.</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What do you store about borrowers?</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Hashes, commitments, decision bit and identifiers. No weights, no raw features, and in managed mode only hashes from the binding adapter.</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Why would an LSP adopt this?</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Lenders mandate it in contracts, and it lets the LSP prove integrity without disclosure, which wins and keeps lender partnerships.</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Who pays for proving compute?</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LSP runs it; the contract allocates cost. Sampled mode and per-ticket thresholds keep economics sensible.</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What does RBI actually require here?</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Directions make the lender accountable for LSP conduct and require a defining contract; RBI's FREE-AI framework recommends model governance, audit and contractual safeguards. We help evidence those, and we do not claim it is mandated. (Confirm clause references before citing.)</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Does this leak the model through repeated outputs?</w:t>
            </w:r>
          </w:p>
        </w:tc>
        <w:tc>
          <w:tcPr>
            <w:tcW w:type="dxa" w:w="6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lender already sees decisions today. By default we expose only the decision bit, not the score, so ZK adds no new leakage.</w:t>
            </w:r>
          </w:p>
        </w:tc>
      </w:tr>
      <w:tr>
        <w:trPr>
          <w:cantSplit/>
        </w:trPr>
        <w:tc>
          <w:tcPr>
            <w:tcW w:type="dxa" w:w="3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What if you disappear?</w:t>
            </w:r>
          </w:p>
        </w:tc>
        <w:tc>
          <w:tcPr>
            <w:tcW w:type="dxa" w:w="6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Self-hosted mode runs fully in the lender's environment with a registry snapshot, and evidence packs verify offline.</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14. Risks, Limitations and Roadmap</w:t>
      </w:r>
    </w:p>
    <w:p>
      <w:pPr>
        <w:pStyle w:val="Heading2"/>
        <w:keepNext/>
        <w:spacing w:after="100" w:before="280"/>
      </w:pPr>
      <w:r>
        <w:rPr>
          <w:rFonts w:ascii="Calibri" w:cs="Calibri" w:eastAsia="Calibri" w:hAnsi="Calibri"/>
          <w:b/>
          <w:bCs/>
          <w:color w:val="1F7A8C"/>
          <w:sz w:val="26"/>
          <w:szCs w:val="26"/>
        </w:rPr>
        <w:t xml:space="preserve">14.1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838"/>
      </w:tblGrid>
      <w:tr>
        <w:trPr>
          <w:tblHeader/>
        </w:trPr>
        <w:tc>
          <w:tcPr>
            <w:tcW w:type="dxa" w:w="3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Risk</w:t>
            </w:r>
          </w:p>
        </w:tc>
        <w:tc>
          <w:tcPr>
            <w:tcW w:type="dxa" w:w="22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Impact</w:t>
            </w:r>
          </w:p>
        </w:tc>
        <w:tc>
          <w:tcPr>
            <w:tcW w:type="dxa" w:w="38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Mitigation</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EZKL operator support or performance insufficient for tree demo</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Demo scope shrinks</w:t>
            </w:r>
          </w:p>
        </w:tc>
        <w:tc>
          <w:tcPr>
            <w:tcW w:type="dxa" w:w="3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Prove the scorecard first; test GBDT early; fall back to a smaller ensemble or zkVM spike.</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Proof sizes and times larger than assumed</w:t>
            </w:r>
          </w:p>
        </w:tc>
        <w:tc>
          <w:tcPr>
            <w:tcW w:type="dxa" w:w="2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Cost and storage claims invalid</w:t>
            </w:r>
          </w:p>
        </w:tc>
        <w:tc>
          <w:tcPr>
            <w:tcW w:type="dxa" w:w="3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Measure early; retention policy; batch/sampled modes.</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Quantisation degrades model accuracy</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LSP resists adoption</w:t>
            </w:r>
          </w:p>
        </w:tc>
        <w:tc>
          <w:tcPr>
            <w:tcW w:type="dxa" w:w="3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Quantisation-aware training; parity report; scale tuning.</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Lender integration friction</w:t>
            </w:r>
          </w:p>
        </w:tc>
        <w:tc>
          <w:tcPr>
            <w:tcW w:type="dxa" w:w="2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Pilot stalls</w:t>
            </w:r>
          </w:p>
        </w:tc>
        <w:tc>
          <w:tcPr>
            <w:tcW w:type="dxa" w:w="3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One API call; managed node; monitor-only start.</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LSP resistance to cost and process</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Adoption slows</w:t>
            </w:r>
          </w:p>
        </w:tc>
        <w:tc>
          <w:tcPr>
            <w:tcW w:type="dxa" w:w="3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Lender mandate in contract; fee rebates; sampled mode.</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Regulatory interpretation shifts</w:t>
            </w:r>
          </w:p>
        </w:tc>
        <w:tc>
          <w:tcPr>
            <w:tcW w:type="dxa" w:w="2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Positioning changes</w:t>
            </w:r>
          </w:p>
        </w:tc>
        <w:tc>
          <w:tcPr>
            <w:tcW w:type="dxa" w:w="3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Stay policy-neutral; track RBI communications; engage early.</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Soundness or implementation bug</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Loss of trust</w:t>
            </w:r>
          </w:p>
        </w:tc>
        <w:tc>
          <w:tcPr>
            <w:tcW w:type="dxa" w:w="3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Audited libraries, differential tests, independent audit, bug bounty.</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Completeness gap (rejections not proved)</w:t>
            </w:r>
          </w:p>
        </w:tc>
        <w:tc>
          <w:tcPr>
            <w:tcW w:type="dxa" w:w="22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Residual risk</w:t>
            </w:r>
          </w:p>
        </w:tc>
        <w:tc>
          <w:tcPr>
            <w:tcW w:type="dxa" w:w="38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Decision notices, reconciliation, prove-all option, sampled audits.</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Over-claiming in the pitch</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Credibility loss</w:t>
            </w:r>
          </w:p>
        </w:tc>
        <w:tc>
          <w:tcPr>
            <w:tcW w:type="dxa" w:w="38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Use the Guarantee catalogue; verify regulatory citations.</w:t>
            </w:r>
          </w:p>
        </w:tc>
      </w:tr>
    </w:tbl>
    <w:p>
      <w:pPr>
        <w:spacing w:after="120"/>
      </w:pPr>
    </w:p>
    <w:p>
      <w:pPr>
        <w:pStyle w:val="Heading2"/>
        <w:keepNext/>
        <w:spacing w:after="100" w:before="280"/>
      </w:pPr>
      <w:r>
        <w:rPr>
          <w:rFonts w:ascii="Calibri" w:cs="Calibri" w:eastAsia="Calibri" w:hAnsi="Calibri"/>
          <w:b/>
          <w:bCs/>
          <w:color w:val="1F7A8C"/>
          <w:sz w:val="26"/>
          <w:szCs w:val="26"/>
        </w:rPr>
        <w:t xml:space="preserve">14.2 Known limitations (state them yourself)</w:t>
      </w:r>
    </w:p>
    <w:p>
      <w:pPr>
        <w:pStyle w:val="ListParagraph"/>
        <w:numPr>
          <w:ilvl w:val="0"/>
          <w:numId w:val="2"/>
        </w:numPr>
        <w:spacing w:after="70" w:line="264"/>
      </w:pPr>
      <w:r>
        <w:rPr>
          <w:rFonts w:ascii="Calibri" w:cs="Calibri" w:eastAsia="Calibri" w:hAnsi="Calibri"/>
          <w:sz w:val="21"/>
          <w:szCs w:val="21"/>
        </w:rPr>
        <w:t xml:space="preserve">Model architecture is visible (structure public); weights and parameters are hidden.</w:t>
      </w:r>
    </w:p>
    <w:p>
      <w:pPr>
        <w:pStyle w:val="ListParagraph"/>
        <w:numPr>
          <w:ilvl w:val="0"/>
          <w:numId w:val="2"/>
        </w:numPr>
        <w:spacing w:after="70" w:line="264"/>
      </w:pPr>
      <w:r>
        <w:rPr>
          <w:rFonts w:ascii="Calibri" w:cs="Calibri" w:eastAsia="Calibri" w:hAnsi="Calibri"/>
          <w:sz w:val="21"/>
          <w:szCs w:val="21"/>
        </w:rPr>
        <w:t xml:space="preserve">Proof of conformance, not of quality or fairness.</w:t>
      </w:r>
    </w:p>
    <w:p>
      <w:pPr>
        <w:pStyle w:val="ListParagraph"/>
        <w:numPr>
          <w:ilvl w:val="0"/>
          <w:numId w:val="2"/>
        </w:numPr>
        <w:spacing w:after="70" w:line="264"/>
      </w:pPr>
      <w:r>
        <w:rPr>
          <w:rFonts w:ascii="Calibri" w:cs="Calibri" w:eastAsia="Calibri" w:hAnsi="Calibri"/>
          <w:sz w:val="21"/>
          <w:szCs w:val="21"/>
        </w:rPr>
        <w:t xml:space="preserve">Class B (proprietary) features are attested, not proved, in v1.</w:t>
      </w:r>
    </w:p>
    <w:p>
      <w:pPr>
        <w:pStyle w:val="ListParagraph"/>
        <w:numPr>
          <w:ilvl w:val="0"/>
          <w:numId w:val="2"/>
        </w:numPr>
        <w:spacing w:after="70" w:line="264"/>
      </w:pPr>
      <w:r>
        <w:rPr>
          <w:rFonts w:ascii="Calibri" w:cs="Calibri" w:eastAsia="Calibri" w:hAnsi="Calibri"/>
          <w:sz w:val="21"/>
          <w:szCs w:val="21"/>
        </w:rPr>
        <w:t xml:space="preserve">Rejected applications may be unproved unless prove-all mode or reconciliation catches them.</w:t>
      </w:r>
    </w:p>
    <w:p>
      <w:pPr>
        <w:pStyle w:val="ListParagraph"/>
        <w:numPr>
          <w:ilvl w:val="0"/>
          <w:numId w:val="2"/>
        </w:numPr>
        <w:spacing w:after="70" w:line="264"/>
      </w:pPr>
      <w:r>
        <w:rPr>
          <w:rFonts w:ascii="Calibri" w:cs="Calibri" w:eastAsia="Calibri" w:hAnsi="Calibri"/>
          <w:sz w:val="21"/>
          <w:szCs w:val="21"/>
        </w:rPr>
        <w:t xml:space="preserve">Human overrides and training-data provenance are out of scope.</w:t>
      </w:r>
    </w:p>
    <w:p>
      <w:pPr>
        <w:pStyle w:val="ListParagraph"/>
        <w:numPr>
          <w:ilvl w:val="0"/>
          <w:numId w:val="2"/>
        </w:numPr>
        <w:spacing w:after="70" w:line="264"/>
      </w:pPr>
      <w:r>
        <w:rPr>
          <w:rFonts w:ascii="Calibri" w:cs="Calibri" w:eastAsia="Calibri" w:hAnsi="Calibri"/>
          <w:sz w:val="21"/>
          <w:szCs w:val="21"/>
        </w:rPr>
        <w:t xml:space="preserve">Large ensembles and deep networks are not practical in v1.</w:t>
      </w:r>
    </w:p>
    <w:p>
      <w:pPr>
        <w:pStyle w:val="Heading2"/>
        <w:keepNext/>
        <w:spacing w:after="100" w:before="280"/>
      </w:pPr>
      <w:r>
        <w:rPr>
          <w:rFonts w:ascii="Calibri" w:cs="Calibri" w:eastAsia="Calibri" w:hAnsi="Calibri"/>
          <w:b/>
          <w:bCs/>
          <w:color w:val="1F7A8C"/>
          <w:sz w:val="26"/>
          <w:szCs w:val="26"/>
        </w:rPr>
        <w:t xml:space="preserve">14.3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Phase</w:t>
            </w:r>
          </w:p>
        </w:tc>
        <w:tc>
          <w:tcPr>
            <w:tcW w:type="dxa" w:w="73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Scope</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Phase 0: Hackathon</w:t>
            </w:r>
          </w:p>
        </w:tc>
        <w:tc>
          <w:tcPr>
            <w:tcW w:type="dxa" w:w="7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Scorecard end to end, optional small GBDT, tamper demo, gate, ledger, benchmarks.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Phase 1: Pilot</w:t>
            </w:r>
          </w:p>
        </w:tc>
        <w:tc>
          <w:tcPr>
            <w:tcW w:type="dxa" w:w="7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Design-partner lender and LSP; monitor-only then gated; policy schema v1; evidence packs; reconciliation.</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Phase 2: Hardening</w:t>
            </w:r>
          </w:p>
        </w:tc>
        <w:tc>
          <w:tcPr>
            <w:tcW w:type="dxa" w:w="7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Signature verification and feature-pipeline proving in a zkVM; proof aggregation or recursion; sampled-mode analytics; independent circuit audit.</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Phase 3: Scale</w:t>
            </w:r>
          </w:p>
        </w:tc>
        <w:tc>
          <w:tcPr>
            <w:tcW w:type="dxa" w:w="73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Larger tree ensembles via specialised provers; multi-LSP lender consoles; TEE attestation as an alternative backend; extension to limit assignment, pricing and collections decisions.</w:t>
            </w:r>
          </w:p>
        </w:tc>
      </w:tr>
      <w:tr>
        <w:trPr>
          <w:cantSplit/>
        </w:trPr>
        <w:tc>
          <w:tcPr>
            <w:tcW w:type="dxa" w:w="23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Phase 4: Ecosystem</w:t>
            </w:r>
          </w:p>
        </w:tc>
        <w:tc>
          <w:tcPr>
            <w:tcW w:type="dxa" w:w="73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Industry standard for decision-proof schema; regulator-facing evidence formats; borrower-facing receipts.</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Term</w:t>
            </w:r>
          </w:p>
        </w:tc>
        <w:tc>
          <w:tcPr>
            <w:tcW w:type="dxa" w:w="76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Meaning</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AA</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Account Aggregator: consent-based, RBI-regulated financial data sharing network.</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DLA</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Digital Lending App.</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DPDP</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Digital Personal Data Protection Act 2023 and Rules 2025.</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FOIR</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Fixed Obligations to Income Ratio.</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GBDT</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Gradient-boosted decision trees (XGBoost, LightGBM, CatBoost).</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LSP</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Lending Service Provider.</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RE</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Regulated Entity: bank, NBFC and other RBI-regulated lender.</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ZKP</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Zero-knowledge proof: proves a statement is true without revealing the private inputs.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Witness</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The private values (weights, features, intermediates) satisfying a circuit's constraints for one run.</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Commitment</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Binding, hiding cryptographic fingerprint of private data.</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Circuit</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Arithmetic-constraint representation of a computation.</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PK / VK</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Proving key and verification key.</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SRS</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Structured reference string used by some proof systems (setup ceremony output).</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TEE</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Trusted execution environment (hardware enclave).</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zkVM</w:t>
            </w:r>
          </w:p>
        </w:tc>
        <w:tc>
          <w:tcPr>
            <w:tcW w:type="dxa" w:w="7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Zero-knowledge virtual machine that proves execution of ordinary programs.</w:t>
            </w:r>
          </w:p>
        </w:tc>
      </w:tr>
      <w:tr>
        <w:trPr>
          <w:cantSplit/>
        </w:trPr>
        <w:tc>
          <w:tcPr>
            <w:tcW w:type="dxa" w:w="2000"/>
            <w:tcBorders>
              <w:top w:val="single" w:color="BFC9D4" w:sz="4"/>
              <w:left w:val="single" w:color="BFC9D4" w:sz="4"/>
              <w:bottom w:val="single" w:color="BFC9D4" w:sz="4"/>
              <w:right w:val="single" w:color="BFC9D4" w:sz="4"/>
            </w:tcBorders>
            <w:shd w:fill="EAF1F8"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Poseidon</w:t>
            </w:r>
          </w:p>
        </w:tc>
        <w:tc>
          <w:tcPr>
            <w:tcW w:type="dxa" w:w="76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ZK-friendly hash function.</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Appendix B: Pre-Presentation Verification Checklist</w:t>
      </w:r>
    </w:p>
    <w:p>
      <w:pPr>
        <w:spacing w:after="120" w:line="276"/>
      </w:pPr>
      <w:r>
        <w:rPr>
          <w:rFonts w:ascii="Calibri" w:cs="Calibri" w:eastAsia="Calibri" w:hAnsi="Calibri"/>
          <w:sz w:val="21"/>
          <w:szCs w:val="21"/>
        </w:rPr>
        <w:t xml:space="preserve">Complete each item against primary sources before the finals. Anything unchecked should be presented as "our understanding" or omitted.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Item</w:t>
            </w:r>
          </w:p>
        </w:tc>
        <w:tc>
          <w:tcPr>
            <w:tcW w:type="dxa" w:w="603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30" w:line="250"/>
            </w:pPr>
            <w:r>
              <w:rPr>
                <w:rFonts w:ascii="Calibri" w:cs="Calibri" w:eastAsia="Calibri" w:hAnsi="Calibri"/>
                <w:b/>
                <w:bCs/>
                <w:color w:val="FFFFFF"/>
                <w:sz w:val="18"/>
                <w:szCs w:val="18"/>
              </w:rPr>
              <w:t xml:space="preserve">Check</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RBI Digital Lending Directions 2025 (RBI/2025-26/36)</w:t>
            </w:r>
          </w:p>
        </w:tc>
        <w:tc>
          <w:tcPr>
            <w:tcW w:type="dxa" w:w="6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Read the PDF. Note the exact paragraph numbers for the RE-LSP contract requirement, due diligence, RE responsibility, para 6 and para 17 dates.</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Algorithm auditability language</w:t>
            </w:r>
          </w:p>
        </w:tc>
        <w:tc>
          <w:tcPr>
            <w:tcW w:type="dxa" w:w="6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Confirm whether any binding provision exists in the 2025 Directions; otherwise cite the Working Group recommendation as a recommendation.</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FREE-AI report</w:t>
            </w:r>
          </w:p>
        </w:tc>
        <w:tc>
          <w:tcPr>
            <w:tcW w:type="dxa" w:w="6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Read the recommendation numbers for board-approved AI policy, model governance, audit and third-party contractual safeguards.</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DPDP Rules commencement dates</w:t>
            </w:r>
          </w:p>
        </w:tc>
        <w:tc>
          <w:tcPr>
            <w:tcW w:type="dxa" w:w="6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Confirm notification date (13 or 14 Nov 2025) and the phased dates (approximately 18 months for substantive obligations).</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RBI outsourcing / IT outsourcing directions</w:t>
            </w:r>
          </w:p>
        </w:tc>
        <w:tc>
          <w:tcPr>
            <w:tcW w:type="dxa" w:w="6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Confirm the current governing instrument and the relevant due-diligence paragraphs.</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AA signature and data formats</w:t>
            </w:r>
          </w:p>
        </w:tc>
        <w:tc>
          <w:tcPr>
            <w:tcW w:type="dxa" w:w="6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Confirm what signed artefacts the lender actually receives before promising input binding.</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bCs/>
                <w:sz w:val="18"/>
                <w:szCs w:val="18"/>
              </w:rPr>
              <w:t xml:space="preserve">EZKL version</w:t>
            </w:r>
          </w:p>
        </w:tc>
        <w:tc>
          <w:tcPr>
            <w:tcW w:type="dxa" w:w="6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Pin a version; confirm operator support for your model; confirm hashed-visibility behaviour (salting) and SRS source.</w:t>
            </w:r>
          </w:p>
        </w:tc>
      </w:tr>
      <w:tr>
        <w:trPr>
          <w:cantSplit/>
        </w:trPr>
        <w:tc>
          <w:tcPr>
            <w:tcW w:type="dxa" w:w="3600"/>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bCs/>
                <w:sz w:val="18"/>
                <w:szCs w:val="18"/>
              </w:rPr>
              <w:t xml:space="preserve">Benchmarks</w:t>
            </w:r>
          </w:p>
        </w:tc>
        <w:tc>
          <w:tcPr>
            <w:tcW w:type="dxa" w:w="6038"/>
            <w:tcBorders>
              <w:top w:val="single" w:color="BFC9D4" w:sz="4"/>
              <w:left w:val="single" w:color="BFC9D4" w:sz="4"/>
              <w:bottom w:val="single" w:color="BFC9D4" w:sz="4"/>
              <w:right w:val="single" w:color="BFC9D4" w:sz="4"/>
            </w:tcBorders>
            <w:shd w:fill="F7F9FB" w:color="auto" w:val="clear"/>
            <w:tcMar>
              <w:top w:type="dxa" w:w="60"/>
              <w:left w:type="dxa" w:w="100"/>
              <w:bottom w:type="dxa" w:w="60"/>
              <w:right w:type="dxa" w:w="100"/>
            </w:tcMar>
          </w:tcPr>
          <w:p>
            <w:pPr>
              <w:spacing w:after="30" w:line="250"/>
            </w:pPr>
            <w:r>
              <w:rPr>
                <w:rFonts w:ascii="Calibri" w:cs="Calibri" w:eastAsia="Calibri" w:hAnsi="Calibri"/>
                <w:b w:val="false"/>
                <w:bCs w:val="false"/>
                <w:sz w:val="18"/>
                <w:szCs w:val="18"/>
              </w:rPr>
              <w:t xml:space="preserve">Fill the table in 9.5 with your own measurements and state the hardware.</w:t>
            </w:r>
          </w:p>
        </w:tc>
      </w:tr>
    </w:tbl>
    <w:p>
      <w:pPr>
        <w:pStyle w:val="Heading1"/>
        <w:pageBreakBefore/>
        <w:pBdr>
          <w:bottom w:val="single" w:color="1F7A8C" w:sz="8" w:space="4"/>
        </w:pBdr>
        <w:spacing w:after="160" w:before="360"/>
      </w:pPr>
      <w:r>
        <w:rPr>
          <w:rFonts w:ascii="Calibri" w:cs="Calibri" w:eastAsia="Calibri" w:hAnsi="Calibri"/>
          <w:b/>
          <w:bCs/>
          <w:color w:val="1F3A5F"/>
          <w:sz w:val="34"/>
          <w:szCs w:val="34"/>
        </w:rPr>
        <w:t xml:space="preserve">Appendix C: Sources Consulted</w:t>
      </w:r>
    </w:p>
    <w:p>
      <w:pPr>
        <w:spacing w:after="120" w:line="276"/>
      </w:pPr>
      <w:r>
        <w:rPr>
          <w:rFonts w:ascii="Calibri" w:cs="Calibri" w:eastAsia="Calibri" w:hAnsi="Calibri"/>
          <w:sz w:val="21"/>
          <w:szCs w:val="21"/>
        </w:rPr>
        <w:t xml:space="preserve">Secondary sources were used for regulatory summaries. Verify against primary documents.</w:t>
      </w:r>
    </w:p>
    <w:p>
      <w:pPr>
        <w:pStyle w:val="ListParagraph"/>
        <w:numPr>
          <w:ilvl w:val="0"/>
          <w:numId w:val="2"/>
        </w:numPr>
        <w:spacing w:after="70" w:line="264"/>
      </w:pPr>
      <w:r>
        <w:rPr>
          <w:rFonts w:ascii="Calibri" w:cs="Calibri" w:eastAsia="Calibri" w:hAnsi="Calibri"/>
          <w:sz w:val="21"/>
          <w:szCs w:val="21"/>
        </w:rPr>
        <w:t xml:space="preserve">RBI circular index entry for the Reserve Bank of India (Digital Lending) Directions, 2025: rbi.org.in, BS_CircularIndexDisplay.aspx?Id=12848.</w:t>
      </w:r>
    </w:p>
    <w:p>
      <w:pPr>
        <w:pStyle w:val="ListParagraph"/>
        <w:numPr>
          <w:ilvl w:val="0"/>
          <w:numId w:val="2"/>
        </w:numPr>
        <w:spacing w:after="70" w:line="264"/>
      </w:pPr>
      <w:r>
        <w:rPr>
          <w:rFonts w:ascii="Calibri" w:cs="Calibri" w:eastAsia="Calibri" w:hAnsi="Calibri"/>
          <w:sz w:val="21"/>
          <w:szCs w:val="21"/>
        </w:rPr>
        <w:t xml:space="preserve">Digital Lending Directions, 2025 summaries: Mondaq / Legal500 (12 June 2025), Lawrbit, IndiaLaw (13 May 2025), Lexplosion.</w:t>
      </w:r>
    </w:p>
    <w:p>
      <w:pPr>
        <w:pStyle w:val="ListParagraph"/>
        <w:numPr>
          <w:ilvl w:val="0"/>
          <w:numId w:val="2"/>
        </w:numPr>
        <w:spacing w:after="70" w:line="264"/>
      </w:pPr>
      <w:r>
        <w:rPr>
          <w:rFonts w:ascii="Calibri" w:cs="Calibri" w:eastAsia="Calibri" w:hAnsi="Calibri"/>
          <w:sz w:val="21"/>
          <w:szCs w:val="21"/>
        </w:rPr>
        <w:t xml:space="preserve">Commentary on the AI gap in the 2025 Directions: IRCCL blog post (9 Aug 2025).</w:t>
      </w:r>
    </w:p>
    <w:p>
      <w:pPr>
        <w:pStyle w:val="ListParagraph"/>
        <w:numPr>
          <w:ilvl w:val="0"/>
          <w:numId w:val="2"/>
        </w:numPr>
        <w:spacing w:after="70" w:line="264"/>
      </w:pPr>
      <w:r>
        <w:rPr>
          <w:rFonts w:ascii="Calibri" w:cs="Calibri" w:eastAsia="Calibri" w:hAnsi="Calibri"/>
          <w:sz w:val="21"/>
          <w:szCs w:val="21"/>
        </w:rPr>
        <w:t xml:space="preserve">Working Group on Digital Lending algorithm-auditability recommendation, as reproduced in Arya.ai whitepaper material (2023).</w:t>
      </w:r>
    </w:p>
    <w:p>
      <w:pPr>
        <w:pStyle w:val="ListParagraph"/>
        <w:numPr>
          <w:ilvl w:val="0"/>
          <w:numId w:val="2"/>
        </w:numPr>
        <w:spacing w:after="70" w:line="264"/>
      </w:pPr>
      <w:r>
        <w:rPr>
          <w:rFonts w:ascii="Calibri" w:cs="Calibri" w:eastAsia="Calibri" w:hAnsi="Calibri"/>
          <w:sz w:val="21"/>
          <w:szCs w:val="21"/>
        </w:rPr>
        <w:t xml:space="preserve">FREE-AI framework (13 Aug 2025): law.asia, Outlook Money, Lexplosion / Mondaq, AuthBridge summaries.</w:t>
      </w:r>
    </w:p>
    <w:p>
      <w:pPr>
        <w:pStyle w:val="ListParagraph"/>
        <w:numPr>
          <w:ilvl w:val="0"/>
          <w:numId w:val="2"/>
        </w:numPr>
        <w:spacing w:after="70" w:line="264"/>
      </w:pPr>
      <w:r>
        <w:rPr>
          <w:rFonts w:ascii="Calibri" w:cs="Calibri" w:eastAsia="Calibri" w:hAnsi="Calibri"/>
          <w:sz w:val="21"/>
          <w:szCs w:val="21"/>
        </w:rPr>
        <w:t xml:space="preserve">DPDP Rules 2025: Storyboard18 (14 Nov 2025), AZB &amp; Partners, Khaitan &amp; Co, Hogan Lovells.</w:t>
      </w:r>
    </w:p>
    <w:p>
      <w:pPr>
        <w:pStyle w:val="ListParagraph"/>
        <w:numPr>
          <w:ilvl w:val="0"/>
          <w:numId w:val="2"/>
        </w:numPr>
        <w:spacing w:after="70" w:line="264"/>
      </w:pPr>
      <w:r>
        <w:rPr>
          <w:rFonts w:ascii="Calibri" w:cs="Calibri" w:eastAsia="Calibri" w:hAnsi="Calibri"/>
          <w:sz w:val="21"/>
          <w:szCs w:val="21"/>
        </w:rPr>
        <w:t xml:space="preserve">zkML benchmarks: "Bionetta: Efficient Client-Side Zero-Knowledge Machine Learning Proving" (arXiv 2510.06784); opp/ai (arXiv 2402.15006); community benchmark write-up on hackmd.io (Guy1m0).</w:t>
      </w:r>
    </w:p>
    <w:p>
      <w:pPr>
        <w:pStyle w:val="ListParagraph"/>
        <w:numPr>
          <w:ilvl w:val="0"/>
          <w:numId w:val="2"/>
        </w:numPr>
        <w:spacing w:after="70" w:line="264"/>
      </w:pPr>
      <w:r>
        <w:rPr>
          <w:rFonts w:ascii="Calibri" w:cs="Calibri" w:eastAsia="Calibri" w:hAnsi="Calibri"/>
          <w:sz w:val="21"/>
          <w:szCs w:val="21"/>
        </w:rPr>
        <w:t xml:space="preserve">Verifiable decision forests: "Scaling Intelligence: Verifiable Decision Forest Inference with Remainder", Modulus Labs, IACR ePrint 2026/1038.</w:t>
      </w: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LendProof | Engineering Proposal and PRD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1F7A8C"/>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2c6c561598564196e2c875763a1211f17ad0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LendProof Engineering Proposal and PRD</dc:title>
  <dc:creator>LendProof team</dc:creator>
  <cp:lastModifiedBy>Un-named</cp:lastModifiedBy>
  <cp:revision>1</cp:revision>
  <dcterms:created xsi:type="dcterms:W3CDTF">2026-10-20T09:02:35.703Z</dcterms:created>
  <dcterms:modified xsi:type="dcterms:W3CDTF">2026-10-20T09:02:35.703Z</dcterms:modified>
</cp:coreProperties>
</file>

<file path=docProps/custom.xml><?xml version="1.0" encoding="utf-8"?>
<Properties xmlns="http://schemas.openxmlformats.org/officeDocument/2006/custom-properties" xmlns:vt="http://schemas.openxmlformats.org/officeDocument/2006/docPropsVTypes"/>
</file>