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2304A"/>
          <w:sz w:val="50"/>
        </w:rPr>
        <w:t>PERSON 5 — DETAILED FRD</w:t>
      </w:r>
    </w:p>
    <w:p>
      <w:pPr>
        <w:jc w:val="center"/>
      </w:pPr>
      <w:r>
        <w:rPr>
          <w:b/>
          <w:color w:val="176B87"/>
          <w:sz w:val="28"/>
        </w:rPr>
        <w:t>AI-Powered Personal Health Copilot</w:t>
      </w:r>
    </w:p>
    <w:p>
      <w:pPr>
        <w:jc w:val="center"/>
      </w:pPr>
      <w:r>
        <w:rPr>
          <w:sz w:val="20"/>
        </w:rPr>
        <w:t>Person 5: DevOps, Integration, QA &amp; Release Lead | 24-hour hackathon implementation specification</w:t>
      </w:r>
    </w:p>
    <w:p>
      <w:r>
        <w:t>Make the inherited repository reproducible, securely configured, externally accessible, resilient enough for the demo, and fully integrated. Own release readiness and evidence that the product works—not every feature's implementation.</w:t>
      </w:r>
    </w:p>
    <w:p>
      <w:r>
        <w:rPr>
          <w:b/>
        </w:rPr>
        <w:t xml:space="preserve">Project baseline: </w:t>
      </w:r>
      <w:r>
        <w:t>Extend the checked-out Health Assistant repository. Verify its actual architecture, licence, routes, data model, and working features before implementing. Reuse existing functionality rather than building duplicate subsystems.</w:t>
      </w:r>
    </w:p>
    <w:p>
      <w:r>
        <w:rPr>
          <w:b/>
        </w:rPr>
        <w:t xml:space="preserve">Shared product requirements: </w:t>
      </w:r>
      <w:r>
        <w:t>synthetic/de-identified demo data only; English + Hindi UI and summaries; source traceability; user review for uncertain medical facts; FHIR-style JSON export; mock ABHA link/import clearly labelled as simulation; HTTPS-accessible demo; Azure credits capped at approximately US$100 subject to eligibility and current pricing.</w:t>
      </w:r>
    </w:p>
    <w:p>
      <w:r>
        <w:br w:type="page"/>
      </w:r>
    </w:p>
    <w:p>
      <w:pPr>
        <w:pStyle w:val="Heading1"/>
      </w:pPr>
      <w:r>
        <w:t>1. Role mission and boundaries</w:t>
      </w:r>
    </w:p>
    <w:p>
      <w:r>
        <w:t>Make the inherited repository reproducible, securely configured, externally accessible, resilient enough for the demo, and fully integrated. Own release readiness and evidence that the product works—not every feature's implementation.</w:t>
      </w:r>
    </w:p>
    <w:p>
      <w:r>
        <w:t>This owner is accountable for the deliverables and acceptance checks below. Cross-cutting changes require agreement with the named dependent owners; do not duplicate an existing Health Assistant subsystem without first proving it is missing or unsuitable.</w:t>
      </w:r>
    </w:p>
    <w:p>
      <w:pPr>
        <w:pStyle w:val="Heading1"/>
      </w:pPr>
      <w:r>
        <w:t>2. Functional scope</w:t>
      </w:r>
    </w:p>
    <w:p>
      <w:pPr>
        <w:pStyle w:val="ListBullet"/>
        <w:spacing w:after="20"/>
      </w:pPr>
      <w:r>
        <w:t>Clone/run base repository unchanged; pin a known-good commit and verify licence/attribution before changes.</w:t>
      </w:r>
    </w:p>
    <w:p>
      <w:pPr>
        <w:pStyle w:val="ListBullet"/>
        <w:spacing w:after="20"/>
      </w:pPr>
      <w:r>
        <w:t>Document actual runtime/service topology and reuse existing Docker/Compose/deployment setup where possible.</w:t>
      </w:r>
    </w:p>
    <w:p>
      <w:pPr>
        <w:pStyle w:val="ListBullet"/>
        <w:spacing w:after="20"/>
      </w:pPr>
      <w:r>
        <w:t>Create safe environment template; keep API keys and credentials server-side and out of Git.</w:t>
      </w:r>
    </w:p>
    <w:p>
      <w:pPr>
        <w:pStyle w:val="ListBullet"/>
        <w:spacing w:after="20"/>
      </w:pPr>
      <w:r>
        <w:t>Choose one primary deployment target after checking Azure credit eligibility and current SKU costs; retain a tested fallback if practical.</w:t>
      </w:r>
    </w:p>
    <w:p>
      <w:pPr>
        <w:pStyle w:val="ListBullet"/>
        <w:spacing w:after="20"/>
      </w:pPr>
      <w:r>
        <w:t>Deploy HTTPS with persistent storage/database, health checks, restart behavior, bounded logs, and a backup/restore procedure.</w:t>
      </w:r>
    </w:p>
    <w:p>
      <w:pPr>
        <w:pStyle w:val="ListBullet"/>
        <w:spacing w:after="20"/>
      </w:pPr>
      <w:r>
        <w:t>Create synthetic demo documents/fixtures and run integration smoke tests across upload, OCR, review, summary, timeline, FHIR export, and mock ABHA import.</w:t>
      </w:r>
    </w:p>
    <w:p>
      <w:pPr>
        <w:pStyle w:val="ListBullet"/>
        <w:spacing w:after="20"/>
      </w:pPr>
      <w:r>
        <w:t>Track bugs, freeze scope near the end, prepare architecture diagram, README, slides, demo script, and cleanup list.</w:t>
      </w:r>
    </w:p>
    <w:p>
      <w:pPr>
        <w:pStyle w:val="Heading1"/>
      </w:pPr>
      <w:r>
        <w:t>3. Required deliverables</w:t>
      </w:r>
    </w:p>
    <w:tbl>
      <w:tblPr>
        <w:tblStyle w:val="TableGrid"/>
        <w:tblW w:type="auto" w:w="0"/>
        <w:jc w:val="center"/>
        <w:tblLook w:firstColumn="1" w:firstRow="1" w:lastColumn="0" w:lastRow="0" w:noHBand="0" w:noVBand="1" w:val="04A0"/>
      </w:tblPr>
      <w:tblGrid>
        <w:gridCol w:w="3408"/>
        <w:gridCol w:w="3408"/>
        <w:gridCol w:w="3408"/>
      </w:tblGrid>
      <w:tr>
        <w:tc>
          <w:tcPr>
            <w:tcW w:type="dxa" w:w="792"/>
            <w:shd w:fill="12304A"/>
          </w:tcPr>
          <w:p>
            <w:r>
              <w:rPr>
                <w:b/>
                <w:color w:val="FFFFFF"/>
                <w:sz w:val="16"/>
              </w:rPr>
              <w:t>ID</w:t>
            </w:r>
          </w:p>
        </w:tc>
        <w:tc>
          <w:tcPr>
            <w:tcW w:type="dxa" w:w="2376"/>
            <w:shd w:fill="12304A"/>
          </w:tcPr>
          <w:p>
            <w:r>
              <w:rPr>
                <w:b/>
                <w:color w:val="FFFFFF"/>
                <w:sz w:val="16"/>
              </w:rPr>
              <w:t>Deliverable</w:t>
            </w:r>
          </w:p>
        </w:tc>
        <w:tc>
          <w:tcPr>
            <w:tcW w:type="dxa" w:w="6120"/>
            <w:shd w:fill="12304A"/>
          </w:tcPr>
          <w:p>
            <w:r>
              <w:rPr>
                <w:b/>
                <w:color w:val="FFFFFF"/>
                <w:sz w:val="16"/>
              </w:rPr>
              <w:t>Definition of done</w:t>
            </w:r>
          </w:p>
        </w:tc>
      </w:tr>
      <w:tr>
        <w:tc>
          <w:tcPr>
            <w:tcW w:type="dxa" w:w="792"/>
            <w:vAlign w:val="center"/>
          </w:tcPr>
          <w:p>
            <w:pPr>
              <w:spacing w:after="20"/>
            </w:pPr>
            <w:r>
              <w:rPr>
                <w:sz w:val="15"/>
              </w:rPr>
              <w:t>D1</w:t>
            </w:r>
          </w:p>
        </w:tc>
        <w:tc>
          <w:tcPr>
            <w:tcW w:type="dxa" w:w="2376"/>
            <w:vAlign w:val="center"/>
          </w:tcPr>
          <w:p>
            <w:pPr>
              <w:spacing w:after="20"/>
            </w:pPr>
            <w:r>
              <w:rPr>
                <w:sz w:val="15"/>
              </w:rPr>
              <w:t>Baseline and architecture note</w:t>
            </w:r>
          </w:p>
        </w:tc>
        <w:tc>
          <w:tcPr>
            <w:tcW w:type="dxa" w:w="6120"/>
            <w:vAlign w:val="center"/>
          </w:tcPr>
          <w:p>
            <w:pPr>
              <w:spacing w:after="20"/>
            </w:pPr>
            <w:r>
              <w:rPr>
                <w:sz w:val="15"/>
              </w:rPr>
              <w:t>Pinned commit, licence note, service map, local run instructions.</w:t>
            </w:r>
          </w:p>
        </w:tc>
      </w:tr>
      <w:tr>
        <w:tc>
          <w:tcPr>
            <w:tcW w:type="dxa" w:w="792"/>
            <w:vAlign w:val="center"/>
          </w:tcPr>
          <w:p>
            <w:pPr>
              <w:spacing w:after="20"/>
            </w:pPr>
            <w:r>
              <w:rPr>
                <w:sz w:val="15"/>
              </w:rPr>
              <w:t>D2</w:t>
            </w:r>
          </w:p>
        </w:tc>
        <w:tc>
          <w:tcPr>
            <w:tcW w:type="dxa" w:w="2376"/>
            <w:vAlign w:val="center"/>
          </w:tcPr>
          <w:p>
            <w:pPr>
              <w:spacing w:after="20"/>
            </w:pPr>
            <w:r>
              <w:rPr>
                <w:sz w:val="15"/>
              </w:rPr>
              <w:t>Reproducible environment</w:t>
            </w:r>
          </w:p>
        </w:tc>
        <w:tc>
          <w:tcPr>
            <w:tcW w:type="dxa" w:w="6120"/>
            <w:vAlign w:val="center"/>
          </w:tcPr>
          <w:p>
            <w:pPr>
              <w:spacing w:after="20"/>
            </w:pPr>
            <w:r>
              <w:rPr>
                <w:sz w:val="15"/>
              </w:rPr>
              <w:t>Compose/env configuration or repo-native deployment; health checks and persistent volumes.</w:t>
            </w:r>
          </w:p>
        </w:tc>
      </w:tr>
      <w:tr>
        <w:tc>
          <w:tcPr>
            <w:tcW w:type="dxa" w:w="792"/>
            <w:vAlign w:val="center"/>
          </w:tcPr>
          <w:p>
            <w:pPr>
              <w:spacing w:after="20"/>
            </w:pPr>
            <w:r>
              <w:rPr>
                <w:sz w:val="15"/>
              </w:rPr>
              <w:t>D3</w:t>
            </w:r>
          </w:p>
        </w:tc>
        <w:tc>
          <w:tcPr>
            <w:tcW w:type="dxa" w:w="2376"/>
            <w:vAlign w:val="center"/>
          </w:tcPr>
          <w:p>
            <w:pPr>
              <w:spacing w:after="20"/>
            </w:pPr>
            <w:r>
              <w:rPr>
                <w:sz w:val="15"/>
              </w:rPr>
              <w:t>Public demo deployment</w:t>
            </w:r>
          </w:p>
        </w:tc>
        <w:tc>
          <w:tcPr>
            <w:tcW w:type="dxa" w:w="6120"/>
            <w:vAlign w:val="center"/>
          </w:tcPr>
          <w:p>
            <w:pPr>
              <w:spacing w:after="20"/>
            </w:pPr>
            <w:r>
              <w:rPr>
                <w:sz w:val="15"/>
              </w:rPr>
              <w:t>HTTPS URL, external access verification, restart test, seeded demo account/data.</w:t>
            </w:r>
          </w:p>
        </w:tc>
      </w:tr>
      <w:tr>
        <w:tc>
          <w:tcPr>
            <w:tcW w:type="dxa" w:w="792"/>
            <w:vAlign w:val="center"/>
          </w:tcPr>
          <w:p>
            <w:pPr>
              <w:spacing w:after="20"/>
            </w:pPr>
            <w:r>
              <w:rPr>
                <w:sz w:val="15"/>
              </w:rPr>
              <w:t>D4</w:t>
            </w:r>
          </w:p>
        </w:tc>
        <w:tc>
          <w:tcPr>
            <w:tcW w:type="dxa" w:w="2376"/>
            <w:vAlign w:val="center"/>
          </w:tcPr>
          <w:p>
            <w:pPr>
              <w:spacing w:after="20"/>
            </w:pPr>
            <w:r>
              <w:rPr>
                <w:sz w:val="15"/>
              </w:rPr>
              <w:t>Security checklist</w:t>
            </w:r>
          </w:p>
        </w:tc>
        <w:tc>
          <w:tcPr>
            <w:tcW w:type="dxa" w:w="6120"/>
            <w:vAlign w:val="center"/>
          </w:tcPr>
          <w:p>
            <w:pPr>
              <w:spacing w:after="20"/>
            </w:pPr>
            <w:r>
              <w:rPr>
                <w:sz w:val="15"/>
              </w:rPr>
              <w:t>No keys in Git/frontend/logs; only synthetic records; upload limits and exposed ports checked.</w:t>
            </w:r>
          </w:p>
        </w:tc>
      </w:tr>
      <w:tr>
        <w:tc>
          <w:tcPr>
            <w:tcW w:type="dxa" w:w="792"/>
            <w:vAlign w:val="center"/>
          </w:tcPr>
          <w:p>
            <w:pPr>
              <w:spacing w:after="20"/>
            </w:pPr>
            <w:r>
              <w:rPr>
                <w:sz w:val="15"/>
              </w:rPr>
              <w:t>D5</w:t>
            </w:r>
          </w:p>
        </w:tc>
        <w:tc>
          <w:tcPr>
            <w:tcW w:type="dxa" w:w="2376"/>
            <w:vAlign w:val="center"/>
          </w:tcPr>
          <w:p>
            <w:pPr>
              <w:spacing w:after="20"/>
            </w:pPr>
            <w:r>
              <w:rPr>
                <w:sz w:val="15"/>
              </w:rPr>
              <w:t>Integration QA</w:t>
            </w:r>
          </w:p>
        </w:tc>
        <w:tc>
          <w:tcPr>
            <w:tcW w:type="dxa" w:w="6120"/>
            <w:vAlign w:val="center"/>
          </w:tcPr>
          <w:p>
            <w:pPr>
              <w:spacing w:after="20"/>
            </w:pPr>
            <w:r>
              <w:rPr>
                <w:sz w:val="15"/>
              </w:rPr>
              <w:t>Automated/manual smoke checklist, bug triage, error-path checks, test report.</w:t>
            </w:r>
          </w:p>
        </w:tc>
      </w:tr>
      <w:tr>
        <w:tc>
          <w:tcPr>
            <w:tcW w:type="dxa" w:w="792"/>
            <w:vAlign w:val="center"/>
          </w:tcPr>
          <w:p>
            <w:pPr>
              <w:spacing w:after="20"/>
            </w:pPr>
            <w:r>
              <w:rPr>
                <w:sz w:val="15"/>
              </w:rPr>
              <w:t>D6</w:t>
            </w:r>
          </w:p>
        </w:tc>
        <w:tc>
          <w:tcPr>
            <w:tcW w:type="dxa" w:w="2376"/>
            <w:vAlign w:val="center"/>
          </w:tcPr>
          <w:p>
            <w:pPr>
              <w:spacing w:after="20"/>
            </w:pPr>
            <w:r>
              <w:rPr>
                <w:sz w:val="15"/>
              </w:rPr>
              <w:t>Submission package</w:t>
            </w:r>
          </w:p>
        </w:tc>
        <w:tc>
          <w:tcPr>
            <w:tcW w:type="dxa" w:w="6120"/>
            <w:vAlign w:val="center"/>
          </w:tcPr>
          <w:p>
            <w:pPr>
              <w:spacing w:after="20"/>
            </w:pPr>
            <w:r>
              <w:rPr>
                <w:sz w:val="15"/>
              </w:rPr>
              <w:t>Architecture diagram, README, test metrics, demo script/slides, known limitations, cleanup steps.</w:t>
            </w:r>
          </w:p>
        </w:tc>
      </w:tr>
    </w:tbl>
    <w:p/>
    <w:p>
      <w:pPr>
        <w:pStyle w:val="Heading1"/>
      </w:pPr>
      <w:r>
        <w:t>4. Acceptance criteria</w:t>
      </w:r>
    </w:p>
    <w:tbl>
      <w:tblPr>
        <w:tblStyle w:val="TableGrid"/>
        <w:tblW w:type="auto" w:w="0"/>
        <w:jc w:val="center"/>
        <w:tblLook w:firstColumn="1" w:firstRow="1" w:lastColumn="0" w:lastRow="0" w:noHBand="0" w:noVBand="1" w:val="04A0"/>
      </w:tblPr>
      <w:tblGrid>
        <w:gridCol w:w="3408"/>
        <w:gridCol w:w="3408"/>
        <w:gridCol w:w="3408"/>
      </w:tblGrid>
      <w:tr>
        <w:tc>
          <w:tcPr>
            <w:tcW w:type="dxa" w:w="1008"/>
            <w:shd w:fill="12304A"/>
          </w:tcPr>
          <w:p>
            <w:r>
              <w:rPr>
                <w:b/>
                <w:color w:val="FFFFFF"/>
                <w:sz w:val="16"/>
              </w:rPr>
              <w:t>ID</w:t>
            </w:r>
          </w:p>
        </w:tc>
        <w:tc>
          <w:tcPr>
            <w:tcW w:type="dxa" w:w="2376"/>
            <w:shd w:fill="12304A"/>
          </w:tcPr>
          <w:p>
            <w:r>
              <w:rPr>
                <w:b/>
                <w:color w:val="FFFFFF"/>
                <w:sz w:val="16"/>
              </w:rPr>
              <w:t>Scenario</w:t>
            </w:r>
          </w:p>
        </w:tc>
        <w:tc>
          <w:tcPr>
            <w:tcW w:type="dxa" w:w="5904"/>
            <w:shd w:fill="12304A"/>
          </w:tcPr>
          <w:p>
            <w:r>
              <w:rPr>
                <w:b/>
                <w:color w:val="FFFFFF"/>
                <w:sz w:val="16"/>
              </w:rPr>
              <w:t>Pass condition</w:t>
            </w:r>
          </w:p>
        </w:tc>
      </w:tr>
      <w:tr>
        <w:tc>
          <w:tcPr>
            <w:tcW w:type="dxa" w:w="1008"/>
            <w:vAlign w:val="center"/>
          </w:tcPr>
          <w:p>
            <w:pPr>
              <w:spacing w:after="20"/>
            </w:pPr>
            <w:r>
              <w:rPr>
                <w:sz w:val="15"/>
              </w:rPr>
              <w:t>P5-01</w:t>
            </w:r>
          </w:p>
        </w:tc>
        <w:tc>
          <w:tcPr>
            <w:tcW w:type="dxa" w:w="2376"/>
            <w:vAlign w:val="center"/>
          </w:tcPr>
          <w:p>
            <w:pPr>
              <w:spacing w:after="20"/>
            </w:pPr>
            <w:r>
              <w:rPr>
                <w:sz w:val="15"/>
              </w:rPr>
              <w:t>Clean start</w:t>
            </w:r>
          </w:p>
        </w:tc>
        <w:tc>
          <w:tcPr>
            <w:tcW w:type="dxa" w:w="5904"/>
            <w:vAlign w:val="center"/>
          </w:tcPr>
          <w:p>
            <w:pPr>
              <w:spacing w:after="20"/>
            </w:pPr>
            <w:r>
              <w:rPr>
                <w:sz w:val="15"/>
              </w:rPr>
              <w:t>A teammate can start the app from documented instructions without undocumented local state.</w:t>
            </w:r>
          </w:p>
        </w:tc>
      </w:tr>
      <w:tr>
        <w:tc>
          <w:tcPr>
            <w:tcW w:type="dxa" w:w="1008"/>
            <w:vAlign w:val="center"/>
          </w:tcPr>
          <w:p>
            <w:pPr>
              <w:spacing w:after="20"/>
            </w:pPr>
            <w:r>
              <w:rPr>
                <w:sz w:val="15"/>
              </w:rPr>
              <w:t>P5-02</w:t>
            </w:r>
          </w:p>
        </w:tc>
        <w:tc>
          <w:tcPr>
            <w:tcW w:type="dxa" w:w="2376"/>
            <w:vAlign w:val="center"/>
          </w:tcPr>
          <w:p>
            <w:pPr>
              <w:spacing w:after="20"/>
            </w:pPr>
            <w:r>
              <w:rPr>
                <w:sz w:val="15"/>
              </w:rPr>
              <w:t>External URL</w:t>
            </w:r>
          </w:p>
        </w:tc>
        <w:tc>
          <w:tcPr>
            <w:tcW w:type="dxa" w:w="5904"/>
            <w:vAlign w:val="center"/>
          </w:tcPr>
          <w:p>
            <w:pPr>
              <w:spacing w:after="20"/>
            </w:pPr>
            <w:r>
              <w:rPr>
                <w:sz w:val="15"/>
              </w:rPr>
              <w:t>Demo is reachable over HTTPS from a network/device outside the server's LAN.</w:t>
            </w:r>
          </w:p>
        </w:tc>
      </w:tr>
      <w:tr>
        <w:tc>
          <w:tcPr>
            <w:tcW w:type="dxa" w:w="1008"/>
            <w:vAlign w:val="center"/>
          </w:tcPr>
          <w:p>
            <w:pPr>
              <w:spacing w:after="20"/>
            </w:pPr>
            <w:r>
              <w:rPr>
                <w:sz w:val="15"/>
              </w:rPr>
              <w:t>P5-03</w:t>
            </w:r>
          </w:p>
        </w:tc>
        <w:tc>
          <w:tcPr>
            <w:tcW w:type="dxa" w:w="2376"/>
            <w:vAlign w:val="center"/>
          </w:tcPr>
          <w:p>
            <w:pPr>
              <w:spacing w:after="20"/>
            </w:pPr>
            <w:r>
              <w:rPr>
                <w:sz w:val="15"/>
              </w:rPr>
              <w:t>Persistence</w:t>
            </w:r>
          </w:p>
        </w:tc>
        <w:tc>
          <w:tcPr>
            <w:tcW w:type="dxa" w:w="5904"/>
            <w:vAlign w:val="center"/>
          </w:tcPr>
          <w:p>
            <w:pPr>
              <w:spacing w:after="20"/>
            </w:pPr>
            <w:r>
              <w:rPr>
                <w:sz w:val="15"/>
              </w:rPr>
              <w:t>Data survives a restart and backup/restore procedure is documented/tested.</w:t>
            </w:r>
          </w:p>
        </w:tc>
      </w:tr>
      <w:tr>
        <w:tc>
          <w:tcPr>
            <w:tcW w:type="dxa" w:w="1008"/>
            <w:vAlign w:val="center"/>
          </w:tcPr>
          <w:p>
            <w:pPr>
              <w:spacing w:after="20"/>
            </w:pPr>
            <w:r>
              <w:rPr>
                <w:sz w:val="15"/>
              </w:rPr>
              <w:t>P5-04</w:t>
            </w:r>
          </w:p>
        </w:tc>
        <w:tc>
          <w:tcPr>
            <w:tcW w:type="dxa" w:w="2376"/>
            <w:vAlign w:val="center"/>
          </w:tcPr>
          <w:p>
            <w:pPr>
              <w:spacing w:after="20"/>
            </w:pPr>
            <w:r>
              <w:rPr>
                <w:sz w:val="15"/>
              </w:rPr>
              <w:t>Secret hygiene</w:t>
            </w:r>
          </w:p>
        </w:tc>
        <w:tc>
          <w:tcPr>
            <w:tcW w:type="dxa" w:w="5904"/>
            <w:vAlign w:val="center"/>
          </w:tcPr>
          <w:p>
            <w:pPr>
              <w:spacing w:after="20"/>
            </w:pPr>
            <w:r>
              <w:rPr>
                <w:sz w:val="15"/>
              </w:rPr>
              <w:t>No API keys in frontend bundle, tracked files, logs, or screenshots.</w:t>
            </w:r>
          </w:p>
        </w:tc>
      </w:tr>
      <w:tr>
        <w:tc>
          <w:tcPr>
            <w:tcW w:type="dxa" w:w="1008"/>
            <w:vAlign w:val="center"/>
          </w:tcPr>
          <w:p>
            <w:pPr>
              <w:spacing w:after="20"/>
            </w:pPr>
            <w:r>
              <w:rPr>
                <w:sz w:val="15"/>
              </w:rPr>
              <w:t>P5-05</w:t>
            </w:r>
          </w:p>
        </w:tc>
        <w:tc>
          <w:tcPr>
            <w:tcW w:type="dxa" w:w="2376"/>
            <w:vAlign w:val="center"/>
          </w:tcPr>
          <w:p>
            <w:pPr>
              <w:spacing w:after="20"/>
            </w:pPr>
            <w:r>
              <w:rPr>
                <w:sz w:val="15"/>
              </w:rPr>
              <w:t>Golden path</w:t>
            </w:r>
          </w:p>
        </w:tc>
        <w:tc>
          <w:tcPr>
            <w:tcW w:type="dxa" w:w="5904"/>
            <w:vAlign w:val="center"/>
          </w:tcPr>
          <w:p>
            <w:pPr>
              <w:spacing w:after="20"/>
            </w:pPr>
            <w:r>
              <w:rPr>
                <w:sz w:val="15"/>
              </w:rPr>
              <w:t>Upload → extraction → review → English/Hindi summary → timeline works on seeded synthetic docs.</w:t>
            </w:r>
          </w:p>
        </w:tc>
      </w:tr>
      <w:tr>
        <w:tc>
          <w:tcPr>
            <w:tcW w:type="dxa" w:w="1008"/>
            <w:vAlign w:val="center"/>
          </w:tcPr>
          <w:p>
            <w:pPr>
              <w:spacing w:after="20"/>
            </w:pPr>
            <w:r>
              <w:rPr>
                <w:sz w:val="15"/>
              </w:rPr>
              <w:t>P5-06</w:t>
            </w:r>
          </w:p>
        </w:tc>
        <w:tc>
          <w:tcPr>
            <w:tcW w:type="dxa" w:w="2376"/>
            <w:vAlign w:val="center"/>
          </w:tcPr>
          <w:p>
            <w:pPr>
              <w:spacing w:after="20"/>
            </w:pPr>
            <w:r>
              <w:rPr>
                <w:sz w:val="15"/>
              </w:rPr>
              <w:t>Bonus paths</w:t>
            </w:r>
          </w:p>
        </w:tc>
        <w:tc>
          <w:tcPr>
            <w:tcW w:type="dxa" w:w="5904"/>
            <w:vAlign w:val="center"/>
          </w:tcPr>
          <w:p>
            <w:pPr>
              <w:spacing w:after="20"/>
            </w:pPr>
            <w:r>
              <w:rPr>
                <w:sz w:val="15"/>
              </w:rPr>
              <w:t>FHIR export and mock ABHA import work in the deployed environment.</w:t>
            </w:r>
          </w:p>
        </w:tc>
      </w:tr>
      <w:tr>
        <w:tc>
          <w:tcPr>
            <w:tcW w:type="dxa" w:w="1008"/>
            <w:vAlign w:val="center"/>
          </w:tcPr>
          <w:p>
            <w:pPr>
              <w:spacing w:after="20"/>
            </w:pPr>
            <w:r>
              <w:rPr>
                <w:sz w:val="15"/>
              </w:rPr>
              <w:t>P5-07</w:t>
            </w:r>
          </w:p>
        </w:tc>
        <w:tc>
          <w:tcPr>
            <w:tcW w:type="dxa" w:w="2376"/>
            <w:vAlign w:val="center"/>
          </w:tcPr>
          <w:p>
            <w:pPr>
              <w:spacing w:after="20"/>
            </w:pPr>
            <w:r>
              <w:rPr>
                <w:sz w:val="15"/>
              </w:rPr>
              <w:t>Provider outage</w:t>
            </w:r>
          </w:p>
        </w:tc>
        <w:tc>
          <w:tcPr>
            <w:tcW w:type="dxa" w:w="5904"/>
            <w:vAlign w:val="center"/>
          </w:tcPr>
          <w:p>
            <w:pPr>
              <w:spacing w:after="20"/>
            </w:pPr>
            <w:r>
              <w:rPr>
                <w:sz w:val="15"/>
              </w:rPr>
              <w:t>Demo can show stored results or seeded fallback when provider is unavailable.</w:t>
            </w:r>
          </w:p>
        </w:tc>
      </w:tr>
      <w:tr>
        <w:tc>
          <w:tcPr>
            <w:tcW w:type="dxa" w:w="1008"/>
            <w:vAlign w:val="center"/>
          </w:tcPr>
          <w:p>
            <w:pPr>
              <w:spacing w:after="20"/>
            </w:pPr>
            <w:r>
              <w:rPr>
                <w:sz w:val="15"/>
              </w:rPr>
              <w:t>P5-08</w:t>
            </w:r>
          </w:p>
        </w:tc>
        <w:tc>
          <w:tcPr>
            <w:tcW w:type="dxa" w:w="2376"/>
            <w:vAlign w:val="center"/>
          </w:tcPr>
          <w:p>
            <w:pPr>
              <w:spacing w:after="20"/>
            </w:pPr>
            <w:r>
              <w:rPr>
                <w:sz w:val="15"/>
              </w:rPr>
              <w:t>Cost guardrail</w:t>
            </w:r>
          </w:p>
        </w:tc>
        <w:tc>
          <w:tcPr>
            <w:tcW w:type="dxa" w:w="5904"/>
            <w:vAlign w:val="center"/>
          </w:tcPr>
          <w:p>
            <w:pPr>
              <w:spacing w:after="20"/>
            </w:pPr>
            <w:r>
              <w:rPr>
                <w:sz w:val="15"/>
              </w:rPr>
              <w:t>Credit eligibility checked, resources tagged, budget alert configured if available, cleanup owner assigned.</w:t>
            </w:r>
          </w:p>
        </w:tc>
      </w:tr>
      <w:tr>
        <w:tc>
          <w:tcPr>
            <w:tcW w:type="dxa" w:w="1008"/>
            <w:vAlign w:val="center"/>
          </w:tcPr>
          <w:p>
            <w:pPr>
              <w:spacing w:after="20"/>
            </w:pPr>
            <w:r>
              <w:rPr>
                <w:sz w:val="15"/>
              </w:rPr>
              <w:t>P5-09</w:t>
            </w:r>
          </w:p>
        </w:tc>
        <w:tc>
          <w:tcPr>
            <w:tcW w:type="dxa" w:w="2376"/>
            <w:vAlign w:val="center"/>
          </w:tcPr>
          <w:p>
            <w:pPr>
              <w:spacing w:after="20"/>
            </w:pPr>
            <w:r>
              <w:rPr>
                <w:sz w:val="15"/>
              </w:rPr>
              <w:t>Release freeze</w:t>
            </w:r>
          </w:p>
        </w:tc>
        <w:tc>
          <w:tcPr>
            <w:tcW w:type="dxa" w:w="5904"/>
            <w:vAlign w:val="center"/>
          </w:tcPr>
          <w:p>
            <w:pPr>
              <w:spacing w:after="20"/>
            </w:pPr>
            <w:r>
              <w:rPr>
                <w:sz w:val="15"/>
              </w:rPr>
              <w:t>Final build is tested after restart; no risky untested changes after freeze.</w:t>
            </w:r>
          </w:p>
        </w:tc>
      </w:tr>
    </w:tbl>
    <w:p/>
    <w:p>
      <w:pPr>
        <w:pStyle w:val="Heading1"/>
      </w:pPr>
      <w:r>
        <w:t>5. Interfaces and handoffs</w:t>
      </w:r>
    </w:p>
    <w:p>
      <w:r>
        <w:t>By H1 establish baseline and service map. By H2 confirm deployment target and env contracts. By H6 provide stable shared environment and smoke command. By H10–H12 have externally reachable staging. By H19 freeze and by H21 complete final rehearsal.</w:t>
      </w:r>
    </w:p>
    <w:p>
      <w:pPr>
        <w:pStyle w:val="Heading1"/>
      </w:pPr>
      <w:r>
        <w:t>5.1 Deployment decision checklist</w:t>
      </w:r>
    </w:p>
    <w:p>
      <w:pPr>
        <w:pStyle w:val="ListBullet"/>
        <w:spacing w:after="20"/>
      </w:pPr>
      <w:r>
        <w:t>Verify the $100 credit offer, expiry, eligible services/SKUs, region, and any trial restrictions in the Azure portal.</w:t>
      </w:r>
    </w:p>
    <w:p>
      <w:pPr>
        <w:pStyle w:val="ListBullet"/>
        <w:spacing w:after="20"/>
      </w:pPr>
      <w:r>
        <w:t>Prefer the smallest number of services compatible with the repo; avoid adding managed Redis/DB unless the existing architecture requires them.</w:t>
      </w:r>
    </w:p>
    <w:p>
      <w:pPr>
        <w:pStyle w:val="ListBullet"/>
        <w:spacing w:after="20"/>
      </w:pPr>
      <w:r>
        <w:t>Do not assume budget alerts are hard spending caps; check actual usage daily.</w:t>
      </w:r>
    </w:p>
    <w:p>
      <w:pPr>
        <w:pStyle w:val="ListBullet"/>
        <w:spacing w:after="20"/>
      </w:pPr>
      <w:r>
        <w:t>Do not expose SSH, PostgreSQL, Redis, Docker socket, or admin dashboards publicly.</w:t>
      </w:r>
    </w:p>
    <w:p>
      <w:pPr>
        <w:pStyle w:val="ListBullet"/>
        <w:spacing w:after="20"/>
      </w:pPr>
      <w:r>
        <w:t>Keep an HTTPS public URL and a seeded synthetic fallback; never depend on a developer laptop being online.</w:t>
      </w:r>
    </w:p>
    <w:p>
      <w:pPr>
        <w:pStyle w:val="Heading1"/>
      </w:pPr>
      <w:r>
        <w:t>6. Test plan</w:t>
      </w:r>
    </w:p>
    <w:p>
      <w:pPr>
        <w:pStyle w:val="ListBullet"/>
        <w:spacing w:after="20"/>
      </w:pPr>
      <w:r>
        <w:t>Run app after deleting disposable containers but preserving named persistent volumes.</w:t>
      </w:r>
    </w:p>
    <w:p>
      <w:pPr>
        <w:pStyle w:val="ListBullet"/>
        <w:spacing w:after="20"/>
      </w:pPr>
      <w:r>
        <w:t>Test upload/extraction/summary from an external device using the public URL.</w:t>
      </w:r>
    </w:p>
    <w:p>
      <w:pPr>
        <w:pStyle w:val="ListBullet"/>
        <w:spacing w:after="20"/>
      </w:pPr>
      <w:r>
        <w:t>Simulate model-provider timeout and verify useful fallback/error state.</w:t>
      </w:r>
    </w:p>
    <w:p>
      <w:pPr>
        <w:pStyle w:val="ListBullet"/>
        <w:spacing w:after="20"/>
      </w:pPr>
      <w:r>
        <w:t>Inspect browser bundle and repository for secrets.</w:t>
      </w:r>
    </w:p>
    <w:p>
      <w:pPr>
        <w:pStyle w:val="ListBullet"/>
        <w:spacing w:after="20"/>
      </w:pPr>
      <w:r>
        <w:t>Verify invalid file types are rejected and logs do not print document bodies or keys.</w:t>
      </w:r>
    </w:p>
    <w:p>
      <w:pPr>
        <w:pStyle w:val="ListBullet"/>
        <w:spacing w:after="20"/>
      </w:pPr>
      <w:r>
        <w:t>Verify Azure resources and cost controls; record resource deletion/stop instructions.</w:t>
      </w:r>
    </w:p>
    <w:p>
      <w:pPr>
        <w:pStyle w:val="Heading1"/>
      </w:pPr>
      <w:r>
        <w:t>7. Risks and mitigations</w:t>
      </w:r>
    </w:p>
    <w:tbl>
      <w:tblPr>
        <w:tblStyle w:val="TableGrid"/>
        <w:tblW w:type="auto" w:w="0"/>
        <w:jc w:val="center"/>
        <w:tblLook w:firstColumn="1" w:firstRow="1" w:lastColumn="0" w:lastRow="0" w:noHBand="0" w:noVBand="1" w:val="04A0"/>
      </w:tblPr>
      <w:tblGrid>
        <w:gridCol w:w="5112"/>
        <w:gridCol w:w="5112"/>
      </w:tblGrid>
      <w:tr>
        <w:tc>
          <w:tcPr>
            <w:tcW w:type="dxa" w:w="2880"/>
            <w:shd w:fill="12304A"/>
          </w:tcPr>
          <w:p>
            <w:r>
              <w:rPr>
                <w:b/>
                <w:color w:val="FFFFFF"/>
                <w:sz w:val="16"/>
              </w:rPr>
              <w:t>Risk</w:t>
            </w:r>
          </w:p>
        </w:tc>
        <w:tc>
          <w:tcPr>
            <w:tcW w:type="dxa" w:w="5976"/>
            <w:shd w:fill="12304A"/>
          </w:tcPr>
          <w:p>
            <w:r>
              <w:rPr>
                <w:b/>
                <w:color w:val="FFFFFF"/>
                <w:sz w:val="16"/>
              </w:rPr>
              <w:t>Mitigation</w:t>
            </w:r>
          </w:p>
        </w:tc>
      </w:tr>
      <w:tr>
        <w:tc>
          <w:tcPr>
            <w:tcW w:type="dxa" w:w="2880"/>
            <w:vAlign w:val="center"/>
          </w:tcPr>
          <w:p>
            <w:pPr>
              <w:spacing w:after="20"/>
            </w:pPr>
            <w:r>
              <w:rPr>
                <w:sz w:val="15"/>
              </w:rPr>
              <w:t>Cloud SKU unavailable or credits ineligible</w:t>
            </w:r>
          </w:p>
        </w:tc>
        <w:tc>
          <w:tcPr>
            <w:tcW w:type="dxa" w:w="5976"/>
            <w:vAlign w:val="center"/>
          </w:tcPr>
          <w:p>
            <w:pPr>
              <w:spacing w:after="20"/>
            </w:pPr>
            <w:r>
              <w:rPr>
                <w:sz w:val="15"/>
              </w:rPr>
              <w:t>Verify portal eligibility first; keep homelab/alternate eligible target as fallback.</w:t>
            </w:r>
          </w:p>
        </w:tc>
      </w:tr>
      <w:tr>
        <w:tc>
          <w:tcPr>
            <w:tcW w:type="dxa" w:w="2880"/>
            <w:vAlign w:val="center"/>
          </w:tcPr>
          <w:p>
            <w:pPr>
              <w:spacing w:after="20"/>
            </w:pPr>
            <w:r>
              <w:rPr>
                <w:sz w:val="15"/>
              </w:rPr>
              <w:t>Public deployment too late</w:t>
            </w:r>
          </w:p>
        </w:tc>
        <w:tc>
          <w:tcPr>
            <w:tcW w:type="dxa" w:w="5976"/>
            <w:vAlign w:val="center"/>
          </w:tcPr>
          <w:p>
            <w:pPr>
              <w:spacing w:after="20"/>
            </w:pPr>
            <w:r>
              <w:rPr>
                <w:sz w:val="15"/>
              </w:rPr>
              <w:t>Deploy the minimal baseline early, before all features are complete.</w:t>
            </w:r>
          </w:p>
        </w:tc>
      </w:tr>
      <w:tr>
        <w:tc>
          <w:tcPr>
            <w:tcW w:type="dxa" w:w="2880"/>
            <w:vAlign w:val="center"/>
          </w:tcPr>
          <w:p>
            <w:pPr>
              <w:spacing w:after="20"/>
            </w:pPr>
            <w:r>
              <w:rPr>
                <w:sz w:val="15"/>
              </w:rPr>
              <w:t>Integration bottleneck</w:t>
            </w:r>
          </w:p>
        </w:tc>
        <w:tc>
          <w:tcPr>
            <w:tcW w:type="dxa" w:w="5976"/>
            <w:vAlign w:val="center"/>
          </w:tcPr>
          <w:p>
            <w:pPr>
              <w:spacing w:after="20"/>
            </w:pPr>
            <w:r>
              <w:rPr>
                <w:sz w:val="15"/>
              </w:rPr>
              <w:t>Use small merges and smoke tests after each vertical slice; freeze features by H19–H21.</w:t>
            </w:r>
          </w:p>
        </w:tc>
      </w:tr>
    </w:tbl>
    <w:p/>
    <w:p>
      <w:pPr>
        <w:pStyle w:val="Heading1"/>
      </w:pPr>
      <w:r>
        <w:t>8. First 90 minutes</w:t>
      </w:r>
    </w:p>
    <w:p>
      <w:pPr>
        <w:pStyle w:val="ListNumber"/>
        <w:spacing w:after="20"/>
      </w:pPr>
      <w:r>
        <w:t>Clone and run repo untouched; pin commit and inspect licence.</w:t>
      </w:r>
    </w:p>
    <w:p>
      <w:pPr>
        <w:pStyle w:val="ListNumber"/>
        <w:spacing w:after="20"/>
      </w:pPr>
      <w:r>
        <w:t>Inventory services, ports, env vars, database, and storage.</w:t>
      </w:r>
    </w:p>
    <w:p>
      <w:pPr>
        <w:pStyle w:val="ListNumber"/>
        <w:spacing w:after="20"/>
      </w:pPr>
      <w:r>
        <w:t>Check Azure credit expiry/eligible SKUs and choose a simple target.</w:t>
      </w:r>
    </w:p>
    <w:p>
      <w:pPr>
        <w:pStyle w:val="ListNumber"/>
        <w:spacing w:after="20"/>
      </w:pPr>
      <w:r>
        <w:t>Set up a minimal deployment and health check early.</w:t>
      </w:r>
    </w:p>
    <w:p>
      <w:pPr>
        <w:pStyle w:val="ListNumber"/>
        <w:spacing w:after="20"/>
      </w:pPr>
      <w:r>
        <w:t>Create smoke test and synthetic fixture pack before feature freeze.</w:t>
      </w:r>
    </w:p>
    <w:p>
      <w:pPr>
        <w:pStyle w:val="Heading1"/>
      </w:pPr>
      <w:r>
        <w:t>9. 24-hour checkpoints</w:t>
      </w:r>
    </w:p>
    <w:tbl>
      <w:tblPr>
        <w:tblStyle w:val="TableGrid"/>
        <w:tblW w:type="auto" w:w="0"/>
        <w:jc w:val="center"/>
        <w:tblLook w:firstColumn="1" w:firstRow="1" w:lastColumn="0" w:lastRow="0" w:noHBand="0" w:noVBand="1" w:val="04A0"/>
      </w:tblPr>
      <w:tblGrid>
        <w:gridCol w:w="5112"/>
        <w:gridCol w:w="5112"/>
      </w:tblGrid>
      <w:tr>
        <w:tc>
          <w:tcPr>
            <w:tcW w:type="dxa" w:w="1656"/>
            <w:shd w:fill="12304A"/>
          </w:tcPr>
          <w:p>
            <w:r>
              <w:rPr>
                <w:b/>
                <w:color w:val="FFFFFF"/>
                <w:sz w:val="16"/>
              </w:rPr>
              <w:t>Time</w:t>
            </w:r>
          </w:p>
        </w:tc>
        <w:tc>
          <w:tcPr>
            <w:tcW w:type="dxa" w:w="7200"/>
            <w:shd w:fill="12304A"/>
          </w:tcPr>
          <w:p>
            <w:r>
              <w:rPr>
                <w:b/>
                <w:color w:val="FFFFFF"/>
                <w:sz w:val="16"/>
              </w:rPr>
              <w:t>Expected state</w:t>
            </w:r>
          </w:p>
        </w:tc>
      </w:tr>
      <w:tr>
        <w:tc>
          <w:tcPr>
            <w:tcW w:type="dxa" w:w="1656"/>
            <w:vAlign w:val="center"/>
          </w:tcPr>
          <w:p>
            <w:pPr>
              <w:spacing w:after="20"/>
            </w:pPr>
            <w:r>
              <w:rPr>
                <w:sz w:val="15"/>
              </w:rPr>
              <w:t>H0–H2</w:t>
            </w:r>
          </w:p>
        </w:tc>
        <w:tc>
          <w:tcPr>
            <w:tcW w:type="dxa" w:w="7200"/>
            <w:vAlign w:val="center"/>
          </w:tcPr>
          <w:p>
            <w:pPr>
              <w:spacing w:after="20"/>
            </w:pPr>
            <w:r>
              <w:rPr>
                <w:sz w:val="15"/>
              </w:rPr>
              <w:t>Repository inspected; existing capabilities mapped; contracts/owner dependencies agreed.</w:t>
            </w:r>
          </w:p>
        </w:tc>
      </w:tr>
      <w:tr>
        <w:tc>
          <w:tcPr>
            <w:tcW w:type="dxa" w:w="1656"/>
            <w:vAlign w:val="center"/>
          </w:tcPr>
          <w:p>
            <w:pPr>
              <w:spacing w:after="20"/>
            </w:pPr>
            <w:r>
              <w:rPr>
                <w:sz w:val="15"/>
              </w:rPr>
              <w:t>H2–H6</w:t>
            </w:r>
          </w:p>
        </w:tc>
        <w:tc>
          <w:tcPr>
            <w:tcW w:type="dxa" w:w="7200"/>
            <w:vAlign w:val="center"/>
          </w:tcPr>
          <w:p>
            <w:pPr>
              <w:spacing w:after="20"/>
            </w:pPr>
            <w:r>
              <w:rPr>
                <w:sz w:val="15"/>
              </w:rPr>
              <w:t>First independently testable increment and mock-compatible interface available.</w:t>
            </w:r>
          </w:p>
        </w:tc>
      </w:tr>
      <w:tr>
        <w:tc>
          <w:tcPr>
            <w:tcW w:type="dxa" w:w="1656"/>
            <w:vAlign w:val="center"/>
          </w:tcPr>
          <w:p>
            <w:pPr>
              <w:spacing w:after="20"/>
            </w:pPr>
            <w:r>
              <w:rPr>
                <w:sz w:val="15"/>
              </w:rPr>
              <w:t>H6–H10</w:t>
            </w:r>
          </w:p>
        </w:tc>
        <w:tc>
          <w:tcPr>
            <w:tcW w:type="dxa" w:w="7200"/>
            <w:vAlign w:val="center"/>
          </w:tcPr>
          <w:p>
            <w:pPr>
              <w:spacing w:after="20"/>
            </w:pPr>
            <w:r>
              <w:rPr>
                <w:sz w:val="15"/>
              </w:rPr>
              <w:t>Working feature integrated in staging; first tests and defects documented.</w:t>
            </w:r>
          </w:p>
        </w:tc>
      </w:tr>
      <w:tr>
        <w:tc>
          <w:tcPr>
            <w:tcW w:type="dxa" w:w="1656"/>
            <w:vAlign w:val="center"/>
          </w:tcPr>
          <w:p>
            <w:pPr>
              <w:spacing w:after="20"/>
            </w:pPr>
            <w:r>
              <w:rPr>
                <w:sz w:val="15"/>
              </w:rPr>
              <w:t>H10–H16</w:t>
            </w:r>
          </w:p>
        </w:tc>
        <w:tc>
          <w:tcPr>
            <w:tcW w:type="dxa" w:w="7200"/>
            <w:vAlign w:val="center"/>
          </w:tcPr>
          <w:p>
            <w:pPr>
              <w:spacing w:after="20"/>
            </w:pPr>
            <w:r>
              <w:rPr>
                <w:sz w:val="15"/>
              </w:rPr>
              <w:t>Core path stable; bonus/interoperability work added only if core remains healthy.</w:t>
            </w:r>
          </w:p>
        </w:tc>
      </w:tr>
      <w:tr>
        <w:tc>
          <w:tcPr>
            <w:tcW w:type="dxa" w:w="1656"/>
            <w:vAlign w:val="center"/>
          </w:tcPr>
          <w:p>
            <w:pPr>
              <w:spacing w:after="20"/>
            </w:pPr>
            <w:r>
              <w:rPr>
                <w:sz w:val="15"/>
              </w:rPr>
              <w:t>H16–H19</w:t>
            </w:r>
          </w:p>
        </w:tc>
        <w:tc>
          <w:tcPr>
            <w:tcW w:type="dxa" w:w="7200"/>
            <w:vAlign w:val="center"/>
          </w:tcPr>
          <w:p>
            <w:pPr>
              <w:spacing w:after="20"/>
            </w:pPr>
            <w:r>
              <w:rPr>
                <w:sz w:val="15"/>
              </w:rPr>
              <w:t>Regression/security checks; known limitations documented; no scope expansion.</w:t>
            </w:r>
          </w:p>
        </w:tc>
      </w:tr>
      <w:tr>
        <w:tc>
          <w:tcPr>
            <w:tcW w:type="dxa" w:w="1656"/>
            <w:vAlign w:val="center"/>
          </w:tcPr>
          <w:p>
            <w:pPr>
              <w:spacing w:after="20"/>
            </w:pPr>
            <w:r>
              <w:rPr>
                <w:sz w:val="15"/>
              </w:rPr>
              <w:t>H19–H24</w:t>
            </w:r>
          </w:p>
        </w:tc>
        <w:tc>
          <w:tcPr>
            <w:tcW w:type="dxa" w:w="7200"/>
            <w:vAlign w:val="center"/>
          </w:tcPr>
          <w:p>
            <w:pPr>
              <w:spacing w:after="20"/>
            </w:pPr>
            <w:r>
              <w:rPr>
                <w:sz w:val="15"/>
              </w:rPr>
              <w:t>Feature freeze, release validation, demo rehearsal, handoff notes.</w:t>
            </w:r>
          </w:p>
        </w:tc>
      </w:tr>
    </w:tbl>
    <w:p/>
    <w:p>
      <w:pPr>
        <w:pStyle w:val="Heading1"/>
      </w:pPr>
      <w:r>
        <w:t>10. Definition of done</w:t>
      </w:r>
    </w:p>
    <w:p>
      <w:pPr>
        <w:pStyle w:val="ListBullet"/>
        <w:spacing w:after="20"/>
      </w:pPr>
      <w:r>
        <w:t>All owned deliverables are merged and demonstrated from the shared repository.</w:t>
      </w:r>
    </w:p>
    <w:p>
      <w:pPr>
        <w:pStyle w:val="ListBullet"/>
        <w:spacing w:after="20"/>
      </w:pPr>
      <w:r>
        <w:t>Acceptance criteria pass or each failure is documented with a safe fallback.</w:t>
      </w:r>
    </w:p>
    <w:p>
      <w:pPr>
        <w:pStyle w:val="ListBullet"/>
        <w:spacing w:after="20"/>
      </w:pPr>
      <w:r>
        <w:t>A teammate can understand and operate the feature using README/API/schema notes.</w:t>
      </w:r>
    </w:p>
    <w:p>
      <w:pPr>
        <w:pStyle w:val="ListBullet"/>
        <w:spacing w:after="20"/>
      </w:pPr>
      <w:r>
        <w:t>No secrets, real patient records, or misleading clinical/ABDM claims are introduced.</w:t>
      </w:r>
    </w:p>
    <w:p>
      <w:pPr>
        <w:pStyle w:val="ListBullet"/>
        <w:spacing w:after="20"/>
      </w:pPr>
      <w:r>
        <w:t>Owner presents a 2-minute explanation of design choices, tests, limitations, and how their feature integrates.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Health Copilot • Person 5 • FRD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