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2304A"/>
          <w:sz w:val="50"/>
        </w:rPr>
        <w:t>PERSON 1 — DETAILED FRD</w:t>
      </w:r>
    </w:p>
    <w:p>
      <w:pPr>
        <w:jc w:val="center"/>
      </w:pPr>
      <w:r>
        <w:rPr>
          <w:b/>
          <w:color w:val="176B87"/>
          <w:sz w:val="28"/>
        </w:rPr>
        <w:t>AI-Powered Personal Health Copilot</w:t>
      </w:r>
    </w:p>
    <w:p>
      <w:pPr>
        <w:jc w:val="center"/>
      </w:pPr>
      <w:r>
        <w:rPr>
          <w:sz w:val="20"/>
        </w:rPr>
        <w:t>Person 1: OCR, Document Intelligence &amp; Structured Extraction Lead | 24-hour hackathon implementation specification</w:t>
      </w:r>
    </w:p>
    <w:p>
      <w:r>
        <w:t>Build the trustworthy ingestion and extraction pipeline that converts uploaded medical documents into typed, reviewable facts with source provenance. This role owns extraction correctness, not clinical interpretation.</w:t>
      </w:r>
    </w:p>
    <w:p>
      <w:r>
        <w:rPr>
          <w:b/>
        </w:rPr>
        <w:t xml:space="preserve">Project baseline: </w:t>
      </w:r>
      <w:r>
        <w:t>Extend the checked-out Health Assistant repository. Verify its actual architecture, licence, routes, data model, and working features before implementing. Reuse existing functionality rather than building duplicate subsystems.</w:t>
      </w:r>
    </w:p>
    <w:p>
      <w:r>
        <w:rPr>
          <w:b/>
        </w:rPr>
        <w:t xml:space="preserve">Shared product requirements: </w:t>
      </w:r>
      <w:r>
        <w:t>synthetic/de-identified demo data only; English + Hindi UI and summaries; source traceability; user review for uncertain medical facts; FHIR-style JSON export; mock ABHA link/import clearly labelled as simulation; HTTPS-accessible demo; Azure credits capped at approximately US$100 subject to eligibility and current pricing.</w:t>
      </w:r>
    </w:p>
    <w:p>
      <w:r>
        <w:br w:type="page"/>
      </w:r>
    </w:p>
    <w:p>
      <w:pPr>
        <w:pStyle w:val="Heading1"/>
      </w:pPr>
      <w:r>
        <w:t>1. Role mission and boundaries</w:t>
      </w:r>
    </w:p>
    <w:p>
      <w:r>
        <w:t>Build the trustworthy ingestion and extraction pipeline that converts uploaded medical documents into typed, reviewable facts with source provenance. This role owns extraction correctness, not clinical interpretation.</w:t>
      </w:r>
    </w:p>
    <w:p>
      <w:r>
        <w:t>This owner is accountable for the deliverables and acceptance checks below. Cross-cutting changes require agreement with the named dependent owners; do not duplicate an existing Health Assistant subsystem without first proving it is missing or unsuitable.</w:t>
      </w:r>
    </w:p>
    <w:p>
      <w:pPr>
        <w:pStyle w:val="Heading1"/>
      </w:pPr>
      <w:r>
        <w:t>2. Functional scope</w:t>
      </w:r>
    </w:p>
    <w:p>
      <w:pPr>
        <w:pStyle w:val="ListBullet"/>
        <w:spacing w:after="20"/>
      </w:pPr>
      <w:r>
        <w:t>Accept PDF, JPG, and PNG through the existing upload flow; enforce configured size/type checks and safe filenames.</w:t>
      </w:r>
    </w:p>
    <w:p>
      <w:pPr>
        <w:pStyle w:val="ListBullet"/>
        <w:spacing w:after="20"/>
      </w:pPr>
      <w:r>
        <w:t>Prefer embedded text extraction for text PDFs; invoke OCR for scanned pages/images.</w:t>
      </w:r>
    </w:p>
    <w:p>
      <w:pPr>
        <w:pStyle w:val="ListBullet"/>
        <w:spacing w:after="20"/>
      </w:pPr>
      <w:r>
        <w:t>Benchmark OCR candidates available in the environment (for example, Tesseract and PaddleOCR) on the same labelled sample set before selecting one.</w:t>
      </w:r>
    </w:p>
    <w:p>
      <w:pPr>
        <w:pStyle w:val="ListBullet"/>
        <w:spacing w:after="20"/>
      </w:pPr>
      <w:r>
        <w:t>Apply selective preprocessing (rotation/deskew, contrast, resize) only when it improves the sample results; preserve original uploads.</w:t>
      </w:r>
    </w:p>
    <w:p>
      <w:pPr>
        <w:pStyle w:val="ListBullet"/>
        <w:spacing w:after="20"/>
      </w:pPr>
      <w:r>
        <w:t>Extract document type/date, medication name and explicit dose/frequency/duration, lab test/value/unit/stated range/date, and diagnosis only when stated.</w:t>
      </w:r>
    </w:p>
    <w:p>
      <w:pPr>
        <w:pStyle w:val="ListBullet"/>
        <w:spacing w:after="20"/>
      </w:pPr>
      <w:r>
        <w:t>Store raw OCR text separately from normalized structured fields.</w:t>
      </w:r>
    </w:p>
    <w:p>
      <w:pPr>
        <w:pStyle w:val="ListBullet"/>
        <w:spacing w:after="20"/>
      </w:pPr>
      <w:r>
        <w:t>Attach document ID, page number, source text or region, confidence, and review status to each extracted fact.</w:t>
      </w:r>
    </w:p>
    <w:p>
      <w:pPr>
        <w:pStyle w:val="ListBullet"/>
        <w:spacing w:after="20"/>
      </w:pPr>
      <w:r>
        <w:t>Flag ambiguous medication names, dosages, units, dates, and low-confidence values for human review rather than guessing.</w:t>
      </w:r>
    </w:p>
    <w:p>
      <w:pPr>
        <w:pStyle w:val="Heading1"/>
      </w:pPr>
      <w:r>
        <w:t>3.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6120"/>
            <w:shd w:fill="12304A"/>
          </w:tcPr>
          <w:p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ingestion adapter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Reuses current upload endpoint/storage; validates file and creates document metadata/status.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OCR/text extraction service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PDF text-first + OCR fallback, page-aware output, retryable errors.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Structured extraction schema implementation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Validated JSON for Medication, Observation, Condition, and Document metadata.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Evidence/provenance model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Source document/page/snippet/coordinates when available, confidence, review_status.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Evaluation set and report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30–50 synthetic/de-identified docs when feasible; baseline metrics and error examples.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Unit tests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Tests for numeric/unit association, missing ranges, dates, ambiguous handwriting, malformed OCR.</w:t>
            </w:r>
          </w:p>
        </w:tc>
      </w:tr>
    </w:tbl>
    <w:p/>
    <w:p>
      <w:pPr>
        <w:pStyle w:val="Heading1"/>
      </w:pPr>
      <w:r>
        <w:t>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904"/>
            <w:shd w:fill="12304A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Text PDF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Extract embedded text without unnecessary OCR; preserve page associations.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Scanned image/PDF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OCR completes or gives clear retryable failure; text and page are inspectable.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Missing value/range/date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Represent unknown as null/not found; do not infer.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Ambiguous medicine/dose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Set needs_review; do not silently select a likely name or dose.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Every persisted fact has source document and page/snippet where available.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Retry/idempotency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Retry does not duplicate facts or timeline items.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P1-07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Metrics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Report field-level exact match and critical numeric/medication errors on a labelled set.</w:t>
            </w:r>
          </w:p>
        </w:tc>
      </w:tr>
    </w:tbl>
    <w:p/>
    <w:p>
      <w:pPr>
        <w:pStyle w:val="Heading1"/>
      </w:pPr>
      <w:r>
        <w:t>5. Interfaces and handoffs</w:t>
      </w:r>
    </w:p>
    <w:p>
      <w:r>
        <w:t>Person 4 owns persistence/API contracts. Agree the canonical JSON schema with P4 by H2. Provide a callable extraction function/service and sample payloads by H5–H6. Person 3 must be able to render a mock extraction before the real service is finished.</w:t>
      </w:r>
    </w:p>
    <w:p>
      <w:pPr>
        <w:pStyle w:val="Heading1"/>
      </w:pPr>
      <w:r>
        <w:t>5.1 Canonical extraction object (example)</w:t>
      </w:r>
    </w:p>
    <w:p>
      <w:r>
        <w:rPr>
          <w:rFonts w:ascii="Consolas" w:hAnsi="Consolas"/>
          <w:sz w:val="16"/>
        </w:rPr>
        <w:t>{</w:t>
        <w:br/>
        <w:t xml:space="preserve">  "test_name": "HbA1c",</w:t>
        <w:br/>
        <w:t xml:space="preserve">  "value": 7.1,</w:t>
        <w:br/>
        <w:t xml:space="preserve">  "unit": "%",</w:t>
        <w:br/>
        <w:t xml:space="preserve">  "reference_range": null,</w:t>
        <w:br/>
        <w:t xml:space="preserve">  "collection_date": null,</w:t>
        <w:br/>
        <w:t xml:space="preserve">  "source_document_id": "sample-lab-001",</w:t>
        <w:br/>
        <w:t xml:space="preserve">  "source_page": 1,</w:t>
        <w:br/>
        <w:t xml:space="preserve">  "source_text": "HbA1c: 7.1 %",</w:t>
        <w:br/>
        <w:t xml:space="preserve">  "confidence": 0.93,</w:t>
        <w:br/>
        <w:t xml:space="preserve">  "review_status": "needs_review"</w:t>
        <w:br/>
        <w:t>}</w:t>
      </w:r>
    </w:p>
    <w:p>
      <w:r>
        <w:t>Illustrative synthetic example only. The null range/date must remain unknown unless extracted from source evidence.</w:t>
      </w:r>
    </w:p>
    <w:p>
      <w:pPr>
        <w:pStyle w:val="Heading1"/>
      </w:pPr>
      <w:r>
        <w:t>6. Test plan</w:t>
      </w:r>
    </w:p>
    <w:p>
      <w:pPr>
        <w:pStyle w:val="ListBullet"/>
        <w:spacing w:after="20"/>
      </w:pPr>
      <w:r>
        <w:t>Test decimal/comma parsing and preserve original text alongside normalized numeric value.</w:t>
      </w:r>
    </w:p>
    <w:p>
      <w:pPr>
        <w:pStyle w:val="ListBullet"/>
        <w:spacing w:after="20"/>
      </w:pPr>
      <w:r>
        <w:t>Test that value and unit remain linked (e.g., 7.1 and %).</w:t>
      </w:r>
    </w:p>
    <w:p>
      <w:pPr>
        <w:pStyle w:val="ListBullet"/>
        <w:spacing w:after="20"/>
      </w:pPr>
      <w:r>
        <w:t>Test report date vs collection date are not conflated.</w:t>
      </w:r>
    </w:p>
    <w:p>
      <w:pPr>
        <w:pStyle w:val="ListBullet"/>
        <w:spacing w:after="20"/>
      </w:pPr>
      <w:r>
        <w:t>Test low-confidence critical fields trigger review.</w:t>
      </w:r>
    </w:p>
    <w:p>
      <w:pPr>
        <w:pStyle w:val="ListBullet"/>
        <w:spacing w:after="20"/>
      </w:pPr>
      <w:r>
        <w:t>Test malicious/irrelevant instructions embedded in a document are treated as document text, not system instructions.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2304A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976"/>
            <w:shd w:fill="12304A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OCR model too slow/heavy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Start with embedded PDF text, one OCR worker, small images; measure latency/RAM before adding models.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Handwriting is unreadable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Treat as best-effort and require manual review; do not promise handwriting accuracy.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Schema drift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 the schema and coordinate changes with P4 before merging.</w:t>
            </w:r>
          </w:p>
        </w:tc>
      </w:tr>
    </w:tbl>
    <w:p/>
    <w:p>
      <w:pPr>
        <w:pStyle w:val="Heading1"/>
      </w:pPr>
      <w:r>
        <w:t>8. First 90 minutes</w:t>
      </w:r>
    </w:p>
    <w:p>
      <w:pPr>
        <w:pStyle w:val="ListNumber"/>
        <w:spacing w:after="20"/>
      </w:pPr>
      <w:r>
        <w:t>Run the base repo and map current upload/storage code.</w:t>
      </w:r>
    </w:p>
    <w:p>
      <w:pPr>
        <w:pStyle w:val="ListNumber"/>
        <w:spacing w:after="20"/>
      </w:pPr>
      <w:r>
        <w:t>Select 5 representative synthetic documents and define ground truth.</w:t>
      </w:r>
    </w:p>
    <w:p>
      <w:pPr>
        <w:pStyle w:val="ListNumber"/>
        <w:spacing w:after="20"/>
      </w:pPr>
      <w:r>
        <w:t>Agree schema, null conventions, source references, and review statuses with P4.</w:t>
      </w:r>
    </w:p>
    <w:p>
      <w:pPr>
        <w:pStyle w:val="ListNumber"/>
        <w:spacing w:after="20"/>
      </w:pPr>
      <w:r>
        <w:t>Implement one end-to-end document path before optimizing OCR.</w:t>
      </w:r>
    </w:p>
    <w:p>
      <w:pPr>
        <w:pStyle w:val="ListNumber"/>
        <w:spacing w:after="20"/>
      </w:pPr>
      <w:r>
        <w:t>Record baseline metrics honestly; do not cherry-pick examples.</w:t>
      </w:r>
    </w:p>
    <w:p>
      <w:pPr>
        <w:pStyle w:val="Heading1"/>
      </w:pPr>
      <w:r>
        <w:t>9. 24-hour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656"/>
            <w:shd w:fill="12304A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7200"/>
            <w:shd w:fill="12304A"/>
          </w:tcPr>
          <w:p>
            <w:r>
              <w:rPr>
                <w:b/>
                <w:color w:val="FFFFFF"/>
                <w:sz w:val="16"/>
              </w:rPr>
              <w:t>Expected state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H0–H2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Repository inspected; existing capabilities mapped; contracts/owner dependencies agreed.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H2–H6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First independently testable increment and mock-compatible interface available.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H6–H10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Working feature integrated in staging; first tests and defects documented.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H10–H16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path stable; bonus/interoperability work added only if core remains healthy.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H16–H19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Regression/security checks; known limitations documented; no scope expansion.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H19–H24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Feature freeze, release validation, demo rehearsal, handoff notes.</w:t>
            </w:r>
          </w:p>
        </w:tc>
      </w:tr>
    </w:tbl>
    <w:p/>
    <w:p>
      <w:pPr>
        <w:pStyle w:val="Heading1"/>
      </w:pPr>
      <w:r>
        <w:t>10. Definition of done</w:t>
      </w:r>
    </w:p>
    <w:p>
      <w:pPr>
        <w:pStyle w:val="ListBullet"/>
        <w:spacing w:after="20"/>
      </w:pPr>
      <w:r>
        <w:t>All owned deliverables are merged and demonstrated from the shared repository.</w:t>
      </w:r>
    </w:p>
    <w:p>
      <w:pPr>
        <w:pStyle w:val="ListBullet"/>
        <w:spacing w:after="20"/>
      </w:pPr>
      <w:r>
        <w:t>Acceptance criteria pass or each failure is documented with a safe fallback.</w:t>
      </w:r>
    </w:p>
    <w:p>
      <w:pPr>
        <w:pStyle w:val="ListBullet"/>
        <w:spacing w:after="20"/>
      </w:pPr>
      <w:r>
        <w:t>A teammate can understand and operate the feature using README/API/schema notes.</w:t>
      </w:r>
    </w:p>
    <w:p>
      <w:pPr>
        <w:pStyle w:val="ListBullet"/>
        <w:spacing w:after="20"/>
      </w:pPr>
      <w:r>
        <w:t>No secrets, real patient records, or misleading clinical/ABDM claims are introduced.</w:t>
      </w:r>
    </w:p>
    <w:p>
      <w:pPr>
        <w:pStyle w:val="ListBullet"/>
        <w:spacing w:after="20"/>
      </w:pPr>
      <w:r>
        <w:t>Owner presents a 2-minute explanation of design choices, tests, limitations, and how their feature integrates.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Health Copilot • Person 1 • FRD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