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/>
        <w:jc w:val="center"/>
      </w:pPr>
      <w:r>
        <w:rPr>
          <w:b/>
          <w:color w:val="12304A"/>
          <w:sz w:val="50"/>
        </w:rPr>
        <w:t>PERSON 3 — DETAILED FRD</w:t>
      </w:r>
    </w:p>
    <w:p>
      <w:pPr>
        <w:jc w:val="center"/>
      </w:pPr>
      <w:r>
        <w:rPr>
          <w:b/>
          <w:color w:val="176B87"/>
          <w:sz w:val="28"/>
        </w:rPr>
        <w:t>AI-Powered Personal Health Copilot</w:t>
      </w:r>
    </w:p>
    <w:p>
      <w:pPr>
        <w:jc w:val="center"/>
      </w:pPr>
      <w:r>
        <w:rPr>
          <w:sz w:val="20"/>
        </w:rPr>
        <w:t>Person 3: Frontend, Review UX &amp; Bilingual Experience Lead | 24-hour hackathon implementation specification</w:t>
      </w:r>
    </w:p>
    <w:p>
      <w:r>
        <w:t>Adapt the existing Health Assistant UI into a clear, credible end-to-end experience where users can upload records, review uncertain extraction, inspect sources, view a timeline, switch languages, and demonstrate FHIR/mock ABHA functionality.</w:t>
      </w:r>
    </w:p>
    <w:p>
      <w:r>
        <w:rPr>
          <w:b/>
        </w:rPr>
        <w:t xml:space="preserve">Project baseline: </w:t>
      </w:r>
      <w:r>
        <w:t>Extend the checked-out Health Assistant repository. Verify its actual architecture, licence, routes, data model, and working features before implementing. Reuse existing functionality rather than building duplicate subsystems.</w:t>
      </w:r>
    </w:p>
    <w:p>
      <w:r>
        <w:rPr>
          <w:b/>
        </w:rPr>
        <w:t xml:space="preserve">Shared product requirements: </w:t>
      </w:r>
      <w:r>
        <w:t>synthetic/de-identified demo data only; English + Hindi UI and summaries; source traceability; user review for uncertain medical facts; FHIR-style JSON export; mock ABHA link/import clearly labelled as simulation; HTTPS-accessible demo; Azure credits capped at approximately US$100 subject to eligibility and current pricing.</w:t>
      </w:r>
    </w:p>
    <w:p>
      <w:r>
        <w:br w:type="page"/>
      </w:r>
    </w:p>
    <w:p>
      <w:pPr>
        <w:pStyle w:val="Heading1"/>
      </w:pPr>
      <w:r>
        <w:t>1. Role mission and boundaries</w:t>
      </w:r>
    </w:p>
    <w:p>
      <w:r>
        <w:t>Adapt the existing Health Assistant UI into a clear, credible end-to-end experience where users can upload records, review uncertain extraction, inspect sources, view a timeline, switch languages, and demonstrate FHIR/mock ABHA functionality.</w:t>
      </w:r>
    </w:p>
    <w:p>
      <w:r>
        <w:t>This owner is accountable for the deliverables and acceptance checks below. Cross-cutting changes require agreement with the named dependent owners; do not duplicate an existing Health Assistant subsystem without first proving it is missing or unsuitable.</w:t>
      </w:r>
    </w:p>
    <w:p>
      <w:pPr>
        <w:pStyle w:val="Heading1"/>
      </w:pPr>
      <w:r>
        <w:t>2. Functional scope</w:t>
      </w:r>
    </w:p>
    <w:p>
      <w:pPr>
        <w:pStyle w:val="ListBullet"/>
        <w:spacing w:after="20"/>
      </w:pPr>
      <w:r>
        <w:t>Reuse the repository's existing frontend framework, routing, design system, authentication, and components where practical.</w:t>
      </w:r>
    </w:p>
    <w:p>
      <w:pPr>
        <w:pStyle w:val="ListBullet"/>
        <w:spacing w:after="20"/>
      </w:pPr>
      <w:r>
        <w:t>Implement upload dropzone/file picker, accepted file types/size, progress, processing status, retry, and useful error messages.</w:t>
      </w:r>
    </w:p>
    <w:p>
      <w:pPr>
        <w:pStyle w:val="ListBullet"/>
        <w:spacing w:after="20"/>
      </w:pPr>
      <w:r>
        <w:t>Build an extraction review page with editable values, confidence/review status, source snippet/page, and save/confirm controls.</w:t>
      </w:r>
    </w:p>
    <w:p>
      <w:pPr>
        <w:pStyle w:val="ListBullet"/>
        <w:spacing w:after="20"/>
      </w:pPr>
      <w:r>
        <w:t>Build a unified timeline and document list with type/date filters and fact-level source navigation.</w:t>
      </w:r>
    </w:p>
    <w:p>
      <w:pPr>
        <w:pStyle w:val="ListBullet"/>
        <w:spacing w:after="20"/>
      </w:pPr>
      <w:r>
        <w:t>Display lab values with units and report-stated ranges; trend only comparable tests with compatible units.</w:t>
      </w:r>
    </w:p>
    <w:p>
      <w:pPr>
        <w:pStyle w:val="ListBullet"/>
        <w:spacing w:after="20"/>
      </w:pPr>
      <w:r>
        <w:t>Add English/Hindi UI language selector and translated labels, states, accessibility text, and safety disclaimer.</w:t>
      </w:r>
    </w:p>
    <w:p>
      <w:pPr>
        <w:pStyle w:val="ListBullet"/>
        <w:spacing w:after="20"/>
      </w:pPr>
      <w:r>
        <w:t>Add summary language selector and render source references beside summary claims.</w:t>
      </w:r>
    </w:p>
    <w:p>
      <w:pPr>
        <w:pStyle w:val="ListBullet"/>
        <w:spacing w:after="20"/>
      </w:pPr>
      <w:r>
        <w:t>Create FHIR export and mock ABHA link/import screens that clearly label simulation and show import preview/results.</w:t>
      </w:r>
    </w:p>
    <w:p>
      <w:pPr>
        <w:pStyle w:val="Heading1"/>
      </w:pPr>
      <w:r>
        <w:t>3. Required deliverables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792"/>
            <w:shd w:fill="12304A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376"/>
            <w:shd w:fill="12304A"/>
          </w:tcPr>
          <w:p>
            <w:r>
              <w:rPr>
                <w:b/>
                <w:color w:val="FFFFFF"/>
                <w:sz w:val="16"/>
              </w:rPr>
              <w:t>Deliverable</w:t>
            </w:r>
          </w:p>
        </w:tc>
        <w:tc>
          <w:tcPr>
            <w:tcW w:type="dxa" w:w="6120"/>
            <w:shd w:fill="12304A"/>
          </w:tcPr>
          <w:p>
            <w:r>
              <w:rPr>
                <w:b/>
                <w:color w:val="FFFFFF"/>
                <w:sz w:val="16"/>
              </w:rPr>
              <w:t>Definition of done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20"/>
            </w:pPr>
            <w:r>
              <w:rPr>
                <w:sz w:val="15"/>
              </w:rPr>
              <w:t>D1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sz w:val="15"/>
              </w:rPr>
              <w:t>Working upload UX</w:t>
            </w:r>
          </w:p>
        </w:tc>
        <w:tc>
          <w:tcPr>
            <w:tcW w:type="dxa" w:w="6120"/>
            <w:vAlign w:val="center"/>
          </w:tcPr>
          <w:p>
            <w:pPr>
              <w:spacing w:after="20"/>
            </w:pPr>
            <w:r>
              <w:rPr>
                <w:sz w:val="15"/>
              </w:rPr>
              <w:t>Upload, progress/status, validation, retry, and failure state.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20"/>
            </w:pPr>
            <w:r>
              <w:rPr>
                <w:sz w:val="15"/>
              </w:rPr>
              <w:t>D2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sz w:val="15"/>
              </w:rPr>
              <w:t>Extraction review UI</w:t>
            </w:r>
          </w:p>
        </w:tc>
        <w:tc>
          <w:tcPr>
            <w:tcW w:type="dxa" w:w="6120"/>
            <w:vAlign w:val="center"/>
          </w:tcPr>
          <w:p>
            <w:pPr>
              <w:spacing w:after="20"/>
            </w:pPr>
            <w:r>
              <w:rPr>
                <w:sz w:val="15"/>
              </w:rPr>
              <w:t>Editable field form, needs_review badges, source evidence, save/confirm.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20"/>
            </w:pPr>
            <w:r>
              <w:rPr>
                <w:sz w:val="15"/>
              </w:rPr>
              <w:t>D3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sz w:val="15"/>
              </w:rPr>
              <w:t>Profile/timeline UI</w:t>
            </w:r>
          </w:p>
        </w:tc>
        <w:tc>
          <w:tcPr>
            <w:tcW w:type="dxa" w:w="6120"/>
            <w:vAlign w:val="center"/>
          </w:tcPr>
          <w:p>
            <w:pPr>
              <w:spacing w:after="20"/>
            </w:pPr>
            <w:r>
              <w:rPr>
                <w:sz w:val="15"/>
              </w:rPr>
              <w:t>Chronological records and observations; filters; source links.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20"/>
            </w:pPr>
            <w:r>
              <w:rPr>
                <w:sz w:val="15"/>
              </w:rPr>
              <w:t>D4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sz w:val="15"/>
              </w:rPr>
              <w:t>Bilingual UI</w:t>
            </w:r>
          </w:p>
        </w:tc>
        <w:tc>
          <w:tcPr>
            <w:tcW w:type="dxa" w:w="6120"/>
            <w:vAlign w:val="center"/>
          </w:tcPr>
          <w:p>
            <w:pPr>
              <w:spacing w:after="20"/>
            </w:pPr>
            <w:r>
              <w:rPr>
                <w:sz w:val="15"/>
              </w:rPr>
              <w:t>English/Hindi labels and user-visible states; no untranslated critical messages.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20"/>
            </w:pPr>
            <w:r>
              <w:rPr>
                <w:sz w:val="15"/>
              </w:rPr>
              <w:t>D5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sz w:val="15"/>
              </w:rPr>
              <w:t>Summary display</w:t>
            </w:r>
          </w:p>
        </w:tc>
        <w:tc>
          <w:tcPr>
            <w:tcW w:type="dxa" w:w="6120"/>
            <w:vAlign w:val="center"/>
          </w:tcPr>
          <w:p>
            <w:pPr>
              <w:spacing w:after="20"/>
            </w:pPr>
            <w:r>
              <w:rPr>
                <w:sz w:val="15"/>
              </w:rPr>
              <w:t>English/Hindi selection, source evidence, caveat, loading/error states.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20"/>
            </w:pPr>
            <w:r>
              <w:rPr>
                <w:sz w:val="15"/>
              </w:rPr>
              <w:t>D6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sz w:val="15"/>
              </w:rPr>
              <w:t>Interoperability UI</w:t>
            </w:r>
          </w:p>
        </w:tc>
        <w:tc>
          <w:tcPr>
            <w:tcW w:type="dxa" w:w="6120"/>
            <w:vAlign w:val="center"/>
          </w:tcPr>
          <w:p>
            <w:pPr>
              <w:spacing w:after="20"/>
            </w:pPr>
            <w:r>
              <w:rPr>
                <w:sz w:val="15"/>
              </w:rPr>
              <w:t>FHIR JSON download/view and mock ABHA preview/confirm/result screens.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20"/>
            </w:pPr>
            <w:r>
              <w:rPr>
                <w:sz w:val="15"/>
              </w:rPr>
              <w:t>D7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sz w:val="15"/>
              </w:rPr>
              <w:t>Responsive smoke check</w:t>
            </w:r>
          </w:p>
        </w:tc>
        <w:tc>
          <w:tcPr>
            <w:tcW w:type="dxa" w:w="6120"/>
            <w:vAlign w:val="center"/>
          </w:tcPr>
          <w:p>
            <w:pPr>
              <w:spacing w:after="20"/>
            </w:pPr>
            <w:r>
              <w:rPr>
                <w:sz w:val="15"/>
              </w:rPr>
              <w:t>Usable at laptop and mobile/tablet widths.</w:t>
            </w:r>
          </w:p>
        </w:tc>
      </w:tr>
    </w:tbl>
    <w:p/>
    <w:p>
      <w:pPr>
        <w:pStyle w:val="Heading1"/>
      </w:pPr>
      <w:r>
        <w:t>4.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008"/>
            <w:shd w:fill="12304A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376"/>
            <w:shd w:fill="12304A"/>
          </w:tcPr>
          <w:p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5904"/>
            <w:shd w:fill="12304A"/>
          </w:tcPr>
          <w:p>
            <w:r>
              <w:rPr>
                <w:b/>
                <w:color w:val="FFFFFF"/>
                <w:sz w:val="16"/>
              </w:rPr>
              <w:t>Pass condition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20"/>
            </w:pPr>
            <w:r>
              <w:rPr>
                <w:sz w:val="15"/>
              </w:rPr>
              <w:t>P3-01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sz w:val="15"/>
              </w:rPr>
              <w:t>Upload path</w:t>
            </w:r>
          </w:p>
        </w:tc>
        <w:tc>
          <w:tcPr>
            <w:tcW w:type="dxa" w:w="5904"/>
            <w:vAlign w:val="center"/>
          </w:tcPr>
          <w:p>
            <w:pPr>
              <w:spacing w:after="20"/>
            </w:pPr>
            <w:r>
              <w:rPr>
                <w:sz w:val="15"/>
              </w:rPr>
              <w:t>User can upload a supported document and see status changes without refreshing manually where feasible.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20"/>
            </w:pPr>
            <w:r>
              <w:rPr>
                <w:sz w:val="15"/>
              </w:rPr>
              <w:t>P3-02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sz w:val="15"/>
              </w:rPr>
              <w:t>Review</w:t>
            </w:r>
          </w:p>
        </w:tc>
        <w:tc>
          <w:tcPr>
            <w:tcW w:type="dxa" w:w="5904"/>
            <w:vAlign w:val="center"/>
          </w:tcPr>
          <w:p>
            <w:pPr>
              <w:spacing w:after="20"/>
            </w:pPr>
            <w:r>
              <w:rPr>
                <w:sz w:val="15"/>
              </w:rPr>
              <w:t>User can identify and edit a flagged field; save success/failure is clear.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20"/>
            </w:pPr>
            <w:r>
              <w:rPr>
                <w:sz w:val="15"/>
              </w:rPr>
              <w:t>P3-03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sz w:val="15"/>
              </w:rPr>
              <w:t>Evidence</w:t>
            </w:r>
          </w:p>
        </w:tc>
        <w:tc>
          <w:tcPr>
            <w:tcW w:type="dxa" w:w="5904"/>
            <w:vAlign w:val="center"/>
          </w:tcPr>
          <w:p>
            <w:pPr>
              <w:spacing w:after="20"/>
            </w:pPr>
            <w:r>
              <w:rPr>
                <w:sz w:val="15"/>
              </w:rPr>
              <w:t>Selecting a fact reveals its source document/page/snippet.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20"/>
            </w:pPr>
            <w:r>
              <w:rPr>
                <w:sz w:val="15"/>
              </w:rPr>
              <w:t>P3-04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sz w:val="15"/>
              </w:rPr>
              <w:t>Timeline</w:t>
            </w:r>
          </w:p>
        </w:tc>
        <w:tc>
          <w:tcPr>
            <w:tcW w:type="dxa" w:w="5904"/>
            <w:vAlign w:val="center"/>
          </w:tcPr>
          <w:p>
            <w:pPr>
              <w:spacing w:after="20"/>
            </w:pPr>
            <w:r>
              <w:rPr>
                <w:sz w:val="15"/>
              </w:rPr>
              <w:t>Events sort chronologically and missing dates are labelled unknown rather than assigned upload date.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20"/>
            </w:pPr>
            <w:r>
              <w:rPr>
                <w:sz w:val="15"/>
              </w:rPr>
              <w:t>P3-05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sz w:val="15"/>
              </w:rPr>
              <w:t>Language</w:t>
            </w:r>
          </w:p>
        </w:tc>
        <w:tc>
          <w:tcPr>
            <w:tcW w:type="dxa" w:w="5904"/>
            <w:vAlign w:val="center"/>
          </w:tcPr>
          <w:p>
            <w:pPr>
              <w:spacing w:after="20"/>
            </w:pPr>
            <w:r>
              <w:rPr>
                <w:sz w:val="15"/>
              </w:rPr>
              <w:t>UI can switch English/Hindi; selected language does not alter stored numeric facts.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20"/>
            </w:pPr>
            <w:r>
              <w:rPr>
                <w:sz w:val="15"/>
              </w:rPr>
              <w:t>P3-06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sz w:val="15"/>
              </w:rPr>
              <w:t>Summary states</w:t>
            </w:r>
          </w:p>
        </w:tc>
        <w:tc>
          <w:tcPr>
            <w:tcW w:type="dxa" w:w="5904"/>
            <w:vAlign w:val="center"/>
          </w:tcPr>
          <w:p>
            <w:pPr>
              <w:spacing w:after="20"/>
            </w:pPr>
            <w:r>
              <w:rPr>
                <w:sz w:val="15"/>
              </w:rPr>
              <w:t>Loading, no-summary, provider-error, stale-summary, and completed states are distinct.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20"/>
            </w:pPr>
            <w:r>
              <w:rPr>
                <w:sz w:val="15"/>
              </w:rPr>
              <w:t>P3-07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sz w:val="15"/>
              </w:rPr>
              <w:t>Mock ABHA clarity</w:t>
            </w:r>
          </w:p>
        </w:tc>
        <w:tc>
          <w:tcPr>
            <w:tcW w:type="dxa" w:w="5904"/>
            <w:vAlign w:val="center"/>
          </w:tcPr>
          <w:p>
            <w:pPr>
              <w:spacing w:after="20"/>
            </w:pPr>
            <w:r>
              <w:rPr>
                <w:sz w:val="15"/>
              </w:rPr>
              <w:t>Every mock link/import screen says simulation only and never asks for a real ABHA ID.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20"/>
            </w:pPr>
            <w:r>
              <w:rPr>
                <w:sz w:val="15"/>
              </w:rPr>
              <w:t>P3-08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sz w:val="15"/>
              </w:rPr>
              <w:t>Accessibility/responsiveness</w:t>
            </w:r>
          </w:p>
        </w:tc>
        <w:tc>
          <w:tcPr>
            <w:tcW w:type="dxa" w:w="5904"/>
            <w:vAlign w:val="center"/>
          </w:tcPr>
          <w:p>
            <w:pPr>
              <w:spacing w:after="20"/>
            </w:pPr>
            <w:r>
              <w:rPr>
                <w:sz w:val="15"/>
              </w:rPr>
              <w:t>Controls have labels, readable contrast, and layouts do not break on narrow screens.</w:t>
            </w:r>
          </w:p>
        </w:tc>
      </w:tr>
    </w:tbl>
    <w:p/>
    <w:p>
      <w:pPr>
        <w:pStyle w:val="Heading1"/>
      </w:pPr>
      <w:r>
        <w:t>5. Interfaces and handoffs</w:t>
      </w:r>
    </w:p>
    <w:p>
      <w:r>
        <w:t>Inspect existing UI and list reusable pages/components by H1. Use mock API responses initially, but align with P4's API contract by H2. Upload/review skeleton by H5–H7; integrated timeline and bilingual summary by H10–H13.</w:t>
      </w:r>
    </w:p>
    <w:p>
      <w:pPr>
        <w:pStyle w:val="Heading1"/>
      </w:pPr>
      <w:r>
        <w:t>6. Test plan</w:t>
      </w:r>
    </w:p>
    <w:p>
      <w:pPr>
        <w:pStyle w:val="ListBullet"/>
        <w:spacing w:after="20"/>
      </w:pPr>
      <w:r>
        <w:t>Test loading, empty, failed, needs-review, and success states.</w:t>
      </w:r>
    </w:p>
    <w:p>
      <w:pPr>
        <w:pStyle w:val="ListBullet"/>
        <w:spacing w:after="20"/>
      </w:pPr>
      <w:r>
        <w:t>Test long Hindi text, Devanagari rendering, mixed-language values, and small-screen wrapping.</w:t>
      </w:r>
    </w:p>
    <w:p>
      <w:pPr>
        <w:pStyle w:val="ListBullet"/>
        <w:spacing w:after="20"/>
      </w:pPr>
      <w:r>
        <w:t>Test keyboard focus/labels for upload and review controls.</w:t>
      </w:r>
    </w:p>
    <w:p>
      <w:pPr>
        <w:pStyle w:val="ListBullet"/>
        <w:spacing w:after="20"/>
      </w:pPr>
      <w:r>
        <w:t>Verify summary source links and fact source panel open the correct document/page.</w:t>
      </w:r>
    </w:p>
    <w:p>
      <w:pPr>
        <w:pStyle w:val="ListBullet"/>
        <w:spacing w:after="20"/>
      </w:pPr>
      <w:r>
        <w:t>Verify corrected values are reflected after refresh.</w:t>
      </w:r>
    </w:p>
    <w:p>
      <w:pPr>
        <w:pStyle w:val="Heading1"/>
      </w:pPr>
      <w:r>
        <w:t>7. Risks and mitigations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shd w:fill="12304A"/>
          </w:tcPr>
          <w:p>
            <w:r>
              <w:rPr>
                <w:b/>
                <w:color w:val="FFFFFF"/>
                <w:sz w:val="16"/>
              </w:rPr>
              <w:t>Risk</w:t>
            </w:r>
          </w:p>
        </w:tc>
        <w:tc>
          <w:tcPr>
            <w:tcW w:type="dxa" w:w="5976"/>
            <w:shd w:fill="12304A"/>
          </w:tcPr>
          <w:p>
            <w:r>
              <w:rPr>
                <w:b/>
                <w:color w:val="FFFFFF"/>
                <w:sz w:val="16"/>
              </w:rPr>
              <w:t>Mitigation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20"/>
            </w:pPr>
            <w:r>
              <w:rPr>
                <w:sz w:val="15"/>
              </w:rPr>
              <w:t>Backend contract arrives late</w:t>
            </w:r>
          </w:p>
        </w:tc>
        <w:tc>
          <w:tcPr>
            <w:tcW w:type="dxa" w:w="5976"/>
            <w:vAlign w:val="center"/>
          </w:tcPr>
          <w:p>
            <w:pPr>
              <w:spacing w:after="20"/>
            </w:pPr>
            <w:r>
              <w:rPr>
                <w:sz w:val="15"/>
              </w:rPr>
              <w:t>Use checked-in mocks and a typed client/interface; avoid hardcoded assumptions in many components.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20"/>
            </w:pPr>
            <w:r>
              <w:rPr>
                <w:sz w:val="15"/>
              </w:rPr>
              <w:t>Too much UI scope</w:t>
            </w:r>
          </w:p>
        </w:tc>
        <w:tc>
          <w:tcPr>
            <w:tcW w:type="dxa" w:w="5976"/>
            <w:vAlign w:val="center"/>
          </w:tcPr>
          <w:p>
            <w:pPr>
              <w:spacing w:after="20"/>
            </w:pPr>
            <w:r>
              <w:rPr>
                <w:sz w:val="15"/>
              </w:rPr>
              <w:t>Prioritize upload → review → summary → timeline; keep charts simple and use seeded data.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20"/>
            </w:pPr>
            <w:r>
              <w:rPr>
                <w:sz w:val="15"/>
              </w:rPr>
              <w:t>Translation inconsistencies</w:t>
            </w:r>
          </w:p>
        </w:tc>
        <w:tc>
          <w:tcPr>
            <w:tcW w:type="dxa" w:w="5976"/>
            <w:vAlign w:val="center"/>
          </w:tcPr>
          <w:p>
            <w:pPr>
              <w:spacing w:after="20"/>
            </w:pPr>
            <w:r>
              <w:rPr>
                <w:sz w:val="15"/>
              </w:rPr>
              <w:t>Use a central translation dictionary and glossary, not inline scattered strings.</w:t>
            </w:r>
          </w:p>
        </w:tc>
      </w:tr>
    </w:tbl>
    <w:p/>
    <w:p>
      <w:pPr>
        <w:pStyle w:val="Heading1"/>
      </w:pPr>
      <w:r>
        <w:t>8. First 90 minutes</w:t>
      </w:r>
    </w:p>
    <w:p>
      <w:pPr>
        <w:pStyle w:val="ListNumber"/>
        <w:spacing w:after="20"/>
      </w:pPr>
      <w:r>
        <w:t>Run the existing frontend and map routes/components.</w:t>
      </w:r>
    </w:p>
    <w:p>
      <w:pPr>
        <w:pStyle w:val="ListNumber"/>
        <w:spacing w:after="20"/>
      </w:pPr>
      <w:r>
        <w:t>Sketch the golden-path screen flow and share with all teammates.</w:t>
      </w:r>
    </w:p>
    <w:p>
      <w:pPr>
        <w:pStyle w:val="ListNumber"/>
        <w:spacing w:after="20"/>
      </w:pPr>
      <w:r>
        <w:t>Agree response types with P1/P2/P4.</w:t>
      </w:r>
    </w:p>
    <w:p>
      <w:pPr>
        <w:pStyle w:val="ListNumber"/>
        <w:spacing w:after="20"/>
      </w:pPr>
      <w:r>
        <w:t>Implement upload/status and extraction review using mock data.</w:t>
      </w:r>
    </w:p>
    <w:p>
      <w:pPr>
        <w:pStyle w:val="ListNumber"/>
        <w:spacing w:after="20"/>
      </w:pPr>
      <w:r>
        <w:t>Integrate real APIs incrementally and rehearse the demo path.</w:t>
      </w:r>
    </w:p>
    <w:p>
      <w:pPr>
        <w:pStyle w:val="Heading1"/>
      </w:pPr>
      <w:r>
        <w:t>9. 24-hour checkpoints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656"/>
            <w:shd w:fill="12304A"/>
          </w:tcPr>
          <w:p>
            <w:r>
              <w:rPr>
                <w:b/>
                <w:color w:val="FFFFFF"/>
                <w:sz w:val="16"/>
              </w:rPr>
              <w:t>Time</w:t>
            </w:r>
          </w:p>
        </w:tc>
        <w:tc>
          <w:tcPr>
            <w:tcW w:type="dxa" w:w="7200"/>
            <w:shd w:fill="12304A"/>
          </w:tcPr>
          <w:p>
            <w:r>
              <w:rPr>
                <w:b/>
                <w:color w:val="FFFFFF"/>
                <w:sz w:val="16"/>
              </w:rPr>
              <w:t>Expected state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/>
            </w:pPr>
            <w:r>
              <w:rPr>
                <w:sz w:val="15"/>
              </w:rPr>
              <w:t>H0–H2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>
              <w:rPr>
                <w:sz w:val="15"/>
              </w:rPr>
              <w:t>Repository inspected; existing capabilities mapped; contracts/owner dependencies agreed.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/>
            </w:pPr>
            <w:r>
              <w:rPr>
                <w:sz w:val="15"/>
              </w:rPr>
              <w:t>H2–H6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>
              <w:rPr>
                <w:sz w:val="15"/>
              </w:rPr>
              <w:t>First independently testable increment and mock-compatible interface available.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/>
            </w:pPr>
            <w:r>
              <w:rPr>
                <w:sz w:val="15"/>
              </w:rPr>
              <w:t>H6–H10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>
              <w:rPr>
                <w:sz w:val="15"/>
              </w:rPr>
              <w:t>Working feature integrated in staging; first tests and defects documented.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/>
            </w:pPr>
            <w:r>
              <w:rPr>
                <w:sz w:val="15"/>
              </w:rPr>
              <w:t>H10–H16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>
              <w:rPr>
                <w:sz w:val="15"/>
              </w:rPr>
              <w:t>Core path stable; bonus/interoperability work added only if core remains healthy.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/>
            </w:pPr>
            <w:r>
              <w:rPr>
                <w:sz w:val="15"/>
              </w:rPr>
              <w:t>H16–H19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>
              <w:rPr>
                <w:sz w:val="15"/>
              </w:rPr>
              <w:t>Regression/security checks; known limitations documented; no scope expansion.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/>
            </w:pPr>
            <w:r>
              <w:rPr>
                <w:sz w:val="15"/>
              </w:rPr>
              <w:t>H19–H24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>
              <w:rPr>
                <w:sz w:val="15"/>
              </w:rPr>
              <w:t>Feature freeze, release validation, demo rehearsal, handoff notes.</w:t>
            </w:r>
          </w:p>
        </w:tc>
      </w:tr>
    </w:tbl>
    <w:p/>
    <w:p>
      <w:pPr>
        <w:pStyle w:val="Heading1"/>
      </w:pPr>
      <w:r>
        <w:t>10. Definition of done</w:t>
      </w:r>
    </w:p>
    <w:p>
      <w:pPr>
        <w:pStyle w:val="ListBullet"/>
        <w:spacing w:after="20"/>
      </w:pPr>
      <w:r>
        <w:t>All owned deliverables are merged and demonstrated from the shared repository.</w:t>
      </w:r>
    </w:p>
    <w:p>
      <w:pPr>
        <w:pStyle w:val="ListBullet"/>
        <w:spacing w:after="20"/>
      </w:pPr>
      <w:r>
        <w:t>Acceptance criteria pass or each failure is documented with a safe fallback.</w:t>
      </w:r>
    </w:p>
    <w:p>
      <w:pPr>
        <w:pStyle w:val="ListBullet"/>
        <w:spacing w:after="20"/>
      </w:pPr>
      <w:r>
        <w:t>A teammate can understand and operate the feature using README/API/schema notes.</w:t>
      </w:r>
    </w:p>
    <w:p>
      <w:pPr>
        <w:pStyle w:val="ListBullet"/>
        <w:spacing w:after="20"/>
      </w:pPr>
      <w:r>
        <w:t>No secrets, real patient records, or misleading clinical/ABDM claims are introduced.</w:t>
      </w:r>
    </w:p>
    <w:p>
      <w:pPr>
        <w:pStyle w:val="ListBullet"/>
        <w:spacing w:after="20"/>
      </w:pPr>
      <w:r>
        <w:t>Owner presents a 2-minute explanation of design choices, tests, limitations, and how their feature integrates.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Health Copilot • Person 3 • FRD •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0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2304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