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04A"/>
          <w:sz w:val="46"/>
        </w:rPr>
        <w:t>TEAM HANDOFF &amp; INTEGRATION MATRIX</w:t>
      </w:r>
    </w:p>
    <w:p>
      <w:pPr>
        <w:jc w:val="center"/>
      </w:pPr>
      <w:r>
        <w:t>AI-Powered Personal Health Copilot | Health Assistant base repository</w:t>
      </w:r>
    </w:p>
    <w:p>
      <w:r>
        <w:t>Use this as the shared contract across all five individual FRDs. The individual FRDs define detailed ownership; this file defines how their work connects.</w:t>
      </w:r>
    </w:p>
    <w:p>
      <w:pPr>
        <w:pStyle w:val="Heading1"/>
      </w:pPr>
      <w:r>
        <w:t>1. Ownership 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728"/>
            <w:shd w:fill="12304A"/>
          </w:tcPr>
          <w:p>
            <w:r>
              <w:rPr>
                <w:b/>
                <w:color w:val="FFFFFF"/>
                <w:sz w:val="16"/>
              </w:rPr>
              <w:t>Person</w:t>
            </w:r>
          </w:p>
        </w:tc>
        <w:tc>
          <w:tcPr>
            <w:tcW w:type="dxa" w:w="3024"/>
            <w:shd w:fill="12304A"/>
          </w:tcPr>
          <w:p>
            <w:r>
              <w:rPr>
                <w:b/>
                <w:color w:val="FFFFFF"/>
                <w:sz w:val="16"/>
              </w:rPr>
              <w:t>Owns</w:t>
            </w:r>
          </w:p>
        </w:tc>
        <w:tc>
          <w:tcPr>
            <w:tcW w:type="dxa" w:w="2520"/>
            <w:shd w:fill="12304A"/>
          </w:tcPr>
          <w:p>
            <w:r>
              <w:rPr>
                <w:b/>
                <w:color w:val="FFFFFF"/>
                <w:sz w:val="16"/>
              </w:rPr>
              <w:t>Must deliver first</w:t>
            </w:r>
          </w:p>
        </w:tc>
        <w:tc>
          <w:tcPr>
            <w:tcW w:type="dxa" w:w="2160"/>
            <w:shd w:fill="12304A"/>
          </w:tcPr>
          <w:p>
            <w:r>
              <w:rPr>
                <w:b/>
                <w:color w:val="FFFFFF"/>
                <w:sz w:val="16"/>
              </w:rPr>
              <w:t>Depends on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sz w:val="15"/>
              </w:rPr>
              <w:t>1 — OCR/extraction</w:t>
            </w:r>
          </w:p>
        </w:tc>
        <w:tc>
          <w:tcPr>
            <w:tcW w:type="dxa" w:w="3024"/>
            <w:vAlign w:val="center"/>
          </w:tcPr>
          <w:p>
            <w:pPr>
              <w:spacing w:after="20"/>
            </w:pPr>
            <w:r>
              <w:rPr>
                <w:sz w:val="15"/>
              </w:rPr>
              <w:t>Document ingestion, OCR, structured facts, confidence/provenance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5"/>
              </w:rPr>
              <w:t>Canonical extraction JSON + sample fixture</w:t>
            </w:r>
          </w:p>
        </w:tc>
        <w:tc>
          <w:tcPr>
            <w:tcW w:type="dxa" w:w="2160"/>
            <w:vAlign w:val="center"/>
          </w:tcPr>
          <w:p>
            <w:pPr>
              <w:spacing w:after="20"/>
            </w:pPr>
            <w:r>
              <w:rPr>
                <w:sz w:val="15"/>
              </w:rPr>
              <w:t>P4 schema/API; P3 review UI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sz w:val="15"/>
              </w:rPr>
              <w:t>2 — AI/Hindi</w:t>
            </w:r>
          </w:p>
        </w:tc>
        <w:tc>
          <w:tcPr>
            <w:tcW w:type="dxa" w:w="3024"/>
            <w:vAlign w:val="center"/>
          </w:tcPr>
          <w:p>
            <w:pPr>
              <w:spacing w:after="20"/>
            </w:pPr>
            <w:r>
              <w:rPr>
                <w:sz w:val="15"/>
              </w:rPr>
              <w:t>Provider adapter, evidence-grounded summaries, English/Hindi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5"/>
              </w:rPr>
              <w:t>Summary input/output contract + English baseline</w:t>
            </w:r>
          </w:p>
        </w:tc>
        <w:tc>
          <w:tcPr>
            <w:tcW w:type="dxa" w:w="2160"/>
            <w:vAlign w:val="center"/>
          </w:tcPr>
          <w:p>
            <w:pPr>
              <w:spacing w:after="20"/>
            </w:pPr>
            <w:r>
              <w:rPr>
                <w:sz w:val="15"/>
              </w:rPr>
              <w:t>P1 facts; P4 API; P5 secrets/provider config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sz w:val="15"/>
              </w:rPr>
              <w:t>3 — Frontend</w:t>
            </w:r>
          </w:p>
        </w:tc>
        <w:tc>
          <w:tcPr>
            <w:tcW w:type="dxa" w:w="3024"/>
            <w:vAlign w:val="center"/>
          </w:tcPr>
          <w:p>
            <w:pPr>
              <w:spacing w:after="20"/>
            </w:pPr>
            <w:r>
              <w:rPr>
                <w:sz w:val="15"/>
              </w:rPr>
              <w:t>Upload, review, timeline, bilingual UX, export/import screens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5"/>
              </w:rPr>
              <w:t>Golden-path UI with mock API</w:t>
            </w:r>
          </w:p>
        </w:tc>
        <w:tc>
          <w:tcPr>
            <w:tcW w:type="dxa" w:w="2160"/>
            <w:vAlign w:val="center"/>
          </w:tcPr>
          <w:p>
            <w:pPr>
              <w:spacing w:after="20"/>
            </w:pPr>
            <w:r>
              <w:rPr>
                <w:sz w:val="15"/>
              </w:rPr>
              <w:t>P1/P2 contracts; P4 API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sz w:val="15"/>
              </w:rPr>
              <w:t>4 — Backend/FHIR/ABHA</w:t>
            </w:r>
          </w:p>
        </w:tc>
        <w:tc>
          <w:tcPr>
            <w:tcW w:type="dxa" w:w="3024"/>
            <w:vAlign w:val="center"/>
          </w:tcPr>
          <w:p>
            <w:pPr>
              <w:spacing w:after="20"/>
            </w:pPr>
            <w:r>
              <w:rPr>
                <w:sz w:val="15"/>
              </w:rPr>
              <w:t>Persistence, API contract, timeline, correction, FHIR subset, mock import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5"/>
              </w:rPr>
              <w:t>Versioned schema/OpenAPI by H2</w:t>
            </w:r>
          </w:p>
        </w:tc>
        <w:tc>
          <w:tcPr>
            <w:tcW w:type="dxa" w:w="2160"/>
            <w:vAlign w:val="center"/>
          </w:tcPr>
          <w:p>
            <w:pPr>
              <w:spacing w:after="20"/>
            </w:pPr>
            <w:r>
              <w:rPr>
                <w:sz w:val="15"/>
              </w:rPr>
              <w:t>P1 extraction shape; P2 summary shape; P3 screens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sz w:val="15"/>
              </w:rPr>
              <w:t>5 — DevOps/QA</w:t>
            </w:r>
          </w:p>
        </w:tc>
        <w:tc>
          <w:tcPr>
            <w:tcW w:type="dxa" w:w="3024"/>
            <w:vAlign w:val="center"/>
          </w:tcPr>
          <w:p>
            <w:pPr>
              <w:spacing w:after="20"/>
            </w:pPr>
            <w:r>
              <w:rPr>
                <w:sz w:val="15"/>
              </w:rPr>
              <w:t>Repo baseline, deployment, tests, release and submission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5"/>
              </w:rPr>
              <w:t>Runnable baseline + health check</w:t>
            </w:r>
          </w:p>
        </w:tc>
        <w:tc>
          <w:tcPr>
            <w:tcW w:type="dxa" w:w="2160"/>
            <w:vAlign w:val="center"/>
          </w:tcPr>
          <w:p>
            <w:pPr>
              <w:spacing w:after="20"/>
            </w:pPr>
            <w:r>
              <w:rPr>
                <w:sz w:val="15"/>
              </w:rPr>
              <w:t>All service/env contracts</w:t>
            </w:r>
          </w:p>
        </w:tc>
      </w:tr>
    </w:tbl>
    <w:p/>
    <w:p>
      <w:pPr>
        <w:pStyle w:val="Heading1"/>
      </w:pPr>
      <w:r>
        <w:t>2. Non-negotiable shared contracts</w:t>
      </w:r>
    </w:p>
    <w:p>
      <w:pPr>
        <w:pStyle w:val="ListBullet"/>
        <w:spacing w:after="20"/>
      </w:pPr>
      <w:r>
        <w:t>Agree one canonical extraction schema by H2. Any field changes are communicated in the team channel and updated in the checked-in schema.</w:t>
      </w:r>
    </w:p>
    <w:p>
      <w:pPr>
        <w:pStyle w:val="ListBullet"/>
        <w:spacing w:after="20"/>
      </w:pPr>
      <w:r>
        <w:t>Fact records retain original source text and normalized value separately; unknown fields are null/not found, not guessed.</w:t>
      </w:r>
    </w:p>
    <w:p>
      <w:pPr>
        <w:pStyle w:val="ListBullet"/>
        <w:spacing w:after="20"/>
      </w:pPr>
      <w:r>
        <w:t>Every critical fact should carry source_document_id, source_page where available, confidence, and review_status.</w:t>
      </w:r>
    </w:p>
    <w:p>
      <w:pPr>
        <w:pStyle w:val="ListBullet"/>
        <w:spacing w:after="20"/>
      </w:pPr>
      <w:r>
        <w:t>Summary output carries language and source references; correction marks old summaries stale.</w:t>
      </w:r>
    </w:p>
    <w:p>
      <w:pPr>
        <w:pStyle w:val="ListBullet"/>
        <w:spacing w:after="20"/>
      </w:pPr>
      <w:r>
        <w:t>Mock ABHA import uses only seeded synthetic fixtures, preview/confirmation, deduplication, and a persistent simulation disclaimer.</w:t>
      </w:r>
    </w:p>
    <w:p>
      <w:pPr>
        <w:pStyle w:val="ListBullet"/>
        <w:spacing w:after="20"/>
      </w:pPr>
      <w:r>
        <w:t>FHIR scope is a documented subset. Never claim full FHIR conformance, ABDM connectivity, or official ABHA integration.</w:t>
      </w:r>
    </w:p>
    <w:p>
      <w:pPr>
        <w:pStyle w:val="ListBullet"/>
        <w:spacing w:after="20"/>
      </w:pPr>
      <w:r>
        <w:t>API keys remain server-side; public demo data is synthetic; no secrets or real patient documents in Git.</w:t>
      </w:r>
    </w:p>
    <w:p>
      <w:pPr>
        <w:pStyle w:val="ListBullet"/>
        <w:spacing w:after="20"/>
      </w:pPr>
      <w:r>
        <w:t>Merge working vertical slices early. A green deployed golden path outranks an unfinished feature catalogue.</w:t>
      </w:r>
    </w:p>
    <w:p>
      <w:pPr>
        <w:pStyle w:val="Heading1"/>
      </w:pPr>
      <w:r>
        <w:t>3. Suggested logical data contract</w:t>
      </w:r>
    </w:p>
    <w:p>
      <w:r>
        <w:rPr>
          <w:rFonts w:ascii="Consolas" w:hAnsi="Consolas"/>
          <w:sz w:val="16"/>
        </w:rPr>
        <w:t>Document:</w:t>
        <w:br/>
        <w:t xml:space="preserve">  id, patient_id, type, original_filename, mime_type, checksum,</w:t>
        <w:br/>
        <w:t xml:space="preserve">  upload_date, document_date?, processing_status, source_storage_ref</w:t>
        <w:br/>
        <w:br/>
        <w:t>ExtractedFact:</w:t>
        <w:br/>
        <w:t xml:space="preserve">  id, patient_id, document_id, fact_type,</w:t>
        <w:br/>
        <w:t xml:space="preserve">  original_text, normalized_value, unit?, stated_reference_range?,</w:t>
        <w:br/>
        <w:t xml:space="preserve">  effective_date?, source_page?, source_snippet?, source_region?,</w:t>
        <w:br/>
        <w:t xml:space="preserve">  confidence?, review_status, corrected_by_user?, updated_at</w:t>
        <w:br/>
        <w:br/>
        <w:t>Summary:</w:t>
        <w:br/>
        <w:t xml:space="preserve">  id, patient_id, language, sections, claims_with_source_refs,</w:t>
        <w:br/>
        <w:t xml:space="preserve">  caveat, prompt_version, created_at, stale</w:t>
        <w:br/>
        <w:br/>
        <w:t>MockImport:</w:t>
        <w:br/>
        <w:t xml:space="preserve">  id, patient_id, source_system="mock_abdm", external_record_id,</w:t>
        <w:br/>
        <w:t xml:space="preserve">  imported_at, simulation=true, checksum</w:t>
      </w:r>
    </w:p>
    <w:p>
      <w:pPr>
        <w:pStyle w:val="Heading1"/>
      </w:pPr>
      <w:r>
        <w:t>4. Integration checkpoints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296"/>
            <w:shd w:fill="12304A"/>
          </w:tcPr>
          <w:p>
            <w:r>
              <w:rPr>
                <w:b/>
                <w:color w:val="FFFFFF"/>
                <w:sz w:val="16"/>
              </w:rPr>
              <w:t>Deadline</w:t>
            </w:r>
          </w:p>
        </w:tc>
        <w:tc>
          <w:tcPr>
            <w:tcW w:type="dxa" w:w="2376"/>
            <w:shd w:fill="12304A"/>
          </w:tcPr>
          <w:p>
            <w:r>
              <w:rPr>
                <w:b/>
                <w:color w:val="FFFFFF"/>
                <w:sz w:val="16"/>
              </w:rPr>
              <w:t>Integration event</w:t>
            </w:r>
          </w:p>
        </w:tc>
        <w:tc>
          <w:tcPr>
            <w:tcW w:type="dxa" w:w="5904"/>
            <w:shd w:fill="12304A"/>
          </w:tcPr>
          <w:p>
            <w:r>
              <w:rPr>
                <w:b/>
                <w:color w:val="FFFFFF"/>
                <w:sz w:val="16"/>
              </w:rPr>
              <w:t>Pass/fail gate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20"/>
            </w:pPr>
            <w:r>
              <w:rPr>
                <w:sz w:val="15"/>
              </w:rPr>
              <w:t>H1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sz w:val="15"/>
              </w:rPr>
              <w:t>P5 baseline review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>
              <w:rPr>
                <w:sz w:val="15"/>
              </w:rPr>
              <w:t>Existing repo starts; architecture/licence/env requirements documented.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20"/>
            </w:pPr>
            <w:r>
              <w:rPr>
                <w:sz w:val="15"/>
              </w:rPr>
              <w:t>H2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sz w:val="15"/>
              </w:rPr>
              <w:t>Schema/API freeze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>
              <w:rPr>
                <w:sz w:val="15"/>
              </w:rPr>
              <w:t>P1/P2/P3/P4 agree JSON shapes and status enums.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20"/>
            </w:pPr>
            <w:r>
              <w:rPr>
                <w:sz w:val="15"/>
              </w:rPr>
              <w:t>H5–H6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sz w:val="15"/>
              </w:rPr>
              <w:t>First upload vertical slice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>
              <w:rPr>
                <w:sz w:val="15"/>
              </w:rPr>
              <w:t>One synthetic document reaches extraction output and can be displayed.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20"/>
            </w:pPr>
            <w:r>
              <w:rPr>
                <w:sz w:val="15"/>
              </w:rPr>
              <w:t>H8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sz w:val="15"/>
              </w:rPr>
              <w:t>Persistence + review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>
              <w:rPr>
                <w:sz w:val="15"/>
              </w:rPr>
              <w:t>Facts persist; one can be corrected and reloaded.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20"/>
            </w:pPr>
            <w:r>
              <w:rPr>
                <w:sz w:val="15"/>
              </w:rPr>
              <w:t>H10–H13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sz w:val="15"/>
              </w:rPr>
              <w:t>AI + bilingual flow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>
              <w:rPr>
                <w:sz w:val="15"/>
              </w:rPr>
              <w:t>Grounded English/Hindi summary renders with source references.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20"/>
            </w:pPr>
            <w:r>
              <w:rPr>
                <w:sz w:val="15"/>
              </w:rPr>
              <w:t>H14–H16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sz w:val="15"/>
              </w:rPr>
              <w:t>Interoperability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>
              <w:rPr>
                <w:sz w:val="15"/>
              </w:rPr>
              <w:t>FHIR-style export parses; mock ABHA import preview/confirmation/dedupe works.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20"/>
            </w:pPr>
            <w:r>
              <w:rPr>
                <w:sz w:val="15"/>
              </w:rPr>
              <w:t>H16–H19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sz w:val="15"/>
              </w:rPr>
              <w:t>External QA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>
              <w:rPr>
                <w:sz w:val="15"/>
              </w:rPr>
              <w:t>Public HTTPS golden path, provider-failure handling, security checks pass.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20"/>
            </w:pPr>
            <w:r>
              <w:rPr>
                <w:sz w:val="15"/>
              </w:rPr>
              <w:t>H19–H21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sz w:val="15"/>
              </w:rPr>
              <w:t>Feature freeze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>
              <w:rPr>
                <w:sz w:val="15"/>
              </w:rPr>
              <w:t>No new risky features; regression tests, backups, docs and demo are ready.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20"/>
            </w:pPr>
            <w:r>
              <w:rPr>
                <w:sz w:val="15"/>
              </w:rPr>
              <w:t>H21–H24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sz w:val="15"/>
              </w:rPr>
              <w:t>Final rehearsal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>
              <w:rPr>
                <w:sz w:val="15"/>
              </w:rPr>
              <w:t>Clean restart and 3–5 minute demo rehearsed twice; fallback ready.</w:t>
            </w:r>
          </w:p>
        </w:tc>
      </w:tr>
    </w:tbl>
    <w:p/>
    <w:p>
      <w:pPr>
        <w:pStyle w:val="Heading1"/>
      </w:pPr>
      <w:r>
        <w:t>5. Azure credit controls</w:t>
      </w:r>
    </w:p>
    <w:p>
      <w:pPr>
        <w:pStyle w:val="ListBullet"/>
        <w:spacing w:after="20"/>
      </w:pPr>
      <w:r>
        <w:t>Check the specific $100 credit offer, expiry date, allowed service types, and region before choosing a deployment SKU.</w:t>
      </w:r>
    </w:p>
    <w:p>
      <w:pPr>
        <w:pStyle w:val="ListBullet"/>
        <w:spacing w:after="20"/>
      </w:pPr>
      <w:r>
        <w:t>Pick one primary deployment target by H2; keep one fallback only if it is practical.</w:t>
      </w:r>
    </w:p>
    <w:p>
      <w:pPr>
        <w:pStyle w:val="ListBullet"/>
        <w:spacing w:after="20"/>
      </w:pPr>
      <w:r>
        <w:t>Use the fewest services that meet the current repository architecture. OCR runs at low concurrency; use a hosted model rather than local LLM inference on a low-spec server.</w:t>
      </w:r>
    </w:p>
    <w:p>
      <w:pPr>
        <w:pStyle w:val="ListBullet"/>
        <w:spacing w:after="20"/>
      </w:pPr>
      <w:r>
        <w:t>Use provider adapters so AgentRouter can be replaced if unavailable or incompatible. Never assume Azure credits pay for AgentRouter.</w:t>
      </w:r>
    </w:p>
    <w:p>
      <w:pPr>
        <w:pStyle w:val="ListBullet"/>
        <w:spacing w:after="20"/>
      </w:pPr>
      <w:r>
        <w:t>Set a budget alert if available, review usage daily, and remember that alerts may not hard-stop spending.</w:t>
      </w:r>
    </w:p>
    <w:p>
      <w:pPr>
        <w:pStyle w:val="ListBullet"/>
        <w:spacing w:after="20"/>
      </w:pPr>
      <w:r>
        <w:t>At the end, export needed artifacts and stop/delete paid resources; document who owns cleanup.</w:t>
      </w:r>
    </w:p>
    <w:p>
      <w:pPr>
        <w:pStyle w:val="Heading1"/>
      </w:pPr>
      <w:r>
        <w:t>6. Shared demo acceptance</w:t>
      </w:r>
    </w:p>
    <w:p>
      <w:pPr>
        <w:pStyle w:val="ListNumber"/>
        <w:spacing w:after="20"/>
      </w:pPr>
      <w:r>
        <w:t>Seeded synthetic patient is clearly labelled fictional.</w:t>
      </w:r>
    </w:p>
    <w:p>
      <w:pPr>
        <w:pStyle w:val="ListNumber"/>
        <w:spacing w:after="20"/>
      </w:pPr>
      <w:r>
        <w:t>Upload one lab report and one prescription/discharge summary.</w:t>
      </w:r>
    </w:p>
    <w:p>
      <w:pPr>
        <w:pStyle w:val="ListNumber"/>
        <w:spacing w:after="20"/>
      </w:pPr>
      <w:r>
        <w:t>Show extraction with source evidence and an uncertain field that needs review.</w:t>
      </w:r>
    </w:p>
    <w:p>
      <w:pPr>
        <w:pStyle w:val="ListNumber"/>
        <w:spacing w:after="20"/>
      </w:pPr>
      <w:r>
        <w:t>Correct/confirm the field and show it in the timeline.</w:t>
      </w:r>
    </w:p>
    <w:p>
      <w:pPr>
        <w:pStyle w:val="ListNumber"/>
        <w:spacing w:after="20"/>
      </w:pPr>
      <w:r>
        <w:t>Generate English and Hindi summaries with source references and safety caveat.</w:t>
      </w:r>
    </w:p>
    <w:p>
      <w:pPr>
        <w:pStyle w:val="ListNumber"/>
        <w:spacing w:after="20"/>
      </w:pPr>
      <w:r>
        <w:t>Export FHIR-style Bundle JSON and show mock ABHA import preview, confirmation, and idempotent repeat.</w:t>
      </w:r>
    </w:p>
    <w:p>
      <w:pPr>
        <w:pStyle w:val="ListNumber"/>
        <w:spacing w:after="20"/>
      </w:pPr>
      <w:r>
        <w:t>Open deployed URL from an external network; show persistence after restart or use recorded fallback if infrastructure fails.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Health Copilot • Team • FRD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0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304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