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4472C4"/>
          <w:sz w:val="26"/>
        </w:rPr>
        <w:t>IBM SkillsBuild Academic Internship Program</w:t>
        <w:br/>
        <w:t>Conducted by BharatCares in association with AICTE</w:t>
      </w:r>
    </w:p>
    <w:p>
      <w:pPr>
        <w:jc w:val="center"/>
      </w:pPr>
      <w:r>
        <w:rPr>
          <w:color w:val="4472C4"/>
        </w:rPr>
        <w:t>――――――――――――――――――――――――――――――――――――――</w:t>
      </w:r>
    </w:p>
    <w:p>
      <w:pPr>
        <w:spacing w:before="480" w:after="240"/>
        <w:jc w:val="center"/>
      </w:pPr>
      <w:r>
        <w:rPr>
          <w:b/>
          <w:color w:val="1F4E79"/>
          <w:sz w:val="44"/>
        </w:rPr>
        <w:t>PREDICTIVE CUSTOMER CHURN ANALYTICS AND RETENTION MODELING USING ARTIFICIAL INTELLIGENCE</w:t>
      </w:r>
    </w:p>
    <w:p>
      <w:pPr>
        <w:spacing w:after="720"/>
        <w:jc w:val="center"/>
      </w:pPr>
      <w:r>
        <w:rPr>
          <w:i/>
          <w:color w:val="737373"/>
          <w:sz w:val="24"/>
        </w:rPr>
        <w:t>An Applied End-to-End Machine Learning and Business Intelligence Study on the IBM Telco Dataset</w:t>
      </w:r>
    </w:p>
    <w:p>
      <w:pPr>
        <w:spacing w:before="1200" w:line="324" w:lineRule="auto"/>
        <w:jc w:val="center"/>
      </w:pPr>
      <w:r>
        <w:rPr>
          <w:sz w:val="22"/>
        </w:rPr>
        <w:t>Submitted in partial fulfillment of the requirements for the</w:t>
        <w:br/>
      </w:r>
      <w:r>
        <w:rPr>
          <w:b/>
          <w:color w:val="1F4E79"/>
          <w:sz w:val="24"/>
        </w:rPr>
        <w:t>IBM SkillsBuild Data Analytics with AI Academic Internship</w:t>
        <w:br/>
        <w:br/>
      </w:r>
      <w:r>
        <w:rPr>
          <w:i/>
          <w:sz w:val="20"/>
        </w:rPr>
        <w:t>Submitted By:</w:t>
        <w:br/>
      </w:r>
      <w:r>
        <w:rPr>
          <w:b/>
          <w:color w:val="1F4E79"/>
          <w:sz w:val="30"/>
        </w:rPr>
        <w:t>ANSILA MOL M A</w:t>
        <w:br/>
      </w:r>
      <w:r>
        <w:rPr>
          <w:sz w:val="22"/>
        </w:rPr>
        <w:t>Department of Computer Science and Engineering</w:t>
        <w:br/>
        <w:t>Viswajyothi College of Engineering and Technology, Muvattupuzha</w:t>
        <w:br/>
        <w:br/>
        <w:t>Academic Year: 2026</w:t>
      </w:r>
    </w:p>
    <w:p>
      <w:r>
        <w:br w:type="page"/>
      </w:r>
    </w:p>
    <w:p>
      <w:pPr>
        <w:pStyle w:val="Heading1"/>
        <w:keepNext/>
        <w:spacing w:before="320" w:after="160"/>
      </w:pPr>
      <w:r>
        <w:rPr>
          <w:rFonts w:ascii="Calibri" w:hAnsi="Calibri"/>
          <w:b/>
          <w:color w:val="1F4E79"/>
          <w:sz w:val="36"/>
        </w:rPr>
        <w:t>Executive Summary</w:t>
      </w:r>
    </w:p>
    <w:p>
      <w:r>
        <w:t>Customer churn is a paramount strategic challenge across modern subscription-driven industries, particularly in telecommunications where acquiring a replacement subscriber costs between 5 to 7 times more than retaining an incumbent. This project develops an enterprise-grade, end-to-end Data Analytics and Artificial Intelligence pipeline designed to detect early signals of customer attrition, quantify churn probability, and provide prescriptive intervention strategies for business leaders.</w:t>
      </w:r>
    </w:p>
    <w:p>
      <w:r>
        <w:t>Utilizing the benchmark IBM Telco Customer Churn dataset comprising 7,043 customer accounts and 21 multi-dimensional features, the study executes rigorous data cleaning, exploratory data analysis (EDA), feature engineering, and supervised machine learning model training. Three algorithmic architectures were implemented, evaluated, and compared: Logistic Regression, Random Forest Classifier, and Gradient Boosting Classifier.</w:t>
      </w:r>
    </w:p>
    <w:p>
      <w:r>
        <w:t>Our empirical results demonstrate outstanding predictive discrimination, with the Gradient Boosting and Random Forest models achieving an Area Under the ROC Curve (ROC-AUC) of 0.844 and an overall classification accuracy of 80.6%. Feature importance analysis reveals that contractual agreement type (Month-to-month contracts), customer tenure, total financial spend, and internet service technology (Fiber Optic) are the decisive drivers of churn. Based on these insights, a multi-tiered customer retention strategy is outlined—including contract migration incentives, proactive onboarding within the critical 0–12 month window, and automated payment incentives—capable of preserving over $143,000 in recurring annual revenue per 1,000 at-risk subscribers.</w:t>
      </w:r>
    </w:p>
    <w:p>
      <w:pPr>
        <w:pStyle w:val="Heading1"/>
        <w:keepNext/>
        <w:spacing w:before="320" w:after="160"/>
      </w:pPr>
      <w:r>
        <w:rPr>
          <w:rFonts w:ascii="Calibri" w:hAnsi="Calibri"/>
          <w:b/>
          <w:color w:val="1F4E79"/>
          <w:sz w:val="36"/>
        </w:rPr>
        <w:t>Chapter 1: Introduction &amp; Problem Context</w:t>
      </w:r>
    </w:p>
    <w:p>
      <w:pPr>
        <w:pStyle w:val="Heading2"/>
        <w:keepNext/>
        <w:spacing w:before="240" w:after="120"/>
      </w:pPr>
      <w:r>
        <w:rPr>
          <w:rFonts w:ascii="Calibri" w:hAnsi="Calibri"/>
          <w:b/>
          <w:color w:val="4472C4"/>
          <w:sz w:val="28"/>
        </w:rPr>
        <w:t>1.1 Background of Telecommunications Industry Dynamics</w:t>
      </w:r>
    </w:p>
    <w:p>
      <w:r>
        <w:t>In mature telecommunications markets, market saturation has shifted corporate focus from subscriber acquisition to customer lifetime value maximization and attrition prevention. High penetration rates, low switching barriers, and aggressive competitive pricing incentivize consumers to switch carriers at the earliest friction point. Subscriber attrition—commonly termed churn—results not only in immediate recurring revenue leakage but also inflates customer lifetime acquisition costs (CAC) and dampens profitability margins.</w:t>
      </w:r>
    </w:p>
    <w:p>
      <w:pPr>
        <w:pStyle w:val="Heading2"/>
        <w:keepNext/>
        <w:spacing w:before="240" w:after="120"/>
      </w:pPr>
      <w:r>
        <w:rPr>
          <w:rFonts w:ascii="Calibri" w:hAnsi="Calibri"/>
          <w:b/>
          <w:color w:val="4472C4"/>
          <w:sz w:val="28"/>
        </w:rPr>
        <w:t>1.2 The Economics of Churn Prevention</w:t>
      </w:r>
    </w:p>
    <w:p>
      <w:r>
        <w:t>Empirical market research consistently demonstrates that retaining an existing customer yields significantly higher return on investment (ROI) than acquiring a new customer. Customer retention economics can be summarized along three key dimensions:</w:t>
      </w:r>
    </w:p>
    <w:p>
      <w:pPr>
        <w:ind w:left="432"/>
      </w:pPr>
      <w:r>
        <w:rPr>
          <w:b/>
        </w:rPr>
        <w:t xml:space="preserve">• Cost Disparity: </w:t>
      </w:r>
      <w:r>
        <w:t>Acquiring a new subscriber requires substantial advertising, promotional onboarding subsidies, and sales commissions—costing 5 to 7 times more than proactive retention.</w:t>
        <w:br/>
      </w:r>
      <w:r>
        <w:rPr>
          <w:b/>
        </w:rPr>
        <w:t xml:space="preserve">• Margin Expansion: </w:t>
      </w:r>
      <w:r>
        <w:t>Long-tenured customers tend to adopt premium value-added services, generate higher average revenue per user (ARPU), and require lower servicing costs.</w:t>
        <w:br/>
      </w:r>
      <w:r>
        <w:rPr>
          <w:b/>
        </w:rPr>
        <w:t xml:space="preserve">• Brand Advocacy: </w:t>
      </w:r>
      <w:r>
        <w:t>Satisfied long-term customers act as organic brand promoters, mitigating natural customer turnover through positive word-of-mouth referrals.</w:t>
      </w:r>
    </w:p>
    <w:p>
      <w:pPr>
        <w:pStyle w:val="Heading2"/>
        <w:keepNext/>
        <w:spacing w:before="240" w:after="120"/>
      </w:pPr>
      <w:r>
        <w:rPr>
          <w:rFonts w:ascii="Calibri" w:hAnsi="Calibri"/>
          <w:b/>
          <w:color w:val="4472C4"/>
          <w:sz w:val="28"/>
        </w:rPr>
        <w:t>1.3 Project Objectives</w:t>
      </w:r>
    </w:p>
    <w:p>
      <w:r>
        <w:t>Under the IBM SkillsBuild Data Analytics with AI Academic Internship curriculum, this study delivers five core technical objectives:</w:t>
      </w:r>
    </w:p>
    <w:p>
      <w:pPr>
        <w:ind w:left="432"/>
      </w:pPr>
      <w:r>
        <w:t>1. Perform exploratory data analytics to uncover behavioral, demographic, and contractual patterns characterizing churn-prone customers.</w:t>
        <w:br/>
        <w:t>2. Establish robust data engineering and feature transformation pipelines adhering to scikit-learn best practices.</w:t>
        <w:br/>
        <w:t>3. Train and tune multiple machine learning classifiers to predict individual subscriber churn probabilities.</w:t>
        <w:br/>
        <w:t>4. Quantitatively benchmark models using standard classification metrics including Precision, Recall, F1-Score, and ROC-AUC.</w:t>
        <w:br/>
        <w:t>5. Translate statistical and algorithmic findings into concrete, executive-level business interventions.</w:t>
      </w:r>
    </w:p>
    <w:p>
      <w:pPr>
        <w:pStyle w:val="Heading1"/>
        <w:keepNext/>
        <w:spacing w:before="320" w:after="160"/>
      </w:pPr>
      <w:r>
        <w:rPr>
          <w:rFonts w:ascii="Calibri" w:hAnsi="Calibri"/>
          <w:b/>
          <w:color w:val="1F4E79"/>
          <w:sz w:val="36"/>
        </w:rPr>
        <w:t>Chapter 2: Dataset Architecture &amp; Data Dictionary</w:t>
      </w:r>
    </w:p>
    <w:p>
      <w:r>
        <w:t>The analysis is conducted on the official IBM Telco Customer Churn benchmark dataset (WA_Fn-UseC_-Telco-Customer-Churn.csv), containing 7,043 customer accounts. The dataset encompasses four distinct functional dimensions: demographic profile, account administration, subscribed telecommunication services, and the target churn indicator.</w:t>
      </w:r>
    </w:p>
    <w:p>
      <w:pPr>
        <w:pStyle w:val="Heading2"/>
        <w:keepNext/>
        <w:spacing w:before="240" w:after="120"/>
      </w:pPr>
      <w:r>
        <w:rPr>
          <w:rFonts w:ascii="Calibri" w:hAnsi="Calibri"/>
          <w:b/>
          <w:color w:val="4472C4"/>
          <w:sz w:val="28"/>
        </w:rPr>
        <w:t>2.1 Data Dictionary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E79"/>
            <w:tcMar>
              <w:top w:w="100" w:type="dxa"/>
              <w:bottom w:w="100" w:type="dxa"/>
              <w:left w:w="150" w:type="dxa"/>
              <w:right w:w="150" w:type="dxa"/>
            </w:tcMar>
          </w:tcPr>
          <w:p>
            <w:pPr>
              <w:jc w:val="center"/>
            </w:pPr>
            <w:r>
              <w:rPr>
                <w:b/>
                <w:color w:val="FFFFFF"/>
              </w:rPr>
              <w:t>Attribute</w:t>
            </w:r>
          </w:p>
        </w:tc>
        <w:tc>
          <w:tcPr>
            <w:tcW w:type="dxa" w:w="1584"/>
            <w:shd w:fill="1F4E79"/>
            <w:tcMar>
              <w:top w:w="100" w:type="dxa"/>
              <w:bottom w:w="100" w:type="dxa"/>
              <w:left w:w="150" w:type="dxa"/>
              <w:right w:w="150" w:type="dxa"/>
            </w:tcMar>
          </w:tcPr>
          <w:p>
            <w:pPr>
              <w:jc w:val="center"/>
            </w:pPr>
            <w:r>
              <w:rPr>
                <w:b/>
                <w:color w:val="FFFFFF"/>
              </w:rPr>
              <w:t>Data Type</w:t>
            </w:r>
          </w:p>
        </w:tc>
        <w:tc>
          <w:tcPr>
            <w:tcW w:type="dxa" w:w="1584"/>
            <w:shd w:fill="1F4E79"/>
            <w:tcMar>
              <w:top w:w="100" w:type="dxa"/>
              <w:bottom w:w="100" w:type="dxa"/>
              <w:left w:w="150" w:type="dxa"/>
              <w:right w:w="150" w:type="dxa"/>
            </w:tcMar>
          </w:tcPr>
          <w:p>
            <w:pPr>
              <w:jc w:val="center"/>
            </w:pPr>
            <w:r>
              <w:rPr>
                <w:b/>
                <w:color w:val="FFFFFF"/>
              </w:rPr>
              <w:t>Category</w:t>
            </w:r>
          </w:p>
        </w:tc>
        <w:tc>
          <w:tcPr>
            <w:tcW w:type="dxa" w:w="3744"/>
            <w:shd w:fill="1F4E79"/>
            <w:tcMar>
              <w:top w:w="100" w:type="dxa"/>
              <w:bottom w:w="100" w:type="dxa"/>
              <w:left w:w="150" w:type="dxa"/>
              <w:right w:w="150" w:type="dxa"/>
            </w:tcMar>
          </w:tcPr>
          <w:p>
            <w:pPr>
              <w:jc w:val="center"/>
            </w:pPr>
            <w:r>
              <w:rPr>
                <w:b/>
                <w:color w:val="FFFFFF"/>
              </w:rPr>
              <w:t>Description / Value Domain</w:t>
            </w:r>
          </w:p>
        </w:tc>
      </w:tr>
      <w:tr>
        <w:tc>
          <w:tcPr>
            <w:tcW w:type="dxa" w:w="2160"/>
            <w:shd w:fill="FFFFFF"/>
            <w:tcMar>
              <w:top w:w="50" w:type="dxa"/>
              <w:bottom w:w="50" w:type="dxa"/>
              <w:left w:w="80" w:type="dxa"/>
              <w:right w:w="80" w:type="dxa"/>
            </w:tcMar>
          </w:tcPr>
          <w:p>
            <w:r>
              <w:rPr>
                <w:sz w:val="17"/>
              </w:rPr>
              <w:t>customerID</w:t>
            </w:r>
          </w:p>
        </w:tc>
        <w:tc>
          <w:tcPr>
            <w:tcW w:type="dxa" w:w="1584"/>
            <w:shd w:fill="FFFFFF"/>
            <w:tcMar>
              <w:top w:w="50" w:type="dxa"/>
              <w:bottom w:w="50" w:type="dxa"/>
              <w:left w:w="80" w:type="dxa"/>
              <w:right w:w="80" w:type="dxa"/>
            </w:tcMar>
          </w:tcPr>
          <w:p>
            <w:r>
              <w:rPr>
                <w:sz w:val="17"/>
              </w:rPr>
              <w:t>Categorical (String)</w:t>
            </w:r>
          </w:p>
        </w:tc>
        <w:tc>
          <w:tcPr>
            <w:tcW w:type="dxa" w:w="1584"/>
            <w:shd w:fill="FFFFFF"/>
            <w:tcMar>
              <w:top w:w="50" w:type="dxa"/>
              <w:bottom w:w="50" w:type="dxa"/>
              <w:left w:w="80" w:type="dxa"/>
              <w:right w:w="80" w:type="dxa"/>
            </w:tcMar>
          </w:tcPr>
          <w:p>
            <w:r>
              <w:rPr>
                <w:sz w:val="17"/>
              </w:rPr>
              <w:t>Identifier</w:t>
            </w:r>
          </w:p>
        </w:tc>
        <w:tc>
          <w:tcPr>
            <w:tcW w:type="dxa" w:w="3744"/>
            <w:shd w:fill="FFFFFF"/>
            <w:tcMar>
              <w:top w:w="50" w:type="dxa"/>
              <w:bottom w:w="50" w:type="dxa"/>
              <w:left w:w="80" w:type="dxa"/>
              <w:right w:w="80" w:type="dxa"/>
            </w:tcMar>
          </w:tcPr>
          <w:p>
            <w:r>
              <w:rPr>
                <w:sz w:val="17"/>
              </w:rPr>
              <w:t>Unique subscriber ID code. Pruned during modeling.</w:t>
            </w:r>
          </w:p>
        </w:tc>
      </w:tr>
      <w:tr>
        <w:tc>
          <w:tcPr>
            <w:tcW w:type="dxa" w:w="2160"/>
            <w:shd w:fill="F2F4F7"/>
            <w:tcMar>
              <w:top w:w="50" w:type="dxa"/>
              <w:bottom w:w="50" w:type="dxa"/>
              <w:left w:w="80" w:type="dxa"/>
              <w:right w:w="80" w:type="dxa"/>
            </w:tcMar>
          </w:tcPr>
          <w:p>
            <w:r>
              <w:rPr>
                <w:sz w:val="17"/>
              </w:rPr>
              <w:t>gender</w:t>
            </w:r>
          </w:p>
        </w:tc>
        <w:tc>
          <w:tcPr>
            <w:tcW w:type="dxa" w:w="1584"/>
            <w:shd w:fill="F2F4F7"/>
            <w:tcMar>
              <w:top w:w="50" w:type="dxa"/>
              <w:bottom w:w="50" w:type="dxa"/>
              <w:left w:w="80" w:type="dxa"/>
              <w:right w:w="80" w:type="dxa"/>
            </w:tcMar>
          </w:tcPr>
          <w:p>
            <w:r>
              <w:rPr>
                <w:sz w:val="17"/>
              </w:rPr>
              <w:t>Categorical (Binary)</w:t>
            </w:r>
          </w:p>
        </w:tc>
        <w:tc>
          <w:tcPr>
            <w:tcW w:type="dxa" w:w="1584"/>
            <w:shd w:fill="F2F4F7"/>
            <w:tcMar>
              <w:top w:w="50" w:type="dxa"/>
              <w:bottom w:w="50" w:type="dxa"/>
              <w:left w:w="80" w:type="dxa"/>
              <w:right w:w="80" w:type="dxa"/>
            </w:tcMar>
          </w:tcPr>
          <w:p>
            <w:r>
              <w:rPr>
                <w:sz w:val="17"/>
              </w:rPr>
              <w:t>Demographic</w:t>
            </w:r>
          </w:p>
        </w:tc>
        <w:tc>
          <w:tcPr>
            <w:tcW w:type="dxa" w:w="3744"/>
            <w:shd w:fill="F2F4F7"/>
            <w:tcMar>
              <w:top w:w="50" w:type="dxa"/>
              <w:bottom w:w="50" w:type="dxa"/>
              <w:left w:w="80" w:type="dxa"/>
              <w:right w:w="80" w:type="dxa"/>
            </w:tcMar>
          </w:tcPr>
          <w:p>
            <w:r>
              <w:rPr>
                <w:sz w:val="17"/>
              </w:rPr>
              <w:t>Customer gender identifier: Male or Female.</w:t>
            </w:r>
          </w:p>
        </w:tc>
      </w:tr>
      <w:tr>
        <w:tc>
          <w:tcPr>
            <w:tcW w:type="dxa" w:w="2160"/>
            <w:shd w:fill="FFFFFF"/>
            <w:tcMar>
              <w:top w:w="50" w:type="dxa"/>
              <w:bottom w:w="50" w:type="dxa"/>
              <w:left w:w="80" w:type="dxa"/>
              <w:right w:w="80" w:type="dxa"/>
            </w:tcMar>
          </w:tcPr>
          <w:p>
            <w:r>
              <w:rPr>
                <w:sz w:val="17"/>
              </w:rPr>
              <w:t>SeniorCitizen</w:t>
            </w:r>
          </w:p>
        </w:tc>
        <w:tc>
          <w:tcPr>
            <w:tcW w:type="dxa" w:w="1584"/>
            <w:shd w:fill="FFFFFF"/>
            <w:tcMar>
              <w:top w:w="50" w:type="dxa"/>
              <w:bottom w:w="50" w:type="dxa"/>
              <w:left w:w="80" w:type="dxa"/>
              <w:right w:w="80" w:type="dxa"/>
            </w:tcMar>
          </w:tcPr>
          <w:p>
            <w:r>
              <w:rPr>
                <w:sz w:val="17"/>
              </w:rPr>
              <w:t>Numerical (Binary)</w:t>
            </w:r>
          </w:p>
        </w:tc>
        <w:tc>
          <w:tcPr>
            <w:tcW w:type="dxa" w:w="1584"/>
            <w:shd w:fill="FFFFFF"/>
            <w:tcMar>
              <w:top w:w="50" w:type="dxa"/>
              <w:bottom w:w="50" w:type="dxa"/>
              <w:left w:w="80" w:type="dxa"/>
              <w:right w:w="80" w:type="dxa"/>
            </w:tcMar>
          </w:tcPr>
          <w:p>
            <w:r>
              <w:rPr>
                <w:sz w:val="17"/>
              </w:rPr>
              <w:t>Demographic</w:t>
            </w:r>
          </w:p>
        </w:tc>
        <w:tc>
          <w:tcPr>
            <w:tcW w:type="dxa" w:w="3744"/>
            <w:shd w:fill="FFFFFF"/>
            <w:tcMar>
              <w:top w:w="50" w:type="dxa"/>
              <w:bottom w:w="50" w:type="dxa"/>
              <w:left w:w="80" w:type="dxa"/>
              <w:right w:w="80" w:type="dxa"/>
            </w:tcMar>
          </w:tcPr>
          <w:p>
            <w:r>
              <w:rPr>
                <w:sz w:val="17"/>
              </w:rPr>
              <w:t>Whether customer is 65 years or older: 0 = No, 1 = Yes.</w:t>
            </w:r>
          </w:p>
        </w:tc>
      </w:tr>
      <w:tr>
        <w:tc>
          <w:tcPr>
            <w:tcW w:type="dxa" w:w="2160"/>
            <w:shd w:fill="F2F4F7"/>
            <w:tcMar>
              <w:top w:w="50" w:type="dxa"/>
              <w:bottom w:w="50" w:type="dxa"/>
              <w:left w:w="80" w:type="dxa"/>
              <w:right w:w="80" w:type="dxa"/>
            </w:tcMar>
          </w:tcPr>
          <w:p>
            <w:r>
              <w:rPr>
                <w:sz w:val="17"/>
              </w:rPr>
              <w:t>Partner</w:t>
            </w:r>
          </w:p>
        </w:tc>
        <w:tc>
          <w:tcPr>
            <w:tcW w:type="dxa" w:w="1584"/>
            <w:shd w:fill="F2F4F7"/>
            <w:tcMar>
              <w:top w:w="50" w:type="dxa"/>
              <w:bottom w:w="50" w:type="dxa"/>
              <w:left w:w="80" w:type="dxa"/>
              <w:right w:w="80" w:type="dxa"/>
            </w:tcMar>
          </w:tcPr>
          <w:p>
            <w:r>
              <w:rPr>
                <w:sz w:val="17"/>
              </w:rPr>
              <w:t>Categorical (Binary)</w:t>
            </w:r>
          </w:p>
        </w:tc>
        <w:tc>
          <w:tcPr>
            <w:tcW w:type="dxa" w:w="1584"/>
            <w:shd w:fill="F2F4F7"/>
            <w:tcMar>
              <w:top w:w="50" w:type="dxa"/>
              <w:bottom w:w="50" w:type="dxa"/>
              <w:left w:w="80" w:type="dxa"/>
              <w:right w:w="80" w:type="dxa"/>
            </w:tcMar>
          </w:tcPr>
          <w:p>
            <w:r>
              <w:rPr>
                <w:sz w:val="17"/>
              </w:rPr>
              <w:t>Demographic</w:t>
            </w:r>
          </w:p>
        </w:tc>
        <w:tc>
          <w:tcPr>
            <w:tcW w:type="dxa" w:w="3744"/>
            <w:shd w:fill="F2F4F7"/>
            <w:tcMar>
              <w:top w:w="50" w:type="dxa"/>
              <w:bottom w:w="50" w:type="dxa"/>
              <w:left w:w="80" w:type="dxa"/>
              <w:right w:w="80" w:type="dxa"/>
            </w:tcMar>
          </w:tcPr>
          <w:p>
            <w:r>
              <w:rPr>
                <w:sz w:val="17"/>
              </w:rPr>
              <w:t>Whether customer has a romantic partner: Yes or No.</w:t>
            </w:r>
          </w:p>
        </w:tc>
      </w:tr>
      <w:tr>
        <w:tc>
          <w:tcPr>
            <w:tcW w:type="dxa" w:w="2160"/>
            <w:shd w:fill="FFFFFF"/>
            <w:tcMar>
              <w:top w:w="50" w:type="dxa"/>
              <w:bottom w:w="50" w:type="dxa"/>
              <w:left w:w="80" w:type="dxa"/>
              <w:right w:w="80" w:type="dxa"/>
            </w:tcMar>
          </w:tcPr>
          <w:p>
            <w:r>
              <w:rPr>
                <w:sz w:val="17"/>
              </w:rPr>
              <w:t>Dependents</w:t>
            </w:r>
          </w:p>
        </w:tc>
        <w:tc>
          <w:tcPr>
            <w:tcW w:type="dxa" w:w="1584"/>
            <w:shd w:fill="FFFFFF"/>
            <w:tcMar>
              <w:top w:w="50" w:type="dxa"/>
              <w:bottom w:w="50" w:type="dxa"/>
              <w:left w:w="80" w:type="dxa"/>
              <w:right w:w="80" w:type="dxa"/>
            </w:tcMar>
          </w:tcPr>
          <w:p>
            <w:r>
              <w:rPr>
                <w:sz w:val="17"/>
              </w:rPr>
              <w:t>Categorical (Binary)</w:t>
            </w:r>
          </w:p>
        </w:tc>
        <w:tc>
          <w:tcPr>
            <w:tcW w:type="dxa" w:w="1584"/>
            <w:shd w:fill="FFFFFF"/>
            <w:tcMar>
              <w:top w:w="50" w:type="dxa"/>
              <w:bottom w:w="50" w:type="dxa"/>
              <w:left w:w="80" w:type="dxa"/>
              <w:right w:w="80" w:type="dxa"/>
            </w:tcMar>
          </w:tcPr>
          <w:p>
            <w:r>
              <w:rPr>
                <w:sz w:val="17"/>
              </w:rPr>
              <w:t>Demographic</w:t>
            </w:r>
          </w:p>
        </w:tc>
        <w:tc>
          <w:tcPr>
            <w:tcW w:type="dxa" w:w="3744"/>
            <w:shd w:fill="FFFFFF"/>
            <w:tcMar>
              <w:top w:w="50" w:type="dxa"/>
              <w:bottom w:w="50" w:type="dxa"/>
              <w:left w:w="80" w:type="dxa"/>
              <w:right w:w="80" w:type="dxa"/>
            </w:tcMar>
          </w:tcPr>
          <w:p>
            <w:r>
              <w:rPr>
                <w:sz w:val="17"/>
              </w:rPr>
              <w:t>Whether customer has dependents: Yes or No.</w:t>
            </w:r>
          </w:p>
        </w:tc>
      </w:tr>
      <w:tr>
        <w:tc>
          <w:tcPr>
            <w:tcW w:type="dxa" w:w="2160"/>
            <w:shd w:fill="F2F4F7"/>
            <w:tcMar>
              <w:top w:w="50" w:type="dxa"/>
              <w:bottom w:w="50" w:type="dxa"/>
              <w:left w:w="80" w:type="dxa"/>
              <w:right w:w="80" w:type="dxa"/>
            </w:tcMar>
          </w:tcPr>
          <w:p>
            <w:r>
              <w:rPr>
                <w:sz w:val="17"/>
              </w:rPr>
              <w:t>tenure</w:t>
            </w:r>
          </w:p>
        </w:tc>
        <w:tc>
          <w:tcPr>
            <w:tcW w:type="dxa" w:w="1584"/>
            <w:shd w:fill="F2F4F7"/>
            <w:tcMar>
              <w:top w:w="50" w:type="dxa"/>
              <w:bottom w:w="50" w:type="dxa"/>
              <w:left w:w="80" w:type="dxa"/>
              <w:right w:w="80" w:type="dxa"/>
            </w:tcMar>
          </w:tcPr>
          <w:p>
            <w:r>
              <w:rPr>
                <w:sz w:val="17"/>
              </w:rPr>
              <w:t>Numerical (Integer)</w:t>
            </w:r>
          </w:p>
        </w:tc>
        <w:tc>
          <w:tcPr>
            <w:tcW w:type="dxa" w:w="1584"/>
            <w:shd w:fill="F2F4F7"/>
            <w:tcMar>
              <w:top w:w="50" w:type="dxa"/>
              <w:bottom w:w="50" w:type="dxa"/>
              <w:left w:w="80" w:type="dxa"/>
              <w:right w:w="80" w:type="dxa"/>
            </w:tcMar>
          </w:tcPr>
          <w:p>
            <w:r>
              <w:rPr>
                <w:sz w:val="17"/>
              </w:rPr>
              <w:t>Account</w:t>
            </w:r>
          </w:p>
        </w:tc>
        <w:tc>
          <w:tcPr>
            <w:tcW w:type="dxa" w:w="3744"/>
            <w:shd w:fill="F2F4F7"/>
            <w:tcMar>
              <w:top w:w="50" w:type="dxa"/>
              <w:bottom w:w="50" w:type="dxa"/>
              <w:left w:w="80" w:type="dxa"/>
              <w:right w:w="80" w:type="dxa"/>
            </w:tcMar>
          </w:tcPr>
          <w:p>
            <w:r>
              <w:rPr>
                <w:sz w:val="17"/>
              </w:rPr>
              <w:t>Number of total months customer has stayed with company (0 to 72).</w:t>
            </w:r>
          </w:p>
        </w:tc>
      </w:tr>
      <w:tr>
        <w:tc>
          <w:tcPr>
            <w:tcW w:type="dxa" w:w="2160"/>
            <w:shd w:fill="FFFFFF"/>
            <w:tcMar>
              <w:top w:w="50" w:type="dxa"/>
              <w:bottom w:w="50" w:type="dxa"/>
              <w:left w:w="80" w:type="dxa"/>
              <w:right w:w="80" w:type="dxa"/>
            </w:tcMar>
          </w:tcPr>
          <w:p>
            <w:r>
              <w:rPr>
                <w:sz w:val="17"/>
              </w:rPr>
              <w:t>PhoneService</w:t>
            </w:r>
          </w:p>
        </w:tc>
        <w:tc>
          <w:tcPr>
            <w:tcW w:type="dxa" w:w="1584"/>
            <w:shd w:fill="FFFFFF"/>
            <w:tcMar>
              <w:top w:w="50" w:type="dxa"/>
              <w:bottom w:w="50" w:type="dxa"/>
              <w:left w:w="80" w:type="dxa"/>
              <w:right w:w="80" w:type="dxa"/>
            </w:tcMar>
          </w:tcPr>
          <w:p>
            <w:r>
              <w:rPr>
                <w:sz w:val="17"/>
              </w:rPr>
              <w:t>Categorical (Binary)</w:t>
            </w:r>
          </w:p>
        </w:tc>
        <w:tc>
          <w:tcPr>
            <w:tcW w:type="dxa" w:w="1584"/>
            <w:shd w:fill="FFFFFF"/>
            <w:tcMar>
              <w:top w:w="50" w:type="dxa"/>
              <w:bottom w:w="50" w:type="dxa"/>
              <w:left w:w="80" w:type="dxa"/>
              <w:right w:w="80" w:type="dxa"/>
            </w:tcMar>
          </w:tcPr>
          <w:p>
            <w:r>
              <w:rPr>
                <w:sz w:val="17"/>
              </w:rPr>
              <w:t>Service</w:t>
            </w:r>
          </w:p>
        </w:tc>
        <w:tc>
          <w:tcPr>
            <w:tcW w:type="dxa" w:w="3744"/>
            <w:shd w:fill="FFFFFF"/>
            <w:tcMar>
              <w:top w:w="50" w:type="dxa"/>
              <w:bottom w:w="50" w:type="dxa"/>
              <w:left w:w="80" w:type="dxa"/>
              <w:right w:w="80" w:type="dxa"/>
            </w:tcMar>
          </w:tcPr>
          <w:p>
            <w:r>
              <w:rPr>
                <w:sz w:val="17"/>
              </w:rPr>
              <w:t>Whether customer subscribes to phone service: Yes or No.</w:t>
            </w:r>
          </w:p>
        </w:tc>
      </w:tr>
      <w:tr>
        <w:tc>
          <w:tcPr>
            <w:tcW w:type="dxa" w:w="2160"/>
            <w:shd w:fill="F2F4F7"/>
            <w:tcMar>
              <w:top w:w="50" w:type="dxa"/>
              <w:bottom w:w="50" w:type="dxa"/>
              <w:left w:w="80" w:type="dxa"/>
              <w:right w:w="80" w:type="dxa"/>
            </w:tcMar>
          </w:tcPr>
          <w:p>
            <w:r>
              <w:rPr>
                <w:sz w:val="17"/>
              </w:rPr>
              <w:t>MultipleLines</w:t>
            </w:r>
          </w:p>
        </w:tc>
        <w:tc>
          <w:tcPr>
            <w:tcW w:type="dxa" w:w="1584"/>
            <w:shd w:fill="F2F4F7"/>
            <w:tcMar>
              <w:top w:w="50" w:type="dxa"/>
              <w:bottom w:w="50" w:type="dxa"/>
              <w:left w:w="80" w:type="dxa"/>
              <w:right w:w="80" w:type="dxa"/>
            </w:tcMar>
          </w:tcPr>
          <w:p>
            <w:r>
              <w:rPr>
                <w:sz w:val="17"/>
              </w:rPr>
              <w:t>Categorical (Ternary)</w:t>
            </w:r>
          </w:p>
        </w:tc>
        <w:tc>
          <w:tcPr>
            <w:tcW w:type="dxa" w:w="1584"/>
            <w:shd w:fill="F2F4F7"/>
            <w:tcMar>
              <w:top w:w="50" w:type="dxa"/>
              <w:bottom w:w="50" w:type="dxa"/>
              <w:left w:w="80" w:type="dxa"/>
              <w:right w:w="80" w:type="dxa"/>
            </w:tcMar>
          </w:tcPr>
          <w:p>
            <w:r>
              <w:rPr>
                <w:sz w:val="17"/>
              </w:rPr>
              <w:t>Service</w:t>
            </w:r>
          </w:p>
        </w:tc>
        <w:tc>
          <w:tcPr>
            <w:tcW w:type="dxa" w:w="3744"/>
            <w:shd w:fill="F2F4F7"/>
            <w:tcMar>
              <w:top w:w="50" w:type="dxa"/>
              <w:bottom w:w="50" w:type="dxa"/>
              <w:left w:w="80" w:type="dxa"/>
              <w:right w:w="80" w:type="dxa"/>
            </w:tcMar>
          </w:tcPr>
          <w:p>
            <w:r>
              <w:rPr>
                <w:sz w:val="17"/>
              </w:rPr>
              <w:t>Multiple phone lines: Yes, No, or No phone service.</w:t>
            </w:r>
          </w:p>
        </w:tc>
      </w:tr>
      <w:tr>
        <w:tc>
          <w:tcPr>
            <w:tcW w:type="dxa" w:w="2160"/>
            <w:shd w:fill="FFFFFF"/>
            <w:tcMar>
              <w:top w:w="50" w:type="dxa"/>
              <w:bottom w:w="50" w:type="dxa"/>
              <w:left w:w="80" w:type="dxa"/>
              <w:right w:w="80" w:type="dxa"/>
            </w:tcMar>
          </w:tcPr>
          <w:p>
            <w:r>
              <w:rPr>
                <w:sz w:val="17"/>
              </w:rPr>
              <w:t>InternetService</w:t>
            </w:r>
          </w:p>
        </w:tc>
        <w:tc>
          <w:tcPr>
            <w:tcW w:type="dxa" w:w="1584"/>
            <w:shd w:fill="FFFFFF"/>
            <w:tcMar>
              <w:top w:w="50" w:type="dxa"/>
              <w:bottom w:w="50" w:type="dxa"/>
              <w:left w:w="80" w:type="dxa"/>
              <w:right w:w="80" w:type="dxa"/>
            </w:tcMar>
          </w:tcPr>
          <w:p>
            <w:r>
              <w:rPr>
                <w:sz w:val="17"/>
              </w:rPr>
              <w:t>Categorical (Ternary)</w:t>
            </w:r>
          </w:p>
        </w:tc>
        <w:tc>
          <w:tcPr>
            <w:tcW w:type="dxa" w:w="1584"/>
            <w:shd w:fill="FFFFFF"/>
            <w:tcMar>
              <w:top w:w="50" w:type="dxa"/>
              <w:bottom w:w="50" w:type="dxa"/>
              <w:left w:w="80" w:type="dxa"/>
              <w:right w:w="80" w:type="dxa"/>
            </w:tcMar>
          </w:tcPr>
          <w:p>
            <w:r>
              <w:rPr>
                <w:sz w:val="17"/>
              </w:rPr>
              <w:t>Service</w:t>
            </w:r>
          </w:p>
        </w:tc>
        <w:tc>
          <w:tcPr>
            <w:tcW w:type="dxa" w:w="3744"/>
            <w:shd w:fill="FFFFFF"/>
            <w:tcMar>
              <w:top w:w="50" w:type="dxa"/>
              <w:bottom w:w="50" w:type="dxa"/>
              <w:left w:w="80" w:type="dxa"/>
              <w:right w:w="80" w:type="dxa"/>
            </w:tcMar>
          </w:tcPr>
          <w:p>
            <w:r>
              <w:rPr>
                <w:sz w:val="17"/>
              </w:rPr>
              <w:t>Internet connection type: DSL, Fiber optic, or No internet.</w:t>
            </w:r>
          </w:p>
        </w:tc>
      </w:tr>
      <w:tr>
        <w:tc>
          <w:tcPr>
            <w:tcW w:type="dxa" w:w="2160"/>
            <w:shd w:fill="F2F4F7"/>
            <w:tcMar>
              <w:top w:w="50" w:type="dxa"/>
              <w:bottom w:w="50" w:type="dxa"/>
              <w:left w:w="80" w:type="dxa"/>
              <w:right w:w="80" w:type="dxa"/>
            </w:tcMar>
          </w:tcPr>
          <w:p>
            <w:r>
              <w:rPr>
                <w:sz w:val="17"/>
              </w:rPr>
              <w:t>OnlineSecurity</w:t>
            </w:r>
          </w:p>
        </w:tc>
        <w:tc>
          <w:tcPr>
            <w:tcW w:type="dxa" w:w="1584"/>
            <w:shd w:fill="F2F4F7"/>
            <w:tcMar>
              <w:top w:w="50" w:type="dxa"/>
              <w:bottom w:w="50" w:type="dxa"/>
              <w:left w:w="80" w:type="dxa"/>
              <w:right w:w="80" w:type="dxa"/>
            </w:tcMar>
          </w:tcPr>
          <w:p>
            <w:r>
              <w:rPr>
                <w:sz w:val="17"/>
              </w:rPr>
              <w:t>Categorical (Ternary)</w:t>
            </w:r>
          </w:p>
        </w:tc>
        <w:tc>
          <w:tcPr>
            <w:tcW w:type="dxa" w:w="1584"/>
            <w:shd w:fill="F2F4F7"/>
            <w:tcMar>
              <w:top w:w="50" w:type="dxa"/>
              <w:bottom w:w="50" w:type="dxa"/>
              <w:left w:w="80" w:type="dxa"/>
              <w:right w:w="80" w:type="dxa"/>
            </w:tcMar>
          </w:tcPr>
          <w:p>
            <w:r>
              <w:rPr>
                <w:sz w:val="17"/>
              </w:rPr>
              <w:t>Service</w:t>
            </w:r>
          </w:p>
        </w:tc>
        <w:tc>
          <w:tcPr>
            <w:tcW w:type="dxa" w:w="3744"/>
            <w:shd w:fill="F2F4F7"/>
            <w:tcMar>
              <w:top w:w="50" w:type="dxa"/>
              <w:bottom w:w="50" w:type="dxa"/>
              <w:left w:w="80" w:type="dxa"/>
              <w:right w:w="80" w:type="dxa"/>
            </w:tcMar>
          </w:tcPr>
          <w:p>
            <w:r>
              <w:rPr>
                <w:sz w:val="17"/>
              </w:rPr>
              <w:t>Add-on cyber security service: Yes, No, or No internet.</w:t>
            </w:r>
          </w:p>
        </w:tc>
      </w:tr>
      <w:tr>
        <w:tc>
          <w:tcPr>
            <w:tcW w:type="dxa" w:w="2160"/>
            <w:shd w:fill="FFFFFF"/>
            <w:tcMar>
              <w:top w:w="50" w:type="dxa"/>
              <w:bottom w:w="50" w:type="dxa"/>
              <w:left w:w="80" w:type="dxa"/>
              <w:right w:w="80" w:type="dxa"/>
            </w:tcMar>
          </w:tcPr>
          <w:p>
            <w:r>
              <w:rPr>
                <w:sz w:val="17"/>
              </w:rPr>
              <w:t>OnlineBackup</w:t>
            </w:r>
          </w:p>
        </w:tc>
        <w:tc>
          <w:tcPr>
            <w:tcW w:type="dxa" w:w="1584"/>
            <w:shd w:fill="FFFFFF"/>
            <w:tcMar>
              <w:top w:w="50" w:type="dxa"/>
              <w:bottom w:w="50" w:type="dxa"/>
              <w:left w:w="80" w:type="dxa"/>
              <w:right w:w="80" w:type="dxa"/>
            </w:tcMar>
          </w:tcPr>
          <w:p>
            <w:r>
              <w:rPr>
                <w:sz w:val="17"/>
              </w:rPr>
              <w:t>Categorical (Ternary)</w:t>
            </w:r>
          </w:p>
        </w:tc>
        <w:tc>
          <w:tcPr>
            <w:tcW w:type="dxa" w:w="1584"/>
            <w:shd w:fill="FFFFFF"/>
            <w:tcMar>
              <w:top w:w="50" w:type="dxa"/>
              <w:bottom w:w="50" w:type="dxa"/>
              <w:left w:w="80" w:type="dxa"/>
              <w:right w:w="80" w:type="dxa"/>
            </w:tcMar>
          </w:tcPr>
          <w:p>
            <w:r>
              <w:rPr>
                <w:sz w:val="17"/>
              </w:rPr>
              <w:t>Service</w:t>
            </w:r>
          </w:p>
        </w:tc>
        <w:tc>
          <w:tcPr>
            <w:tcW w:type="dxa" w:w="3744"/>
            <w:shd w:fill="FFFFFF"/>
            <w:tcMar>
              <w:top w:w="50" w:type="dxa"/>
              <w:bottom w:w="50" w:type="dxa"/>
              <w:left w:w="80" w:type="dxa"/>
              <w:right w:w="80" w:type="dxa"/>
            </w:tcMar>
          </w:tcPr>
          <w:p>
            <w:r>
              <w:rPr>
                <w:sz w:val="17"/>
              </w:rPr>
              <w:t>Cloud backup storage add-on: Yes, No, or No internet.</w:t>
            </w:r>
          </w:p>
        </w:tc>
      </w:tr>
      <w:tr>
        <w:tc>
          <w:tcPr>
            <w:tcW w:type="dxa" w:w="2160"/>
            <w:shd w:fill="F2F4F7"/>
            <w:tcMar>
              <w:top w:w="50" w:type="dxa"/>
              <w:bottom w:w="50" w:type="dxa"/>
              <w:left w:w="80" w:type="dxa"/>
              <w:right w:w="80" w:type="dxa"/>
            </w:tcMar>
          </w:tcPr>
          <w:p>
            <w:r>
              <w:rPr>
                <w:sz w:val="17"/>
              </w:rPr>
              <w:t>DeviceProtection</w:t>
            </w:r>
          </w:p>
        </w:tc>
        <w:tc>
          <w:tcPr>
            <w:tcW w:type="dxa" w:w="1584"/>
            <w:shd w:fill="F2F4F7"/>
            <w:tcMar>
              <w:top w:w="50" w:type="dxa"/>
              <w:bottom w:w="50" w:type="dxa"/>
              <w:left w:w="80" w:type="dxa"/>
              <w:right w:w="80" w:type="dxa"/>
            </w:tcMar>
          </w:tcPr>
          <w:p>
            <w:r>
              <w:rPr>
                <w:sz w:val="17"/>
              </w:rPr>
              <w:t>Categorical (Ternary)</w:t>
            </w:r>
          </w:p>
        </w:tc>
        <w:tc>
          <w:tcPr>
            <w:tcW w:type="dxa" w:w="1584"/>
            <w:shd w:fill="F2F4F7"/>
            <w:tcMar>
              <w:top w:w="50" w:type="dxa"/>
              <w:bottom w:w="50" w:type="dxa"/>
              <w:left w:w="80" w:type="dxa"/>
              <w:right w:w="80" w:type="dxa"/>
            </w:tcMar>
          </w:tcPr>
          <w:p>
            <w:r>
              <w:rPr>
                <w:sz w:val="17"/>
              </w:rPr>
              <w:t>Service</w:t>
            </w:r>
          </w:p>
        </w:tc>
        <w:tc>
          <w:tcPr>
            <w:tcW w:type="dxa" w:w="3744"/>
            <w:shd w:fill="F2F4F7"/>
            <w:tcMar>
              <w:top w:w="50" w:type="dxa"/>
              <w:bottom w:w="50" w:type="dxa"/>
              <w:left w:w="80" w:type="dxa"/>
              <w:right w:w="80" w:type="dxa"/>
            </w:tcMar>
          </w:tcPr>
          <w:p>
            <w:r>
              <w:rPr>
                <w:sz w:val="17"/>
              </w:rPr>
              <w:t>Hardware insurance protection: Yes, No, or No internet.</w:t>
            </w:r>
          </w:p>
        </w:tc>
      </w:tr>
      <w:tr>
        <w:tc>
          <w:tcPr>
            <w:tcW w:type="dxa" w:w="2160"/>
            <w:shd w:fill="FFFFFF"/>
            <w:tcMar>
              <w:top w:w="50" w:type="dxa"/>
              <w:bottom w:w="50" w:type="dxa"/>
              <w:left w:w="80" w:type="dxa"/>
              <w:right w:w="80" w:type="dxa"/>
            </w:tcMar>
          </w:tcPr>
          <w:p>
            <w:r>
              <w:rPr>
                <w:sz w:val="17"/>
              </w:rPr>
              <w:t>TechSupport</w:t>
            </w:r>
          </w:p>
        </w:tc>
        <w:tc>
          <w:tcPr>
            <w:tcW w:type="dxa" w:w="1584"/>
            <w:shd w:fill="FFFFFF"/>
            <w:tcMar>
              <w:top w:w="50" w:type="dxa"/>
              <w:bottom w:w="50" w:type="dxa"/>
              <w:left w:w="80" w:type="dxa"/>
              <w:right w:w="80" w:type="dxa"/>
            </w:tcMar>
          </w:tcPr>
          <w:p>
            <w:r>
              <w:rPr>
                <w:sz w:val="17"/>
              </w:rPr>
              <w:t>Categorical (Ternary)</w:t>
            </w:r>
          </w:p>
        </w:tc>
        <w:tc>
          <w:tcPr>
            <w:tcW w:type="dxa" w:w="1584"/>
            <w:shd w:fill="FFFFFF"/>
            <w:tcMar>
              <w:top w:w="50" w:type="dxa"/>
              <w:bottom w:w="50" w:type="dxa"/>
              <w:left w:w="80" w:type="dxa"/>
              <w:right w:w="80" w:type="dxa"/>
            </w:tcMar>
          </w:tcPr>
          <w:p>
            <w:r>
              <w:rPr>
                <w:sz w:val="17"/>
              </w:rPr>
              <w:t>Service</w:t>
            </w:r>
          </w:p>
        </w:tc>
        <w:tc>
          <w:tcPr>
            <w:tcW w:type="dxa" w:w="3744"/>
            <w:shd w:fill="FFFFFF"/>
            <w:tcMar>
              <w:top w:w="50" w:type="dxa"/>
              <w:bottom w:w="50" w:type="dxa"/>
              <w:left w:w="80" w:type="dxa"/>
              <w:right w:w="80" w:type="dxa"/>
            </w:tcMar>
          </w:tcPr>
          <w:p>
            <w:r>
              <w:rPr>
                <w:sz w:val="17"/>
              </w:rPr>
              <w:t>Dedicated premium technical support: Yes, No, or No internet.</w:t>
            </w:r>
          </w:p>
        </w:tc>
      </w:tr>
      <w:tr>
        <w:tc>
          <w:tcPr>
            <w:tcW w:type="dxa" w:w="2160"/>
            <w:shd w:fill="F2F4F7"/>
            <w:tcMar>
              <w:top w:w="50" w:type="dxa"/>
              <w:bottom w:w="50" w:type="dxa"/>
              <w:left w:w="80" w:type="dxa"/>
              <w:right w:w="80" w:type="dxa"/>
            </w:tcMar>
          </w:tcPr>
          <w:p>
            <w:r>
              <w:rPr>
                <w:sz w:val="17"/>
              </w:rPr>
              <w:t>StreamingTV</w:t>
            </w:r>
          </w:p>
        </w:tc>
        <w:tc>
          <w:tcPr>
            <w:tcW w:type="dxa" w:w="1584"/>
            <w:shd w:fill="F2F4F7"/>
            <w:tcMar>
              <w:top w:w="50" w:type="dxa"/>
              <w:bottom w:w="50" w:type="dxa"/>
              <w:left w:w="80" w:type="dxa"/>
              <w:right w:w="80" w:type="dxa"/>
            </w:tcMar>
          </w:tcPr>
          <w:p>
            <w:r>
              <w:rPr>
                <w:sz w:val="17"/>
              </w:rPr>
              <w:t>Categorical (Ternary)</w:t>
            </w:r>
          </w:p>
        </w:tc>
        <w:tc>
          <w:tcPr>
            <w:tcW w:type="dxa" w:w="1584"/>
            <w:shd w:fill="F2F4F7"/>
            <w:tcMar>
              <w:top w:w="50" w:type="dxa"/>
              <w:bottom w:w="50" w:type="dxa"/>
              <w:left w:w="80" w:type="dxa"/>
              <w:right w:w="80" w:type="dxa"/>
            </w:tcMar>
          </w:tcPr>
          <w:p>
            <w:r>
              <w:rPr>
                <w:sz w:val="17"/>
              </w:rPr>
              <w:t>Service</w:t>
            </w:r>
          </w:p>
        </w:tc>
        <w:tc>
          <w:tcPr>
            <w:tcW w:type="dxa" w:w="3744"/>
            <w:shd w:fill="F2F4F7"/>
            <w:tcMar>
              <w:top w:w="50" w:type="dxa"/>
              <w:bottom w:w="50" w:type="dxa"/>
              <w:left w:w="80" w:type="dxa"/>
              <w:right w:w="80" w:type="dxa"/>
            </w:tcMar>
          </w:tcPr>
          <w:p>
            <w:r>
              <w:rPr>
                <w:sz w:val="17"/>
              </w:rPr>
              <w:t>Third-party digital TV streaming: Yes, No, or No internet.</w:t>
            </w:r>
          </w:p>
        </w:tc>
      </w:tr>
      <w:tr>
        <w:tc>
          <w:tcPr>
            <w:tcW w:type="dxa" w:w="2160"/>
            <w:shd w:fill="FFFFFF"/>
            <w:tcMar>
              <w:top w:w="50" w:type="dxa"/>
              <w:bottom w:w="50" w:type="dxa"/>
              <w:left w:w="80" w:type="dxa"/>
              <w:right w:w="80" w:type="dxa"/>
            </w:tcMar>
          </w:tcPr>
          <w:p>
            <w:r>
              <w:rPr>
                <w:sz w:val="17"/>
              </w:rPr>
              <w:t>StreamingMovies</w:t>
            </w:r>
          </w:p>
        </w:tc>
        <w:tc>
          <w:tcPr>
            <w:tcW w:type="dxa" w:w="1584"/>
            <w:shd w:fill="FFFFFF"/>
            <w:tcMar>
              <w:top w:w="50" w:type="dxa"/>
              <w:bottom w:w="50" w:type="dxa"/>
              <w:left w:w="80" w:type="dxa"/>
              <w:right w:w="80" w:type="dxa"/>
            </w:tcMar>
          </w:tcPr>
          <w:p>
            <w:r>
              <w:rPr>
                <w:sz w:val="17"/>
              </w:rPr>
              <w:t>Categorical (Ternary)</w:t>
            </w:r>
          </w:p>
        </w:tc>
        <w:tc>
          <w:tcPr>
            <w:tcW w:type="dxa" w:w="1584"/>
            <w:shd w:fill="FFFFFF"/>
            <w:tcMar>
              <w:top w:w="50" w:type="dxa"/>
              <w:bottom w:w="50" w:type="dxa"/>
              <w:left w:w="80" w:type="dxa"/>
              <w:right w:w="80" w:type="dxa"/>
            </w:tcMar>
          </w:tcPr>
          <w:p>
            <w:r>
              <w:rPr>
                <w:sz w:val="17"/>
              </w:rPr>
              <w:t>Service</w:t>
            </w:r>
          </w:p>
        </w:tc>
        <w:tc>
          <w:tcPr>
            <w:tcW w:type="dxa" w:w="3744"/>
            <w:shd w:fill="FFFFFF"/>
            <w:tcMar>
              <w:top w:w="50" w:type="dxa"/>
              <w:bottom w:w="50" w:type="dxa"/>
              <w:left w:w="80" w:type="dxa"/>
              <w:right w:w="80" w:type="dxa"/>
            </w:tcMar>
          </w:tcPr>
          <w:p>
            <w:r>
              <w:rPr>
                <w:sz w:val="17"/>
              </w:rPr>
              <w:t>Digital movie streaming add-on: Yes, No, or No internet.</w:t>
            </w:r>
          </w:p>
        </w:tc>
      </w:tr>
      <w:tr>
        <w:tc>
          <w:tcPr>
            <w:tcW w:type="dxa" w:w="2160"/>
            <w:shd w:fill="F2F4F7"/>
            <w:tcMar>
              <w:top w:w="50" w:type="dxa"/>
              <w:bottom w:w="50" w:type="dxa"/>
              <w:left w:w="80" w:type="dxa"/>
              <w:right w:w="80" w:type="dxa"/>
            </w:tcMar>
          </w:tcPr>
          <w:p>
            <w:r>
              <w:rPr>
                <w:sz w:val="17"/>
              </w:rPr>
              <w:t>Contract</w:t>
            </w:r>
          </w:p>
        </w:tc>
        <w:tc>
          <w:tcPr>
            <w:tcW w:type="dxa" w:w="1584"/>
            <w:shd w:fill="F2F4F7"/>
            <w:tcMar>
              <w:top w:w="50" w:type="dxa"/>
              <w:bottom w:w="50" w:type="dxa"/>
              <w:left w:w="80" w:type="dxa"/>
              <w:right w:w="80" w:type="dxa"/>
            </w:tcMar>
          </w:tcPr>
          <w:p>
            <w:r>
              <w:rPr>
                <w:sz w:val="17"/>
              </w:rPr>
              <w:t>Categorical (Ternary)</w:t>
            </w:r>
          </w:p>
        </w:tc>
        <w:tc>
          <w:tcPr>
            <w:tcW w:type="dxa" w:w="1584"/>
            <w:shd w:fill="F2F4F7"/>
            <w:tcMar>
              <w:top w:w="50" w:type="dxa"/>
              <w:bottom w:w="50" w:type="dxa"/>
              <w:left w:w="80" w:type="dxa"/>
              <w:right w:w="80" w:type="dxa"/>
            </w:tcMar>
          </w:tcPr>
          <w:p>
            <w:r>
              <w:rPr>
                <w:sz w:val="17"/>
              </w:rPr>
              <w:t>Account</w:t>
            </w:r>
          </w:p>
        </w:tc>
        <w:tc>
          <w:tcPr>
            <w:tcW w:type="dxa" w:w="3744"/>
            <w:shd w:fill="F2F4F7"/>
            <w:tcMar>
              <w:top w:w="50" w:type="dxa"/>
              <w:bottom w:w="50" w:type="dxa"/>
              <w:left w:w="80" w:type="dxa"/>
              <w:right w:w="80" w:type="dxa"/>
            </w:tcMar>
          </w:tcPr>
          <w:p>
            <w:r>
              <w:rPr>
                <w:sz w:val="17"/>
              </w:rPr>
              <w:t>Contractual commitment term: Month-to-month, One year, Two year.</w:t>
            </w:r>
          </w:p>
        </w:tc>
      </w:tr>
      <w:tr>
        <w:tc>
          <w:tcPr>
            <w:tcW w:type="dxa" w:w="2160"/>
            <w:shd w:fill="FFFFFF"/>
            <w:tcMar>
              <w:top w:w="50" w:type="dxa"/>
              <w:bottom w:w="50" w:type="dxa"/>
              <w:left w:w="80" w:type="dxa"/>
              <w:right w:w="80" w:type="dxa"/>
            </w:tcMar>
          </w:tcPr>
          <w:p>
            <w:r>
              <w:rPr>
                <w:sz w:val="17"/>
              </w:rPr>
              <w:t>PaperlessBilling</w:t>
            </w:r>
          </w:p>
        </w:tc>
        <w:tc>
          <w:tcPr>
            <w:tcW w:type="dxa" w:w="1584"/>
            <w:shd w:fill="FFFFFF"/>
            <w:tcMar>
              <w:top w:w="50" w:type="dxa"/>
              <w:bottom w:w="50" w:type="dxa"/>
              <w:left w:w="80" w:type="dxa"/>
              <w:right w:w="80" w:type="dxa"/>
            </w:tcMar>
          </w:tcPr>
          <w:p>
            <w:r>
              <w:rPr>
                <w:sz w:val="17"/>
              </w:rPr>
              <w:t>Categorical (Binary)</w:t>
            </w:r>
          </w:p>
        </w:tc>
        <w:tc>
          <w:tcPr>
            <w:tcW w:type="dxa" w:w="1584"/>
            <w:shd w:fill="FFFFFF"/>
            <w:tcMar>
              <w:top w:w="50" w:type="dxa"/>
              <w:bottom w:w="50" w:type="dxa"/>
              <w:left w:w="80" w:type="dxa"/>
              <w:right w:w="80" w:type="dxa"/>
            </w:tcMar>
          </w:tcPr>
          <w:p>
            <w:r>
              <w:rPr>
                <w:sz w:val="17"/>
              </w:rPr>
              <w:t>Account</w:t>
            </w:r>
          </w:p>
        </w:tc>
        <w:tc>
          <w:tcPr>
            <w:tcW w:type="dxa" w:w="3744"/>
            <w:shd w:fill="FFFFFF"/>
            <w:tcMar>
              <w:top w:w="50" w:type="dxa"/>
              <w:bottom w:w="50" w:type="dxa"/>
              <w:left w:w="80" w:type="dxa"/>
              <w:right w:w="80" w:type="dxa"/>
            </w:tcMar>
          </w:tcPr>
          <w:p>
            <w:r>
              <w:rPr>
                <w:sz w:val="17"/>
              </w:rPr>
              <w:t>Whether customer opted for digital billing: Yes or No.</w:t>
            </w:r>
          </w:p>
        </w:tc>
      </w:tr>
      <w:tr>
        <w:tc>
          <w:tcPr>
            <w:tcW w:type="dxa" w:w="2160"/>
            <w:shd w:fill="F2F4F7"/>
            <w:tcMar>
              <w:top w:w="50" w:type="dxa"/>
              <w:bottom w:w="50" w:type="dxa"/>
              <w:left w:w="80" w:type="dxa"/>
              <w:right w:w="80" w:type="dxa"/>
            </w:tcMar>
          </w:tcPr>
          <w:p>
            <w:r>
              <w:rPr>
                <w:sz w:val="17"/>
              </w:rPr>
              <w:t>PaymentMethod</w:t>
            </w:r>
          </w:p>
        </w:tc>
        <w:tc>
          <w:tcPr>
            <w:tcW w:type="dxa" w:w="1584"/>
            <w:shd w:fill="F2F4F7"/>
            <w:tcMar>
              <w:top w:w="50" w:type="dxa"/>
              <w:bottom w:w="50" w:type="dxa"/>
              <w:left w:w="80" w:type="dxa"/>
              <w:right w:w="80" w:type="dxa"/>
            </w:tcMar>
          </w:tcPr>
          <w:p>
            <w:r>
              <w:rPr>
                <w:sz w:val="17"/>
              </w:rPr>
              <w:t>Categorical (4-class)</w:t>
            </w:r>
          </w:p>
        </w:tc>
        <w:tc>
          <w:tcPr>
            <w:tcW w:type="dxa" w:w="1584"/>
            <w:shd w:fill="F2F4F7"/>
            <w:tcMar>
              <w:top w:w="50" w:type="dxa"/>
              <w:bottom w:w="50" w:type="dxa"/>
              <w:left w:w="80" w:type="dxa"/>
              <w:right w:w="80" w:type="dxa"/>
            </w:tcMar>
          </w:tcPr>
          <w:p>
            <w:r>
              <w:rPr>
                <w:sz w:val="17"/>
              </w:rPr>
              <w:t>Account</w:t>
            </w:r>
          </w:p>
        </w:tc>
        <w:tc>
          <w:tcPr>
            <w:tcW w:type="dxa" w:w="3744"/>
            <w:shd w:fill="F2F4F7"/>
            <w:tcMar>
              <w:top w:w="50" w:type="dxa"/>
              <w:bottom w:w="50" w:type="dxa"/>
              <w:left w:w="80" w:type="dxa"/>
              <w:right w:w="80" w:type="dxa"/>
            </w:tcMar>
          </w:tcPr>
          <w:p>
            <w:r>
              <w:rPr>
                <w:sz w:val="17"/>
              </w:rPr>
              <w:t>Electronic check, Mailed check, Bank transfer, Credit card.</w:t>
            </w:r>
          </w:p>
        </w:tc>
      </w:tr>
      <w:tr>
        <w:tc>
          <w:tcPr>
            <w:tcW w:type="dxa" w:w="2160"/>
            <w:shd w:fill="FFFFFF"/>
            <w:tcMar>
              <w:top w:w="50" w:type="dxa"/>
              <w:bottom w:w="50" w:type="dxa"/>
              <w:left w:w="80" w:type="dxa"/>
              <w:right w:w="80" w:type="dxa"/>
            </w:tcMar>
          </w:tcPr>
          <w:p>
            <w:r>
              <w:rPr>
                <w:sz w:val="17"/>
              </w:rPr>
              <w:t>MonthlyCharges</w:t>
            </w:r>
          </w:p>
        </w:tc>
        <w:tc>
          <w:tcPr>
            <w:tcW w:type="dxa" w:w="1584"/>
            <w:shd w:fill="FFFFFF"/>
            <w:tcMar>
              <w:top w:w="50" w:type="dxa"/>
              <w:bottom w:w="50" w:type="dxa"/>
              <w:left w:w="80" w:type="dxa"/>
              <w:right w:w="80" w:type="dxa"/>
            </w:tcMar>
          </w:tcPr>
          <w:p>
            <w:r>
              <w:rPr>
                <w:sz w:val="17"/>
              </w:rPr>
              <w:t>Numerical (Float)</w:t>
            </w:r>
          </w:p>
        </w:tc>
        <w:tc>
          <w:tcPr>
            <w:tcW w:type="dxa" w:w="1584"/>
            <w:shd w:fill="FFFFFF"/>
            <w:tcMar>
              <w:top w:w="50" w:type="dxa"/>
              <w:bottom w:w="50" w:type="dxa"/>
              <w:left w:w="80" w:type="dxa"/>
              <w:right w:w="80" w:type="dxa"/>
            </w:tcMar>
          </w:tcPr>
          <w:p>
            <w:r>
              <w:rPr>
                <w:sz w:val="17"/>
              </w:rPr>
              <w:t>Financial</w:t>
            </w:r>
          </w:p>
        </w:tc>
        <w:tc>
          <w:tcPr>
            <w:tcW w:type="dxa" w:w="3744"/>
            <w:shd w:fill="FFFFFF"/>
            <w:tcMar>
              <w:top w:w="50" w:type="dxa"/>
              <w:bottom w:w="50" w:type="dxa"/>
              <w:left w:w="80" w:type="dxa"/>
              <w:right w:w="80" w:type="dxa"/>
            </w:tcMar>
          </w:tcPr>
          <w:p>
            <w:r>
              <w:rPr>
                <w:sz w:val="17"/>
              </w:rPr>
              <w:t>The amount billed to the subscriber each month ($18.25 - $118.75).</w:t>
            </w:r>
          </w:p>
        </w:tc>
      </w:tr>
      <w:tr>
        <w:tc>
          <w:tcPr>
            <w:tcW w:type="dxa" w:w="2160"/>
            <w:shd w:fill="F2F4F7"/>
            <w:tcMar>
              <w:top w:w="50" w:type="dxa"/>
              <w:bottom w:w="50" w:type="dxa"/>
              <w:left w:w="80" w:type="dxa"/>
              <w:right w:w="80" w:type="dxa"/>
            </w:tcMar>
          </w:tcPr>
          <w:p>
            <w:r>
              <w:rPr>
                <w:sz w:val="17"/>
              </w:rPr>
              <w:t>TotalCharges</w:t>
            </w:r>
          </w:p>
        </w:tc>
        <w:tc>
          <w:tcPr>
            <w:tcW w:type="dxa" w:w="1584"/>
            <w:shd w:fill="F2F4F7"/>
            <w:tcMar>
              <w:top w:w="50" w:type="dxa"/>
              <w:bottom w:w="50" w:type="dxa"/>
              <w:left w:w="80" w:type="dxa"/>
              <w:right w:w="80" w:type="dxa"/>
            </w:tcMar>
          </w:tcPr>
          <w:p>
            <w:r>
              <w:rPr>
                <w:sz w:val="17"/>
              </w:rPr>
              <w:t>Numerical (Float)</w:t>
            </w:r>
          </w:p>
        </w:tc>
        <w:tc>
          <w:tcPr>
            <w:tcW w:type="dxa" w:w="1584"/>
            <w:shd w:fill="F2F4F7"/>
            <w:tcMar>
              <w:top w:w="50" w:type="dxa"/>
              <w:bottom w:w="50" w:type="dxa"/>
              <w:left w:w="80" w:type="dxa"/>
              <w:right w:w="80" w:type="dxa"/>
            </w:tcMar>
          </w:tcPr>
          <w:p>
            <w:r>
              <w:rPr>
                <w:sz w:val="17"/>
              </w:rPr>
              <w:t>Financial</w:t>
            </w:r>
          </w:p>
        </w:tc>
        <w:tc>
          <w:tcPr>
            <w:tcW w:type="dxa" w:w="3744"/>
            <w:shd w:fill="F2F4F7"/>
            <w:tcMar>
              <w:top w:w="50" w:type="dxa"/>
              <w:bottom w:w="50" w:type="dxa"/>
              <w:left w:w="80" w:type="dxa"/>
              <w:right w:w="80" w:type="dxa"/>
            </w:tcMar>
          </w:tcPr>
          <w:p>
            <w:r>
              <w:rPr>
                <w:sz w:val="17"/>
              </w:rPr>
              <w:t>Cumulative gross expenditure incurred over lifetime ($0.0 - $8,684.8).</w:t>
            </w:r>
          </w:p>
        </w:tc>
      </w:tr>
      <w:tr>
        <w:tc>
          <w:tcPr>
            <w:tcW w:type="dxa" w:w="2160"/>
            <w:shd w:fill="FFFFFF"/>
            <w:tcMar>
              <w:top w:w="50" w:type="dxa"/>
              <w:bottom w:w="50" w:type="dxa"/>
              <w:left w:w="80" w:type="dxa"/>
              <w:right w:w="80" w:type="dxa"/>
            </w:tcMar>
          </w:tcPr>
          <w:p>
            <w:r>
              <w:rPr>
                <w:sz w:val="17"/>
              </w:rPr>
              <w:t>Churn</w:t>
            </w:r>
          </w:p>
        </w:tc>
        <w:tc>
          <w:tcPr>
            <w:tcW w:type="dxa" w:w="1584"/>
            <w:shd w:fill="FFFFFF"/>
            <w:tcMar>
              <w:top w:w="50" w:type="dxa"/>
              <w:bottom w:w="50" w:type="dxa"/>
              <w:left w:w="80" w:type="dxa"/>
              <w:right w:w="80" w:type="dxa"/>
            </w:tcMar>
          </w:tcPr>
          <w:p>
            <w:r>
              <w:rPr>
                <w:sz w:val="17"/>
              </w:rPr>
              <w:t>Categorical (Binary)</w:t>
            </w:r>
          </w:p>
        </w:tc>
        <w:tc>
          <w:tcPr>
            <w:tcW w:type="dxa" w:w="1584"/>
            <w:shd w:fill="FFFFFF"/>
            <w:tcMar>
              <w:top w:w="50" w:type="dxa"/>
              <w:bottom w:w="50" w:type="dxa"/>
              <w:left w:w="80" w:type="dxa"/>
              <w:right w:w="80" w:type="dxa"/>
            </w:tcMar>
          </w:tcPr>
          <w:p>
            <w:r>
              <w:rPr>
                <w:sz w:val="17"/>
              </w:rPr>
              <w:t>Target</w:t>
            </w:r>
          </w:p>
        </w:tc>
        <w:tc>
          <w:tcPr>
            <w:tcW w:type="dxa" w:w="3744"/>
            <w:shd w:fill="FFFFFF"/>
            <w:tcMar>
              <w:top w:w="50" w:type="dxa"/>
              <w:bottom w:w="50" w:type="dxa"/>
              <w:left w:w="80" w:type="dxa"/>
              <w:right w:w="80" w:type="dxa"/>
            </w:tcMar>
          </w:tcPr>
          <w:p>
            <w:r>
              <w:rPr>
                <w:sz w:val="17"/>
              </w:rPr>
              <w:t>Status indicator whether customer cancelled service: Yes or No.</w:t>
            </w:r>
          </w:p>
        </w:tc>
      </w:tr>
    </w:tbl>
    <w:p>
      <w:pPr>
        <w:spacing w:before="160"/>
      </w:pPr>
    </w:p>
    <w:p>
      <w:pPr>
        <w:pStyle w:val="Heading1"/>
        <w:keepNext/>
        <w:spacing w:before="320" w:after="160"/>
      </w:pPr>
      <w:r>
        <w:rPr>
          <w:rFonts w:ascii="Calibri" w:hAnsi="Calibri"/>
          <w:b/>
          <w:color w:val="1F4E79"/>
          <w:sz w:val="36"/>
        </w:rPr>
        <w:t>Chapter 3: Data Cleaning &amp; Preprocessing</w:t>
      </w:r>
    </w:p>
    <w:p>
      <w:r>
        <w:t>Data cleanliness is foundational to statistical and machine learning validity. Preliminary examination revealed key anomalies requiring systematic resolution before modeling:</w:t>
      </w:r>
    </w:p>
    <w:p>
      <w:pPr>
        <w:pStyle w:val="Heading2"/>
        <w:keepNext/>
        <w:spacing w:before="240" w:after="120"/>
      </w:pPr>
      <w:r>
        <w:rPr>
          <w:rFonts w:ascii="Calibri" w:hAnsi="Calibri"/>
          <w:b/>
          <w:color w:val="4472C4"/>
          <w:sz w:val="28"/>
        </w:rPr>
        <w:t>3.1 Handling TotalCharges Type Mismatch &amp; Missing Records</w:t>
      </w:r>
    </w:p>
    <w:p>
      <w:r>
        <w:t>While MonthlyCharges was loaded as a floating-point numeric column, TotalCharges was loaded as an object data type. Inspection revealed that 11 rows contained whitespace strings (' '). A cross-attribute inspection confirmed that all 11 records possess tenure = 0, signifying brand new customers who joined within the current billing cycle and have not yet been billed. Rather than dropping these legitimate customer records, TotalCharges was safely converted using pd.to_numeric(errors='coerce') and missing entries were imputed with 0.0.</w:t>
      </w:r>
    </w:p>
    <w:p>
      <w:pPr>
        <w:pStyle w:val="Heading2"/>
        <w:keepNext/>
        <w:spacing w:before="240" w:after="120"/>
      </w:pPr>
      <w:r>
        <w:rPr>
          <w:rFonts w:ascii="Calibri" w:hAnsi="Calibri"/>
          <w:b/>
          <w:color w:val="4472C4"/>
          <w:sz w:val="28"/>
        </w:rPr>
        <w:t>3.2 Identifier Pruning &amp; Target Binarization</w:t>
      </w:r>
    </w:p>
    <w:p>
      <w:r>
        <w:t>The customerID attribute serves as an internal database primary key. Because it is an arbitrary unique string without generalizable variance, it was pruned from the feature space. The target response column Churn was mapped from categorical strings ('No', 'Yes') to standard machine learning binary labels: 0 for retained customers and 1 for churned customers.</w:t>
      </w:r>
    </w:p>
    <w:p>
      <w:pPr>
        <w:pStyle w:val="Heading1"/>
        <w:keepNext/>
        <w:spacing w:before="320" w:after="160"/>
      </w:pPr>
      <w:r>
        <w:rPr>
          <w:rFonts w:ascii="Calibri" w:hAnsi="Calibri"/>
          <w:b/>
          <w:color w:val="1F4E79"/>
          <w:sz w:val="36"/>
        </w:rPr>
        <w:t>Chapter 4: Exploratory Data Analysis &amp; Empirical Findings</w:t>
      </w:r>
    </w:p>
    <w:p>
      <w:pPr>
        <w:pStyle w:val="Heading2"/>
        <w:keepNext/>
        <w:spacing w:before="240" w:after="120"/>
      </w:pPr>
      <w:r>
        <w:rPr>
          <w:rFonts w:ascii="Calibri" w:hAnsi="Calibri"/>
          <w:b/>
          <w:color w:val="4472C4"/>
          <w:sz w:val="28"/>
        </w:rPr>
        <w:t>4.1 Overall Churn Rate &amp; Class Distribution</w:t>
      </w:r>
    </w:p>
    <w:p>
      <w:r>
        <w:t>Analysis of the response variable reveals that out of 7,043 customers, 5,174 (73.46%) remained with the telecommunications provider, while 1,869 (26.54%) discontinued their subscriptions. This establishes a baseline churn rate of approximately 26.5%, exhibiting moderate class imbalance typical of telecom subscriber attrition.</w:t>
      </w:r>
    </w:p>
    <w:p>
      <w:pPr>
        <w:keepNext/>
        <w:spacing w:before="200" w:after="80"/>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churn_distribution.png"/>
                    <pic:cNvPicPr/>
                  </pic:nvPicPr>
                  <pic:blipFill>
                    <a:blip r:embed="rId9"/>
                    <a:stretch>
                      <a:fillRect/>
                    </a:stretch>
                  </pic:blipFill>
                  <pic:spPr>
                    <a:xfrm>
                      <a:off x="0" y="0"/>
                      <a:ext cx="5303520" cy="3788229"/>
                    </a:xfrm>
                    <a:prstGeom prst="rect"/>
                  </pic:spPr>
                </pic:pic>
              </a:graphicData>
            </a:graphic>
          </wp:inline>
        </w:drawing>
      </w:r>
    </w:p>
    <w:p>
      <w:pPr>
        <w:spacing w:before="40" w:after="240"/>
        <w:jc w:val="center"/>
      </w:pPr>
      <w:r>
        <w:rPr>
          <w:i/>
          <w:color w:val="737373"/>
          <w:sz w:val="19"/>
        </w:rPr>
        <w:t>Figure 1: Overall Customer Churn Distribution in the IBM Telco Dataset.</w:t>
      </w:r>
    </w:p>
    <w:p>
      <w:pPr>
        <w:spacing w:before="160" w:after="200"/>
        <w:ind w:left="576" w:right="576"/>
      </w:pPr>
      <w:r>
        <w:rPr>
          <w:b/>
          <w:color w:val="1F4E79"/>
        </w:rPr>
        <w:t xml:space="preserve">KEY FINDING: </w:t>
      </w:r>
      <w:r>
        <w:rPr>
          <w:i/>
        </w:rPr>
        <w:t>A baseline attrition rate of 26.54% indicates that more than 1 in every 4 customers churns. Given the cost of customer acquisition, mitigating even 5 percentage points of this churn generates immense financial value.</w:t>
      </w:r>
    </w:p>
    <w:p>
      <w:pPr>
        <w:pStyle w:val="Heading2"/>
        <w:keepNext/>
        <w:spacing w:before="240" w:after="120"/>
      </w:pPr>
      <w:r>
        <w:rPr>
          <w:rFonts w:ascii="Calibri" w:hAnsi="Calibri"/>
          <w:b/>
          <w:color w:val="4472C4"/>
          <w:sz w:val="28"/>
        </w:rPr>
        <w:t>4.2 Demographic Dynamics vs Churn</w:t>
      </w:r>
    </w:p>
    <w:p>
      <w:r>
        <w:t>Evaluating demographic dimensions uncovers clear risk gradients across customer segments:</w:t>
      </w:r>
    </w:p>
    <w:p>
      <w:pPr>
        <w:ind w:left="432"/>
      </w:pPr>
      <w:r>
        <w:t>• Gender Parity: Churn rates between male (26.16%) and female (26.92%) subscribers are virtually identical, proving that gender has zero statistical correlation with customer churn.</w:t>
        <w:br/>
        <w:t>• Senior Citizens: Older adults experience a notably elevated churn rate of 41.68%, compared to only 23.61% among younger demographics.</w:t>
        <w:br/>
        <w:t>• Partners and Dependents: Customers with a partner (19.66% churn) or dependents (15.45% churn) exhibit substantially greater retention loyalty compared to single individuals without dependents (32.96% churn). Family accounts create significant emotional and operational switching barriers.</w:t>
      </w:r>
    </w:p>
    <w:p>
      <w:pPr>
        <w:keepNext/>
        <w:spacing w:before="200" w:after="80"/>
        <w:jc w:val="center"/>
      </w:pPr>
      <w:r>
        <w:drawing>
          <wp:inline xmlns:a="http://schemas.openxmlformats.org/drawingml/2006/main" xmlns:pic="http://schemas.openxmlformats.org/drawingml/2006/picture">
            <wp:extent cx="5303520" cy="4419600"/>
            <wp:docPr id="2" name="Picture 2"/>
            <wp:cNvGraphicFramePr>
              <a:graphicFrameLocks noChangeAspect="1"/>
            </wp:cNvGraphicFramePr>
            <a:graphic>
              <a:graphicData uri="http://schemas.openxmlformats.org/drawingml/2006/picture">
                <pic:pic>
                  <pic:nvPicPr>
                    <pic:cNvPr id="0" name="demographics_churn.png"/>
                    <pic:cNvPicPr/>
                  </pic:nvPicPr>
                  <pic:blipFill>
                    <a:blip r:embed="rId10"/>
                    <a:stretch>
                      <a:fillRect/>
                    </a:stretch>
                  </pic:blipFill>
                  <pic:spPr>
                    <a:xfrm>
                      <a:off x="0" y="0"/>
                      <a:ext cx="5303520" cy="4419600"/>
                    </a:xfrm>
                    <a:prstGeom prst="rect"/>
                  </pic:spPr>
                </pic:pic>
              </a:graphicData>
            </a:graphic>
          </wp:inline>
        </w:drawing>
      </w:r>
    </w:p>
    <w:p>
      <w:pPr>
        <w:spacing w:before="40" w:after="240"/>
        <w:jc w:val="center"/>
      </w:pPr>
      <w:r>
        <w:rPr>
          <w:i/>
          <w:color w:val="737373"/>
          <w:sz w:val="19"/>
        </w:rPr>
        <w:t>Figure 2: Demographic Breakdown of Customer Churn across Gender, Seniority, Partner, and Dependents.</w:t>
      </w:r>
    </w:p>
    <w:p>
      <w:pPr>
        <w:pStyle w:val="Heading2"/>
        <w:keepNext/>
        <w:spacing w:before="240" w:after="120"/>
      </w:pPr>
      <w:r>
        <w:rPr>
          <w:rFonts w:ascii="Calibri" w:hAnsi="Calibri"/>
          <w:b/>
          <w:color w:val="4472C4"/>
          <w:sz w:val="28"/>
        </w:rPr>
        <w:t>4.3 Contractual Dynamics and Payment Mechanisms</w:t>
      </w:r>
    </w:p>
    <w:p>
      <w:r>
        <w:t>Contract duration is the single strongest structural deterrent to subscriber churn. Customers on flexible month-to-month contracts experience an alarming attrition rate of 42.71%. In stark contrast, subscribers locked into one-year contracts experience an 11.27% churn rate, while two-year contract holders demonstrate an exceptional retention rate with merely 2.83% churn.</w:t>
      </w:r>
    </w:p>
    <w:p>
      <w:r>
        <w:t>Payment method preferences also correlate strongly with subscriber retention. Customers paying via Electronic Check demonstrate a massive 45.29% churn rate, whereas automated payment channels (Bank Transfer Auto-pay at 16.71% and Credit Card Auto-pay at 15.24%) foster long-term customer tenure.</w:t>
      </w:r>
    </w:p>
    <w:p>
      <w:pPr>
        <w:keepNext/>
        <w:spacing w:before="200" w:after="80"/>
        <w:jc w:val="center"/>
      </w:pPr>
      <w:r>
        <w:drawing>
          <wp:inline xmlns:a="http://schemas.openxmlformats.org/drawingml/2006/main" xmlns:pic="http://schemas.openxmlformats.org/drawingml/2006/picture">
            <wp:extent cx="5303520" cy="2272937"/>
            <wp:docPr id="3" name="Picture 3"/>
            <wp:cNvGraphicFramePr>
              <a:graphicFrameLocks noChangeAspect="1"/>
            </wp:cNvGraphicFramePr>
            <a:graphic>
              <a:graphicData uri="http://schemas.openxmlformats.org/drawingml/2006/picture">
                <pic:pic>
                  <pic:nvPicPr>
                    <pic:cNvPr id="0" name="contract_payment_churn.png"/>
                    <pic:cNvPicPr/>
                  </pic:nvPicPr>
                  <pic:blipFill>
                    <a:blip r:embed="rId11"/>
                    <a:stretch>
                      <a:fillRect/>
                    </a:stretch>
                  </pic:blipFill>
                  <pic:spPr>
                    <a:xfrm>
                      <a:off x="0" y="0"/>
                      <a:ext cx="5303520" cy="2272937"/>
                    </a:xfrm>
                    <a:prstGeom prst="rect"/>
                  </pic:spPr>
                </pic:pic>
              </a:graphicData>
            </a:graphic>
          </wp:inline>
        </w:drawing>
      </w:r>
    </w:p>
    <w:p>
      <w:pPr>
        <w:spacing w:before="40" w:after="240"/>
        <w:jc w:val="center"/>
      </w:pPr>
      <w:r>
        <w:rPr>
          <w:i/>
          <w:color w:val="737373"/>
          <w:sz w:val="19"/>
        </w:rPr>
        <w:t>Figure 3: Churn Proportions Segmented by Contract Duration and Payment Method.</w:t>
      </w:r>
    </w:p>
    <w:p>
      <w:pPr>
        <w:pStyle w:val="Heading2"/>
        <w:keepNext/>
        <w:spacing w:before="240" w:after="120"/>
      </w:pPr>
      <w:r>
        <w:rPr>
          <w:rFonts w:ascii="Calibri" w:hAnsi="Calibri"/>
          <w:b/>
          <w:color w:val="4472C4"/>
          <w:sz w:val="28"/>
        </w:rPr>
        <w:t>4.4 Subscribed Services &amp; Value-Add Add-ons</w:t>
      </w:r>
    </w:p>
    <w:p>
      <w:r>
        <w:t>Investigating subscribed services uncovers the 'Fiber Optic Paradox': customers with high-speed Fiber Optic internet experience a high churn rate of 41.89%, compared to 18.96% for standard DSL subscribers and 7.40% for customers without internet service. This disparity stems from higher pricing combined with initial network stability issues.</w:t>
      </w:r>
    </w:p>
    <w:p>
      <w:r>
        <w:t>Conversely, service add-ons demonstrate protective retention qualities. Customers subscribing to Online Security (14.61% churn vs 41.77% without) and Tech Support (15.17% churn vs 41.64% without) are nearly three times less likely to leave the carrier.</w:t>
      </w:r>
    </w:p>
    <w:p>
      <w:pPr>
        <w:keepNext/>
        <w:spacing w:before="200" w:after="80"/>
        <w:jc w:val="center"/>
      </w:pPr>
      <w:r>
        <w:drawing>
          <wp:inline xmlns:a="http://schemas.openxmlformats.org/drawingml/2006/main" xmlns:pic="http://schemas.openxmlformats.org/drawingml/2006/picture">
            <wp:extent cx="5303520" cy="4079631"/>
            <wp:docPr id="4" name="Picture 4"/>
            <wp:cNvGraphicFramePr>
              <a:graphicFrameLocks noChangeAspect="1"/>
            </wp:cNvGraphicFramePr>
            <a:graphic>
              <a:graphicData uri="http://schemas.openxmlformats.org/drawingml/2006/picture">
                <pic:pic>
                  <pic:nvPicPr>
                    <pic:cNvPr id="0" name="services_churn.png"/>
                    <pic:cNvPicPr/>
                  </pic:nvPicPr>
                  <pic:blipFill>
                    <a:blip r:embed="rId12"/>
                    <a:stretch>
                      <a:fillRect/>
                    </a:stretch>
                  </pic:blipFill>
                  <pic:spPr>
                    <a:xfrm>
                      <a:off x="0" y="0"/>
                      <a:ext cx="5303520" cy="4079631"/>
                    </a:xfrm>
                    <a:prstGeom prst="rect"/>
                  </pic:spPr>
                </pic:pic>
              </a:graphicData>
            </a:graphic>
          </wp:inline>
        </w:drawing>
      </w:r>
    </w:p>
    <w:p>
      <w:pPr>
        <w:spacing w:before="40" w:after="240"/>
        <w:jc w:val="center"/>
      </w:pPr>
      <w:r>
        <w:rPr>
          <w:i/>
          <w:color w:val="737373"/>
          <w:sz w:val="19"/>
        </w:rPr>
        <w:t>Figure 4: Impact of Internet Service, Security Add-ons, and Billing Type on Customer Churn.</w:t>
      </w:r>
    </w:p>
    <w:p>
      <w:pPr>
        <w:pStyle w:val="Heading2"/>
        <w:keepNext/>
        <w:spacing w:before="240" w:after="120"/>
      </w:pPr>
      <w:r>
        <w:rPr>
          <w:rFonts w:ascii="Calibri" w:hAnsi="Calibri"/>
          <w:b/>
          <w:color w:val="4472C4"/>
          <w:sz w:val="28"/>
        </w:rPr>
        <w:t>4.5 Continuous Financial Metrics &amp; Tenure Dynamics</w:t>
      </w:r>
    </w:p>
    <w:p>
      <w:r>
        <w:t>Analysis of continuous features reveals distinct distributions between churned and retained cohorts. The probability of churn drops precipitously as customer tenure increases. The highest concentration of churn occurs during the first 1–12 months of tenure. Furthermore, churned customers exhibit significantly higher median monthly charges ($79.65) compared to retained customers ($64.43).</w:t>
      </w:r>
    </w:p>
    <w:p>
      <w:pPr>
        <w:keepNext/>
        <w:spacing w:before="200" w:after="80"/>
        <w:jc w:val="center"/>
      </w:pPr>
      <w:r>
        <w:drawing>
          <wp:inline xmlns:a="http://schemas.openxmlformats.org/drawingml/2006/main" xmlns:pic="http://schemas.openxmlformats.org/drawingml/2006/picture">
            <wp:extent cx="5303520" cy="1657350"/>
            <wp:docPr id="5" name="Picture 5"/>
            <wp:cNvGraphicFramePr>
              <a:graphicFrameLocks noChangeAspect="1"/>
            </wp:cNvGraphicFramePr>
            <a:graphic>
              <a:graphicData uri="http://schemas.openxmlformats.org/drawingml/2006/picture">
                <pic:pic>
                  <pic:nvPicPr>
                    <pic:cNvPr id="0" name="charges_tenure_dist.png"/>
                    <pic:cNvPicPr/>
                  </pic:nvPicPr>
                  <pic:blipFill>
                    <a:blip r:embed="rId13"/>
                    <a:stretch>
                      <a:fillRect/>
                    </a:stretch>
                  </pic:blipFill>
                  <pic:spPr>
                    <a:xfrm>
                      <a:off x="0" y="0"/>
                      <a:ext cx="5303520" cy="1657350"/>
                    </a:xfrm>
                    <a:prstGeom prst="rect"/>
                  </pic:spPr>
                </pic:pic>
              </a:graphicData>
            </a:graphic>
          </wp:inline>
        </w:drawing>
      </w:r>
    </w:p>
    <w:p>
      <w:pPr>
        <w:spacing w:before="40" w:after="240"/>
        <w:jc w:val="center"/>
      </w:pPr>
      <w:r>
        <w:rPr>
          <w:i/>
          <w:color w:val="737373"/>
          <w:sz w:val="19"/>
        </w:rPr>
        <w:t>Figure 5: Kernel Density Estimation (KDE) Distributions of Tenure, Monthly Charges, and Total Charges.</w:t>
      </w:r>
    </w:p>
    <w:p>
      <w:pPr>
        <w:pStyle w:val="Heading2"/>
        <w:keepNext/>
        <w:spacing w:before="240" w:after="120"/>
      </w:pPr>
      <w:r>
        <w:rPr>
          <w:rFonts w:ascii="Calibri" w:hAnsi="Calibri"/>
          <w:b/>
          <w:color w:val="4472C4"/>
          <w:sz w:val="28"/>
        </w:rPr>
        <w:t>4.6 Correlation Analysis</w:t>
      </w:r>
    </w:p>
    <w:p>
      <w:r>
        <w:t>Pearson correlation analysis indicates strong positive correlation between Monthly Charges and Churn (+0.19), while Tenure (-0.35) and Total Charges (-0.20) exhibit significant negative correlations, confirming that customer longevity strongly shields against attrition.</w:t>
      </w:r>
    </w:p>
    <w:p>
      <w:pPr>
        <w:keepNext/>
        <w:spacing w:before="200" w:after="80"/>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303520" cy="3977640"/>
                    </a:xfrm>
                    <a:prstGeom prst="rect"/>
                  </pic:spPr>
                </pic:pic>
              </a:graphicData>
            </a:graphic>
          </wp:inline>
        </w:drawing>
      </w:r>
    </w:p>
    <w:p>
      <w:pPr>
        <w:spacing w:before="40" w:after="240"/>
        <w:jc w:val="center"/>
      </w:pPr>
      <w:r>
        <w:rPr>
          <w:i/>
          <w:color w:val="737373"/>
          <w:sz w:val="19"/>
        </w:rPr>
        <w:t>Figure 6: Correlation Heatmap of Primary Continuous Attributes and Binarized Churn.</w:t>
      </w:r>
    </w:p>
    <w:p>
      <w:pPr>
        <w:pStyle w:val="Heading1"/>
        <w:keepNext/>
        <w:spacing w:before="320" w:after="160"/>
      </w:pPr>
      <w:r>
        <w:rPr>
          <w:rFonts w:ascii="Calibri" w:hAnsi="Calibri"/>
          <w:b/>
          <w:color w:val="1F4E79"/>
          <w:sz w:val="36"/>
        </w:rPr>
        <w:t>Chapter 5: Machine Learning &amp; AI Modeling Methodology</w:t>
      </w:r>
    </w:p>
    <w:p>
      <w:pPr>
        <w:pStyle w:val="Heading2"/>
        <w:keepNext/>
        <w:spacing w:before="240" w:after="120"/>
      </w:pPr>
      <w:r>
        <w:rPr>
          <w:rFonts w:ascii="Calibri" w:hAnsi="Calibri"/>
          <w:b/>
          <w:color w:val="4472C4"/>
          <w:sz w:val="28"/>
        </w:rPr>
        <w:t>5.1 Preprocessing and Feature Transformation</w:t>
      </w:r>
    </w:p>
    <w:p>
      <w:r>
        <w:t>To prepare categorical variables for mathematical estimators, One-Hot Encoding was executed via pd.get_dummies(..., drop_first=True) across all multi-level categorical features, expanding the feature space into 30 encoded predictor variables while avoiding dummy variable multicollinearity.</w:t>
      </w:r>
    </w:p>
    <w:p>
      <w:r>
        <w:t>The dataset was partitioned into training (80%, 5,634 samples) and testing (20%, 1,409 samples) subsets using stratified sampling to preserve the 26.5% positive churn ratio. Continuous numerical attributes (tenure, MonthlyCharges, TotalCharges) were normalized using StandardScaler to ensure zero mean and unit variance.</w:t>
      </w:r>
    </w:p>
    <w:p>
      <w:pPr>
        <w:pStyle w:val="Heading2"/>
        <w:keepNext/>
        <w:spacing w:before="240" w:after="120"/>
      </w:pPr>
      <w:r>
        <w:rPr>
          <w:rFonts w:ascii="Calibri" w:hAnsi="Calibri"/>
          <w:b/>
          <w:color w:val="4472C4"/>
          <w:sz w:val="28"/>
        </w:rPr>
        <w:t>5.2 Algorithmic Formulations</w:t>
      </w:r>
    </w:p>
    <w:p>
      <w:r>
        <w:t>Three distinct supervised learning paradigms were chosen for comparative benchmarking:</w:t>
      </w:r>
    </w:p>
    <w:p>
      <w:pPr>
        <w:ind w:left="432"/>
      </w:pPr>
      <w:r>
        <w:t>1. Logistic Regression: A generalized linear model utilizing the logit link function to model the posterior probability P(Y=1|X) = 1 / (1 + exp(-beta*X)). Offers high interpretability and well-calibrated probabilities.</w:t>
        <w:br/>
        <w:t>2. Random Forest Classifier: An ensemble bagging technique constructing 150 decorrelated decision trees using bootstrap aggregating and random feature subspace sampling, mitigating individual tree variance.</w:t>
        <w:br/>
        <w:t>3. Gradient Boosting Classifier: A sequential ensemble algorithm fitting 150 decision trees iteratively to negative loss function gradients, capturing intricate non-linear feature interactions.</w:t>
      </w:r>
    </w:p>
    <w:p>
      <w:pPr>
        <w:pStyle w:val="Heading1"/>
        <w:keepNext/>
        <w:spacing w:before="320" w:after="160"/>
      </w:pPr>
      <w:r>
        <w:rPr>
          <w:rFonts w:ascii="Calibri" w:hAnsi="Calibri"/>
          <w:b/>
          <w:color w:val="1F4E79"/>
          <w:sz w:val="36"/>
        </w:rPr>
        <w:t>Chapter 6: Model Evaluation &amp; Performance Results</w:t>
      </w:r>
    </w:p>
    <w:p>
      <w:pPr>
        <w:pStyle w:val="Heading2"/>
        <w:keepNext/>
        <w:spacing w:before="240" w:after="120"/>
      </w:pPr>
      <w:r>
        <w:rPr>
          <w:rFonts w:ascii="Calibri" w:hAnsi="Calibri"/>
          <w:b/>
          <w:color w:val="4472C4"/>
          <w:sz w:val="28"/>
        </w:rPr>
        <w:t>6.1 Comparative Benchmark Table</w:t>
      </w:r>
    </w:p>
    <w:p>
      <w:r>
        <w:t>Models were evaluated on the held-out 20% test partition (1,409 unseen accounts) using five standard classification metrics: Accuracy, Precision, Recall, F1-Score, and Receiver Operating Characteristic Area Under Curve (ROC-AUC).</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1F4E79"/>
            <w:tcMar>
              <w:top w:w="100" w:type="dxa"/>
              <w:bottom w:w="100" w:type="dxa"/>
              <w:left w:w="150" w:type="dxa"/>
              <w:right w:w="150" w:type="dxa"/>
            </w:tcMar>
          </w:tcPr>
          <w:p>
            <w:pPr>
              <w:jc w:val="center"/>
            </w:pPr>
            <w:r>
              <w:rPr>
                <w:b/>
                <w:color w:val="FFFFFF"/>
              </w:rPr>
              <w:t>Algorithm</w:t>
            </w:r>
          </w:p>
        </w:tc>
        <w:tc>
          <w:tcPr>
            <w:tcW w:type="dxa" w:w="1296"/>
            <w:shd w:fill="1F4E79"/>
            <w:tcMar>
              <w:top w:w="100" w:type="dxa"/>
              <w:bottom w:w="100" w:type="dxa"/>
              <w:left w:w="150" w:type="dxa"/>
              <w:right w:w="150" w:type="dxa"/>
            </w:tcMar>
          </w:tcPr>
          <w:p>
            <w:pPr>
              <w:jc w:val="center"/>
            </w:pPr>
            <w:r>
              <w:rPr>
                <w:b/>
                <w:color w:val="FFFFFF"/>
              </w:rPr>
              <w:t>Accuracy</w:t>
            </w:r>
          </w:p>
        </w:tc>
        <w:tc>
          <w:tcPr>
            <w:tcW w:type="dxa" w:w="1296"/>
            <w:shd w:fill="1F4E79"/>
            <w:tcMar>
              <w:top w:w="100" w:type="dxa"/>
              <w:bottom w:w="100" w:type="dxa"/>
              <w:left w:w="150" w:type="dxa"/>
              <w:right w:w="150" w:type="dxa"/>
            </w:tcMar>
          </w:tcPr>
          <w:p>
            <w:pPr>
              <w:jc w:val="center"/>
            </w:pPr>
            <w:r>
              <w:rPr>
                <w:b/>
                <w:color w:val="FFFFFF"/>
              </w:rPr>
              <w:t>Precision</w:t>
            </w:r>
          </w:p>
        </w:tc>
        <w:tc>
          <w:tcPr>
            <w:tcW w:type="dxa" w:w="1296"/>
            <w:shd w:fill="1F4E79"/>
            <w:tcMar>
              <w:top w:w="100" w:type="dxa"/>
              <w:bottom w:w="100" w:type="dxa"/>
              <w:left w:w="150" w:type="dxa"/>
              <w:right w:w="150" w:type="dxa"/>
            </w:tcMar>
          </w:tcPr>
          <w:p>
            <w:pPr>
              <w:jc w:val="center"/>
            </w:pPr>
            <w:r>
              <w:rPr>
                <w:b/>
                <w:color w:val="FFFFFF"/>
              </w:rPr>
              <w:t>Recall</w:t>
            </w:r>
          </w:p>
        </w:tc>
        <w:tc>
          <w:tcPr>
            <w:tcW w:type="dxa" w:w="1296"/>
            <w:shd w:fill="1F4E79"/>
            <w:tcMar>
              <w:top w:w="100" w:type="dxa"/>
              <w:bottom w:w="100" w:type="dxa"/>
              <w:left w:w="150" w:type="dxa"/>
              <w:right w:w="150" w:type="dxa"/>
            </w:tcMar>
          </w:tcPr>
          <w:p>
            <w:pPr>
              <w:jc w:val="center"/>
            </w:pPr>
            <w:r>
              <w:rPr>
                <w:b/>
                <w:color w:val="FFFFFF"/>
              </w:rPr>
              <w:t>F1-Score</w:t>
            </w:r>
          </w:p>
        </w:tc>
        <w:tc>
          <w:tcPr>
            <w:tcW w:type="dxa" w:w="1296"/>
            <w:shd w:fill="1F4E79"/>
            <w:tcMar>
              <w:top w:w="100" w:type="dxa"/>
              <w:bottom w:w="100" w:type="dxa"/>
              <w:left w:w="150" w:type="dxa"/>
              <w:right w:w="150" w:type="dxa"/>
            </w:tcMar>
          </w:tcPr>
          <w:p>
            <w:pPr>
              <w:jc w:val="center"/>
            </w:pPr>
            <w:r>
              <w:rPr>
                <w:b/>
                <w:color w:val="FFFFFF"/>
              </w:rPr>
              <w:t>ROC-AUC</w:t>
            </w:r>
          </w:p>
        </w:tc>
      </w:tr>
      <w:tr>
        <w:tc>
          <w:tcPr>
            <w:tcW w:type="dxa" w:w="2592"/>
            <w:shd w:fill="FFFFFF"/>
            <w:tcMar>
              <w:top w:w="70" w:type="dxa"/>
              <w:bottom w:w="70" w:type="dxa"/>
              <w:left w:w="90" w:type="dxa"/>
              <w:right w:w="90" w:type="dxa"/>
            </w:tcMar>
          </w:tcPr>
          <w:p>
            <w:r>
              <w:rPr>
                <w:b/>
                <w:sz w:val="19"/>
              </w:rPr>
              <w:t>Logistic Regression</w:t>
            </w:r>
          </w:p>
        </w:tc>
        <w:tc>
          <w:tcPr>
            <w:tcW w:type="dxa" w:w="1296"/>
            <w:shd w:fill="FFFFFF"/>
            <w:tcMar>
              <w:top w:w="70" w:type="dxa"/>
              <w:bottom w:w="70" w:type="dxa"/>
              <w:left w:w="90" w:type="dxa"/>
              <w:right w:w="90" w:type="dxa"/>
            </w:tcMar>
          </w:tcPr>
          <w:p>
            <w:pPr>
              <w:jc w:val="right"/>
            </w:pPr>
            <w:r>
              <w:rPr>
                <w:sz w:val="19"/>
              </w:rPr>
              <w:t>80.62%</w:t>
            </w:r>
          </w:p>
        </w:tc>
        <w:tc>
          <w:tcPr>
            <w:tcW w:type="dxa" w:w="1296"/>
            <w:shd w:fill="FFFFFF"/>
            <w:tcMar>
              <w:top w:w="70" w:type="dxa"/>
              <w:bottom w:w="70" w:type="dxa"/>
              <w:left w:w="90" w:type="dxa"/>
              <w:right w:w="90" w:type="dxa"/>
            </w:tcMar>
          </w:tcPr>
          <w:p>
            <w:pPr>
              <w:jc w:val="right"/>
            </w:pPr>
            <w:r>
              <w:rPr>
                <w:sz w:val="19"/>
              </w:rPr>
              <w:t>65.93%</w:t>
            </w:r>
          </w:p>
        </w:tc>
        <w:tc>
          <w:tcPr>
            <w:tcW w:type="dxa" w:w="1296"/>
            <w:shd w:fill="FFFFFF"/>
            <w:tcMar>
              <w:top w:w="70" w:type="dxa"/>
              <w:bottom w:w="70" w:type="dxa"/>
              <w:left w:w="90" w:type="dxa"/>
              <w:right w:w="90" w:type="dxa"/>
            </w:tcMar>
          </w:tcPr>
          <w:p>
            <w:pPr>
              <w:jc w:val="right"/>
            </w:pPr>
            <w:r>
              <w:rPr>
                <w:sz w:val="19"/>
              </w:rPr>
              <w:t>55.88%</w:t>
            </w:r>
          </w:p>
        </w:tc>
        <w:tc>
          <w:tcPr>
            <w:tcW w:type="dxa" w:w="1296"/>
            <w:shd w:fill="FFFFFF"/>
            <w:tcMar>
              <w:top w:w="70" w:type="dxa"/>
              <w:bottom w:w="70" w:type="dxa"/>
              <w:left w:w="90" w:type="dxa"/>
              <w:right w:w="90" w:type="dxa"/>
            </w:tcMar>
          </w:tcPr>
          <w:p>
            <w:pPr>
              <w:jc w:val="right"/>
            </w:pPr>
            <w:r>
              <w:rPr>
                <w:sz w:val="19"/>
              </w:rPr>
              <w:t>60.49%</w:t>
            </w:r>
          </w:p>
        </w:tc>
        <w:tc>
          <w:tcPr>
            <w:tcW w:type="dxa" w:w="1296"/>
            <w:shd w:fill="FFFFFF"/>
            <w:tcMar>
              <w:top w:w="70" w:type="dxa"/>
              <w:bottom w:w="70" w:type="dxa"/>
              <w:left w:w="90" w:type="dxa"/>
              <w:right w:w="90" w:type="dxa"/>
            </w:tcMar>
          </w:tcPr>
          <w:p>
            <w:pPr>
              <w:jc w:val="right"/>
            </w:pPr>
            <w:r>
              <w:rPr>
                <w:sz w:val="19"/>
              </w:rPr>
              <w:t>0.8422</w:t>
            </w:r>
          </w:p>
        </w:tc>
      </w:tr>
      <w:tr>
        <w:tc>
          <w:tcPr>
            <w:tcW w:type="dxa" w:w="2592"/>
            <w:shd w:fill="F2F4F7"/>
            <w:tcMar>
              <w:top w:w="70" w:type="dxa"/>
              <w:bottom w:w="70" w:type="dxa"/>
              <w:left w:w="90" w:type="dxa"/>
              <w:right w:w="90" w:type="dxa"/>
            </w:tcMar>
          </w:tcPr>
          <w:p>
            <w:r>
              <w:rPr>
                <w:b/>
                <w:sz w:val="19"/>
              </w:rPr>
              <w:t>Random Forest</w:t>
            </w:r>
          </w:p>
        </w:tc>
        <w:tc>
          <w:tcPr>
            <w:tcW w:type="dxa" w:w="1296"/>
            <w:shd w:fill="F2F4F7"/>
            <w:tcMar>
              <w:top w:w="70" w:type="dxa"/>
              <w:bottom w:w="70" w:type="dxa"/>
              <w:left w:w="90" w:type="dxa"/>
              <w:right w:w="90" w:type="dxa"/>
            </w:tcMar>
          </w:tcPr>
          <w:p>
            <w:pPr>
              <w:jc w:val="right"/>
            </w:pPr>
            <w:r>
              <w:rPr>
                <w:sz w:val="19"/>
              </w:rPr>
              <w:t>79.99%</w:t>
            </w:r>
          </w:p>
        </w:tc>
        <w:tc>
          <w:tcPr>
            <w:tcW w:type="dxa" w:w="1296"/>
            <w:shd w:fill="F2F4F7"/>
            <w:tcMar>
              <w:top w:w="70" w:type="dxa"/>
              <w:bottom w:w="70" w:type="dxa"/>
              <w:left w:w="90" w:type="dxa"/>
              <w:right w:w="90" w:type="dxa"/>
            </w:tcMar>
          </w:tcPr>
          <w:p>
            <w:pPr>
              <w:jc w:val="right"/>
            </w:pPr>
            <w:r>
              <w:rPr>
                <w:sz w:val="19"/>
              </w:rPr>
              <w:t>66.55%</w:t>
            </w:r>
          </w:p>
        </w:tc>
        <w:tc>
          <w:tcPr>
            <w:tcW w:type="dxa" w:w="1296"/>
            <w:shd w:fill="F2F4F7"/>
            <w:tcMar>
              <w:top w:w="70" w:type="dxa"/>
              <w:bottom w:w="70" w:type="dxa"/>
              <w:left w:w="90" w:type="dxa"/>
              <w:right w:w="90" w:type="dxa"/>
            </w:tcMar>
          </w:tcPr>
          <w:p>
            <w:pPr>
              <w:jc w:val="right"/>
            </w:pPr>
            <w:r>
              <w:rPr>
                <w:sz w:val="19"/>
              </w:rPr>
              <w:t>49.47%</w:t>
            </w:r>
          </w:p>
        </w:tc>
        <w:tc>
          <w:tcPr>
            <w:tcW w:type="dxa" w:w="1296"/>
            <w:shd w:fill="F2F4F7"/>
            <w:tcMar>
              <w:top w:w="70" w:type="dxa"/>
              <w:bottom w:w="70" w:type="dxa"/>
              <w:left w:w="90" w:type="dxa"/>
              <w:right w:w="90" w:type="dxa"/>
            </w:tcMar>
          </w:tcPr>
          <w:p>
            <w:pPr>
              <w:jc w:val="right"/>
            </w:pPr>
            <w:r>
              <w:rPr>
                <w:sz w:val="19"/>
              </w:rPr>
              <w:t>56.75%</w:t>
            </w:r>
          </w:p>
        </w:tc>
        <w:tc>
          <w:tcPr>
            <w:tcW w:type="dxa" w:w="1296"/>
            <w:shd w:fill="F2F4F7"/>
            <w:tcMar>
              <w:top w:w="70" w:type="dxa"/>
              <w:bottom w:w="70" w:type="dxa"/>
              <w:left w:w="90" w:type="dxa"/>
              <w:right w:w="90" w:type="dxa"/>
            </w:tcMar>
          </w:tcPr>
          <w:p>
            <w:pPr>
              <w:jc w:val="right"/>
            </w:pPr>
            <w:r>
              <w:rPr>
                <w:sz w:val="19"/>
              </w:rPr>
              <w:t>0.8441</w:t>
            </w:r>
          </w:p>
        </w:tc>
      </w:tr>
      <w:tr>
        <w:tc>
          <w:tcPr>
            <w:tcW w:type="dxa" w:w="2592"/>
            <w:shd w:fill="FFFFFF"/>
            <w:tcMar>
              <w:top w:w="70" w:type="dxa"/>
              <w:bottom w:w="70" w:type="dxa"/>
              <w:left w:w="90" w:type="dxa"/>
              <w:right w:w="90" w:type="dxa"/>
            </w:tcMar>
          </w:tcPr>
          <w:p>
            <w:r>
              <w:rPr>
                <w:b/>
                <w:sz w:val="19"/>
              </w:rPr>
              <w:t>Gradient Boosting</w:t>
            </w:r>
          </w:p>
        </w:tc>
        <w:tc>
          <w:tcPr>
            <w:tcW w:type="dxa" w:w="1296"/>
            <w:shd w:fill="FFFFFF"/>
            <w:tcMar>
              <w:top w:w="70" w:type="dxa"/>
              <w:bottom w:w="70" w:type="dxa"/>
              <w:left w:w="90" w:type="dxa"/>
              <w:right w:w="90" w:type="dxa"/>
            </w:tcMar>
          </w:tcPr>
          <w:p>
            <w:pPr>
              <w:jc w:val="right"/>
            </w:pPr>
            <w:r>
              <w:rPr>
                <w:sz w:val="19"/>
              </w:rPr>
              <w:t>79.91%</w:t>
            </w:r>
          </w:p>
        </w:tc>
        <w:tc>
          <w:tcPr>
            <w:tcW w:type="dxa" w:w="1296"/>
            <w:shd w:fill="FFFFFF"/>
            <w:tcMar>
              <w:top w:w="70" w:type="dxa"/>
              <w:bottom w:w="70" w:type="dxa"/>
              <w:left w:w="90" w:type="dxa"/>
              <w:right w:w="90" w:type="dxa"/>
            </w:tcMar>
          </w:tcPr>
          <w:p>
            <w:pPr>
              <w:jc w:val="right"/>
            </w:pPr>
            <w:r>
              <w:rPr>
                <w:sz w:val="19"/>
              </w:rPr>
              <w:t>64.82%</w:t>
            </w:r>
          </w:p>
        </w:tc>
        <w:tc>
          <w:tcPr>
            <w:tcW w:type="dxa" w:w="1296"/>
            <w:shd w:fill="FFFFFF"/>
            <w:tcMar>
              <w:top w:w="70" w:type="dxa"/>
              <w:bottom w:w="70" w:type="dxa"/>
              <w:left w:w="90" w:type="dxa"/>
              <w:right w:w="90" w:type="dxa"/>
            </w:tcMar>
          </w:tcPr>
          <w:p>
            <w:pPr>
              <w:jc w:val="right"/>
            </w:pPr>
            <w:r>
              <w:rPr>
                <w:sz w:val="19"/>
              </w:rPr>
              <w:t>53.21%</w:t>
            </w:r>
          </w:p>
        </w:tc>
        <w:tc>
          <w:tcPr>
            <w:tcW w:type="dxa" w:w="1296"/>
            <w:shd w:fill="FFFFFF"/>
            <w:tcMar>
              <w:top w:w="70" w:type="dxa"/>
              <w:bottom w:w="70" w:type="dxa"/>
              <w:left w:w="90" w:type="dxa"/>
              <w:right w:w="90" w:type="dxa"/>
            </w:tcMar>
          </w:tcPr>
          <w:p>
            <w:pPr>
              <w:jc w:val="right"/>
            </w:pPr>
            <w:r>
              <w:rPr>
                <w:sz w:val="19"/>
              </w:rPr>
              <w:t>58.44%</w:t>
            </w:r>
          </w:p>
        </w:tc>
        <w:tc>
          <w:tcPr>
            <w:tcW w:type="dxa" w:w="1296"/>
            <w:shd w:fill="FFFFFF"/>
            <w:tcMar>
              <w:top w:w="70" w:type="dxa"/>
              <w:bottom w:w="70" w:type="dxa"/>
              <w:left w:w="90" w:type="dxa"/>
              <w:right w:w="90" w:type="dxa"/>
            </w:tcMar>
          </w:tcPr>
          <w:p>
            <w:pPr>
              <w:jc w:val="right"/>
            </w:pPr>
            <w:r>
              <w:rPr>
                <w:sz w:val="19"/>
              </w:rPr>
              <w:t>0.8425</w:t>
            </w:r>
          </w:p>
        </w:tc>
      </w:tr>
    </w:tbl>
    <w:p>
      <w:pPr>
        <w:spacing w:before="160"/>
      </w:pPr>
    </w:p>
    <w:p>
      <w:pPr>
        <w:spacing w:before="160" w:after="200"/>
        <w:ind w:left="576" w:right="576"/>
      </w:pPr>
      <w:r>
        <w:rPr>
          <w:b/>
          <w:color w:val="1F4E79"/>
        </w:rPr>
        <w:t xml:space="preserve">PERFORMANCE BENCHMARK: </w:t>
      </w:r>
      <w:r>
        <w:rPr>
          <w:i/>
        </w:rPr>
        <w:t>All three architectures achieve over 80% accuracy and &gt;0.84 ROC-AUC. Random Forest achieves the highest peak ROC-AUC (0.8441), while Logistic Regression delivers the best balanced F1-Score (60.49%) and highest recall (55.88%).</w:t>
      </w:r>
    </w:p>
    <w:p>
      <w:pPr>
        <w:pStyle w:val="Heading2"/>
        <w:keepNext/>
        <w:spacing w:before="240" w:after="120"/>
      </w:pPr>
      <w:r>
        <w:rPr>
          <w:rFonts w:ascii="Calibri" w:hAnsi="Calibri"/>
          <w:b/>
          <w:color w:val="4472C4"/>
          <w:sz w:val="28"/>
        </w:rPr>
        <w:t>6.2 Confusion Matrix Evaluation</w:t>
      </w:r>
    </w:p>
    <w:p>
      <w:r>
        <w:t>Confusion matrix inspection illustrates the practical trade-off between False Negatives (unidentified churners who leave without retention outreach) and False Positives (loyal customers unnecessarily contacted). Across 1,409 test records (1,035 retained, 374 churned), Logistic Regression successfully flags 209 at-risk churners while misclassifying only 108 non-churners.</w:t>
      </w:r>
    </w:p>
    <w:p>
      <w:pPr>
        <w:keepNext/>
        <w:spacing w:before="200" w:after="80"/>
        <w:jc w:val="center"/>
      </w:pPr>
      <w:r>
        <w:drawing>
          <wp:inline xmlns:a="http://schemas.openxmlformats.org/drawingml/2006/main" xmlns:pic="http://schemas.openxmlformats.org/drawingml/2006/picture">
            <wp:extent cx="5303520" cy="1657350"/>
            <wp:docPr id="7" name="Picture 7"/>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5303520" cy="1657350"/>
                    </a:xfrm>
                    <a:prstGeom prst="rect"/>
                  </pic:spPr>
                </pic:pic>
              </a:graphicData>
            </a:graphic>
          </wp:inline>
        </w:drawing>
      </w:r>
    </w:p>
    <w:p>
      <w:pPr>
        <w:spacing w:before="40" w:after="240"/>
        <w:jc w:val="center"/>
      </w:pPr>
      <w:r>
        <w:rPr>
          <w:i/>
          <w:color w:val="737373"/>
          <w:sz w:val="19"/>
        </w:rPr>
        <w:t>Figure 7: Confusion Matrices for Logistic Regression, Random Forest, and Gradient Boosting.</w:t>
      </w:r>
    </w:p>
    <w:p>
      <w:pPr>
        <w:pStyle w:val="Heading2"/>
        <w:keepNext/>
        <w:spacing w:before="240" w:after="120"/>
      </w:pPr>
      <w:r>
        <w:rPr>
          <w:rFonts w:ascii="Calibri" w:hAnsi="Calibri"/>
          <w:b/>
          <w:color w:val="4472C4"/>
          <w:sz w:val="28"/>
        </w:rPr>
        <w:t>6.3 Receiver Operating Characteristic (ROC) &amp; AUC</w:t>
      </w:r>
    </w:p>
    <w:p>
      <w:r>
        <w:t>The ROC curves highlight the true positive rate versus false positive rate across all discrimination probability thresholds. All three classifiers display steep initial ascent and substantial separation from the diagonal random baseline, validating their capacity to prioritize high-risk customers effectively.</w:t>
      </w:r>
    </w:p>
    <w:p>
      <w:pPr>
        <w:keepNext/>
        <w:spacing w:before="200" w:after="8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roc_curves.png"/>
                    <pic:cNvPicPr/>
                  </pic:nvPicPr>
                  <pic:blipFill>
                    <a:blip r:embed="rId16"/>
                    <a:stretch>
                      <a:fillRect/>
                    </a:stretch>
                  </pic:blipFill>
                  <pic:spPr>
                    <a:xfrm>
                      <a:off x="0" y="0"/>
                      <a:ext cx="5303520" cy="3977640"/>
                    </a:xfrm>
                    <a:prstGeom prst="rect"/>
                  </pic:spPr>
                </pic:pic>
              </a:graphicData>
            </a:graphic>
          </wp:inline>
        </w:drawing>
      </w:r>
    </w:p>
    <w:p>
      <w:pPr>
        <w:spacing w:before="40" w:after="240"/>
        <w:jc w:val="center"/>
      </w:pPr>
      <w:r>
        <w:rPr>
          <w:i/>
          <w:color w:val="737373"/>
          <w:sz w:val="19"/>
        </w:rPr>
        <w:t>Figure 8: Comparative Receiver Operating Characteristic (ROC) Curves.</w:t>
      </w:r>
    </w:p>
    <w:p>
      <w:pPr>
        <w:pStyle w:val="Heading1"/>
        <w:keepNext/>
        <w:spacing w:before="320" w:after="160"/>
      </w:pPr>
      <w:r>
        <w:rPr>
          <w:rFonts w:ascii="Calibri" w:hAnsi="Calibri"/>
          <w:b/>
          <w:color w:val="1F4E79"/>
          <w:sz w:val="36"/>
        </w:rPr>
        <w:t>Chapter 7: Explainable AI &amp; Feature Importance</w:t>
      </w:r>
    </w:p>
    <w:p>
      <w:r>
        <w:t>A machine learning model must be interpretable to earn executive confidence. By extracting Gini importance and gradient loss reduction metrics from the ensemble models, we isolate the top 15 features governing customer churn decisions.</w:t>
      </w:r>
    </w:p>
    <w:p>
      <w:pPr>
        <w:keepNext/>
        <w:spacing w:before="200" w:after="80"/>
        <w:jc w:val="center"/>
      </w:pPr>
      <w:r>
        <w:drawing>
          <wp:inline xmlns:a="http://schemas.openxmlformats.org/drawingml/2006/main" xmlns:pic="http://schemas.openxmlformats.org/drawingml/2006/picture">
            <wp:extent cx="5303520" cy="3182112"/>
            <wp:docPr id="9" name="Picture 9"/>
            <wp:cNvGraphicFramePr>
              <a:graphicFrameLocks noChangeAspect="1"/>
            </wp:cNvGraphicFramePr>
            <a:graphic>
              <a:graphicData uri="http://schemas.openxmlformats.org/drawingml/2006/picture">
                <pic:pic>
                  <pic:nvPicPr>
                    <pic:cNvPr id="0" name="feature_importance.png"/>
                    <pic:cNvPicPr/>
                  </pic:nvPicPr>
                  <pic:blipFill>
                    <a:blip r:embed="rId17"/>
                    <a:stretch>
                      <a:fillRect/>
                    </a:stretch>
                  </pic:blipFill>
                  <pic:spPr>
                    <a:xfrm>
                      <a:off x="0" y="0"/>
                      <a:ext cx="5303520" cy="3182112"/>
                    </a:xfrm>
                    <a:prstGeom prst="rect"/>
                  </pic:spPr>
                </pic:pic>
              </a:graphicData>
            </a:graphic>
          </wp:inline>
        </w:drawing>
      </w:r>
    </w:p>
    <w:p>
      <w:pPr>
        <w:spacing w:before="40" w:after="240"/>
        <w:jc w:val="center"/>
      </w:pPr>
      <w:r>
        <w:rPr>
          <w:i/>
          <w:color w:val="737373"/>
          <w:sz w:val="19"/>
        </w:rPr>
        <w:t>Figure 9: Top 15 Most Influential Predictive Features (Gradient Boosting Classifier).</w:t>
      </w:r>
    </w:p>
    <w:p>
      <w:r>
        <w:t>The analysis establishes that customer tenure, total lifetime expenditure (TotalCharges), monthly billing magnitude (MonthlyCharges), contract structure (Contract_Two year), and internet service infrastructure (InternetService_Fiber optic) dominate the decision boundaries. Demographic attributes like gender and partner presence hold negligible direct influence once account tenure and contract terms are controlled.</w:t>
      </w:r>
    </w:p>
    <w:p>
      <w:pPr>
        <w:pStyle w:val="Heading1"/>
        <w:keepNext/>
        <w:spacing w:before="320" w:after="160"/>
      </w:pPr>
      <w:r>
        <w:rPr>
          <w:rFonts w:ascii="Calibri" w:hAnsi="Calibri"/>
          <w:b/>
          <w:color w:val="1F4E79"/>
          <w:sz w:val="36"/>
        </w:rPr>
        <w:t>Chapter 8: Strategic Business Recommendations</w:t>
      </w:r>
    </w:p>
    <w:p>
      <w:r>
        <w:t>Bridging analytical findings into practical enterprise execution, we formulate five evidence-backed strategic initiatives:</w:t>
      </w:r>
    </w:p>
    <w:p>
      <w:pPr>
        <w:ind w:left="432"/>
      </w:pPr>
      <w:r>
        <w:t>1. Long-Term Contract Migration Incentives: Because month-to-month contracts experience a 42.7% churn rate compared to &lt;3% for 2-year contracts, the provider should implement a structured incentive campaign. Offering a 10% monthly discount or complimentary device insurance in exchange for upgrading to a 12- or 24-month contract locks in recurring revenue.</w:t>
        <w:br/>
        <w:br/>
        <w:t>2. Critical 90-Day Onboarding Protocol: The highest churn hazard occurs during months 0–12. Telecommunications management must institute an automated onboarding workflow: a welcome check-in at Day 14, a usage satisfaction audit at Day 45, and a dedicated customer success outreach at Day 90.</w:t>
        <w:br/>
        <w:br/>
        <w:t>3. Fiber Optic Service Audit &amp; Value Realignment: Fiber optic customers churn at 41.9% despite paying premium rates. Management must audit network latency, technician dispatch resolution times, and bundle streaming or security add-ons to eliminate perceived price-to-quality mismatches.</w:t>
        <w:br/>
        <w:br/>
        <w:t>4. Bundled Security &amp; Tech Support: Subscribing to Online Security and Tech Support decreases attrition by more than 25 percentage points. These high-margin, low-overhead digital services should be pre-bundled into base internet tiers.</w:t>
        <w:br/>
        <w:br/>
        <w:t>5. Auto-Pay Digital Migration: Electronic check users churn at 45.3% versus 15.2% for automated bank/credit card payments. Offering a recurring $5 monthly auto-pay billing credit will transition subscribers away from vulnerable manual billing channels.</w:t>
      </w:r>
    </w:p>
    <w:p>
      <w:pPr>
        <w:spacing w:before="160" w:after="200"/>
        <w:ind w:left="576" w:right="576"/>
      </w:pPr>
      <w:r>
        <w:rPr>
          <w:b/>
          <w:color w:val="1F4E79"/>
        </w:rPr>
        <w:t xml:space="preserve">FINANCIAL ROI IMPACT: </w:t>
      </w:r>
      <w:r>
        <w:rPr>
          <w:i/>
        </w:rPr>
        <w:t>Financial Impact Simulation: In our 1,409-customer test partition, targeting the top-confidence churn cohort (predicted probability &gt;= 70%) protects 138 high-spending subscribers generating an average of $86.50/month. Successfully retaining just 40% of this flagged cohort rescues over $57,000 annually from a single small test cohort, scaling to millions of dollars enterprise-wide.</w:t>
      </w:r>
    </w:p>
    <w:p>
      <w:pPr>
        <w:pStyle w:val="Heading1"/>
        <w:keepNext/>
        <w:spacing w:before="320" w:after="160"/>
      </w:pPr>
      <w:r>
        <w:rPr>
          <w:rFonts w:ascii="Calibri" w:hAnsi="Calibri"/>
          <w:b/>
          <w:color w:val="1F4E79"/>
          <w:sz w:val="36"/>
        </w:rPr>
        <w:t>Chapter 9: Conclusion &amp; Future Scope</w:t>
      </w:r>
    </w:p>
    <w:p>
      <w:r>
        <w:t>This project successfully designed, implemented, and validated a comprehensive Data Analytics and Artificial Intelligence pipeline for customer churn prediction in the telecommunications sector. Through comprehensive EDA, rigorous data cleaning, and machine learning modeling, the project achieved a stellar 0.844 ROC-AUC and 80.6% accuracy, providing telecom leaders with an accurate, interpretable predictive engine.</w:t>
      </w:r>
    </w:p>
    <w:p>
      <w:pPr>
        <w:pStyle w:val="Heading2"/>
        <w:keepNext/>
        <w:spacing w:before="240" w:after="120"/>
      </w:pPr>
      <w:r>
        <w:rPr>
          <w:rFonts w:ascii="Calibri" w:hAnsi="Calibri"/>
          <w:b/>
          <w:color w:val="4472C4"/>
          <w:sz w:val="28"/>
        </w:rPr>
        <w:t>9.1 Future Roadmap &amp; Enhancements</w:t>
      </w:r>
    </w:p>
    <w:p>
      <w:r>
        <w:t>Promising extensions for operational deployment include:</w:t>
      </w:r>
    </w:p>
    <w:p>
      <w:pPr>
        <w:ind w:left="432"/>
      </w:pPr>
      <w:r>
        <w:t>• Real-Time Scoring REST API: Deploying the trained Gradient Boosting model as a containerized FastAPI microservice for real-time customer service agent dashboards.</w:t>
        <w:br/>
        <w:t>• Generative AI &amp; IBM Granite Integration: Utilizing IBM Granite LLMs to generate personalized, empathetic retention discount emails dynamically tailored to each customer's specific usage patterns and churn drivers.</w:t>
        <w:br/>
        <w:t>• Customer Lifetime Value (CLV) Weighting: Integrating survival analysis and expected customer lifetime value to optimize retention budget allocation based on long-term profitability rather than churn likelihood alone.</w:t>
      </w:r>
    </w:p>
    <w:p>
      <w:pPr>
        <w:pStyle w:val="Heading1"/>
        <w:keepNext/>
        <w:spacing w:before="320" w:after="160"/>
      </w:pPr>
      <w:r>
        <w:rPr>
          <w:rFonts w:ascii="Calibri" w:hAnsi="Calibri"/>
          <w:b/>
          <w:color w:val="1F4E79"/>
          <w:sz w:val="36"/>
        </w:rPr>
        <w:t>Chapter 10: References</w:t>
      </w:r>
    </w:p>
    <w:p>
      <w:pPr>
        <w:spacing w:after="80"/>
        <w:ind w:left="432"/>
      </w:pPr>
      <w:r>
        <w:rPr>
          <w:sz w:val="19"/>
        </w:rPr>
        <w:t>1. IBM Corporation. 'Telco Customer Churn IBM Sample Dataset.' IBM Community &amp; Watson Studio Open Datasets, 2020.</w:t>
      </w:r>
    </w:p>
    <w:p>
      <w:pPr>
        <w:spacing w:after="80"/>
        <w:ind w:left="432"/>
      </w:pPr>
      <w:r>
        <w:rPr>
          <w:sz w:val="19"/>
        </w:rPr>
        <w:t>2. BharatCares &amp; AICTE. 'IBM SkillsBuild Data Analytics with AI Academic Internship Guidelines and Curriculum Framework,' 2026.</w:t>
      </w:r>
    </w:p>
    <w:p>
      <w:pPr>
        <w:spacing w:after="80"/>
        <w:ind w:left="432"/>
      </w:pPr>
      <w:r>
        <w:rPr>
          <w:sz w:val="19"/>
        </w:rPr>
        <w:t>3. Hastie, T., Tibshirani, R., &amp; Friedman, J. 'The Elements of Statistical Learning: Data Mining, Inference, and Prediction.' Springer Science &amp; Business Media, 2nd Edition, 2009.</w:t>
      </w:r>
    </w:p>
    <w:p>
      <w:pPr>
        <w:spacing w:after="80"/>
        <w:ind w:left="432"/>
      </w:pPr>
      <w:r>
        <w:rPr>
          <w:sz w:val="19"/>
        </w:rPr>
        <w:t>4. Pedregosa, F., et al. 'Scikit-learn: Machine Learning in Python.' Journal of Machine Learning Research (JMLR), 12, pp. 2825-2830, 2011.</w:t>
      </w:r>
    </w:p>
    <w:p>
      <w:pPr>
        <w:spacing w:after="80"/>
        <w:ind w:left="432"/>
      </w:pPr>
      <w:r>
        <w:rPr>
          <w:sz w:val="19"/>
        </w:rPr>
        <w:t>5. McKinney, W. 'Data Analysis with Open Source Tools: Python for Data Analysis.' O'Reilly Media, 3rd Edition, 2022.</w:t>
      </w:r>
    </w:p>
    <w:p>
      <w:pPr>
        <w:spacing w:after="80"/>
        <w:ind w:left="432"/>
      </w:pPr>
      <w:r>
        <w:rPr>
          <w:sz w:val="19"/>
        </w:rPr>
        <w:t>6. Breiman, L. 'Random Forests.' Machine Learning, 45(1), pp. 5-32, 2001.</w:t>
      </w:r>
    </w:p>
    <w:p>
      <w:pPr>
        <w:spacing w:after="80"/>
        <w:ind w:left="432"/>
      </w:pPr>
      <w:r>
        <w:rPr>
          <w:sz w:val="19"/>
        </w:rPr>
        <w:t>7. Friedman, J. H. 'Greedy Function Approximation: A Gradient Boosting Machine.' Annals of Statistics, pp. 1189-1232, 2001.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