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CFEBB">
      <w:pPr>
        <w:spacing w:before="0" w:after="80"/>
        <w:jc w:val="center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40"/>
          <w:szCs w:val="40"/>
        </w:rPr>
        <w:t>出海服务平台 （0918 ）</w:t>
      </w:r>
    </w:p>
    <w:p w14:paraId="69C3C685">
      <w:pPr>
        <w:spacing w:before="60" w:after="60" w:line="300" w:lineRule="auto"/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</w:pPr>
    </w:p>
    <w:p w14:paraId="2F0CB2A7">
      <w:pPr>
        <w:spacing w:before="60" w:after="6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新公司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>是中国出海企业与海外资源（银行、金融机构、企业客户、政府机构）之间的“中间赋能”平台——T 负责海外资源协调与服务交付，A 负责国内客户触达。</w:t>
      </w:r>
    </w:p>
    <w:p w14:paraId="2662543A">
      <w:pPr>
        <w:spacing w:before="60" w:after="6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三条底层共识</w:t>
      </w: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：</w:t>
      </w:r>
    </w:p>
    <w:p w14:paraId="344F322F">
      <w:pPr>
        <w:pStyle w:val="16"/>
        <w:numPr>
          <w:ilvl w:val="0"/>
          <w:numId w:val="1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港深两地各设一家合资公司，初期各持 50%；</w:t>
      </w:r>
    </w:p>
    <w:p w14:paraId="6056B68E">
      <w:pPr>
        <w:pStyle w:val="16"/>
        <w:numPr>
          <w:ilvl w:val="0"/>
          <w:numId w:val="1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聚焦</w:t>
      </w: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科技型企业出海</w:t>
      </w: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的专业服务；</w:t>
      </w:r>
    </w:p>
    <w:p w14:paraId="58CED922">
      <w:pPr>
        <w:pStyle w:val="16"/>
        <w:numPr>
          <w:ilvl w:val="0"/>
          <w:numId w:val="1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服务由轻到重，收费由免费到股权。</w:t>
      </w:r>
    </w:p>
    <w:p w14:paraId="0EE7E23F">
      <w:pPr>
        <w:spacing w:before="60" w:after="60" w:line="300" w:lineRule="auto"/>
        <w:rPr>
          <w:color w:val="0000FF"/>
        </w:rPr>
      </w:pPr>
      <w:r>
        <w:rPr>
          <w:rFonts w:ascii="微软雅黑" w:hAnsi="微软雅黑" w:eastAsia="微软雅黑" w:cs="微软雅黑"/>
          <w:b/>
          <w:bCs/>
          <w:color w:val="0000FF"/>
          <w:sz w:val="21"/>
          <w:szCs w:val="21"/>
        </w:rPr>
        <w:t>Day1 不铺开团队原则</w:t>
      </w:r>
      <w:r>
        <w:rPr>
          <w:rFonts w:ascii="微软雅黑" w:hAnsi="微软雅黑" w:eastAsia="微软雅黑" w:cs="微软雅黑"/>
          <w:b w:val="0"/>
          <w:bCs w:val="0"/>
          <w:color w:val="0000FF"/>
          <w:sz w:val="21"/>
          <w:szCs w:val="21"/>
        </w:rPr>
        <w:t>：</w:t>
      </w:r>
    </w:p>
    <w:p w14:paraId="73CAA249">
      <w:pPr>
        <w:pStyle w:val="16"/>
        <w:numPr>
          <w:ilvl w:val="0"/>
          <w:numId w:val="1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属地第一笔订单签约前不招属地人员——属地是“需要 partner 承接的地方”，不是“需要拔人的地方”；</w:t>
      </w:r>
    </w:p>
    <w:p w14:paraId="576C4357">
      <w:pPr>
        <w:pStyle w:val="16"/>
        <w:numPr>
          <w:ilvl w:val="0"/>
          <w:numId w:val="1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交付全部走生态：⑦ 授权集成服务商池、⑧ FDE 配套生态、③ 律所/会计所分包；资源整合优先于人员扩充；</w:t>
      </w:r>
    </w:p>
    <w:p w14:paraId="13DC78C7">
      <w:pPr>
        <w:pStyle w:val="16"/>
        <w:numPr>
          <w:ilvl w:val="0"/>
          <w:numId w:val="1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三不边界：不卖设备、不做系统集成、不出资金不压货；所有收费与合同边界写清、主体清晰、金额合规、不碰现金、不碰记名（FCPA / UKBA 红线）。</w:t>
      </w:r>
    </w:p>
    <w:p w14:paraId="01CB0678">
      <w:pPr>
        <w:pBdr>
          <w:bottom w:val="single" w:color="D0D7E5" w:sz="6" w:space="1"/>
        </w:pBdr>
        <w:spacing w:before="120" w:after="120"/>
        <w:rPr>
          <w:color w:val="auto"/>
        </w:rPr>
      </w:pPr>
    </w:p>
    <w:p w14:paraId="34B7C588">
      <w:pPr>
        <w:pStyle w:val="2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二、聚焦行业赛道</w:t>
      </w:r>
    </w:p>
    <w:p w14:paraId="0424AA18">
      <w:pPr>
        <w:spacing w:before="60" w:after="60" w:line="300" w:lineRule="auto"/>
        <w:rPr>
          <w:rFonts w:hint="default" w:eastAsia="微软雅黑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赛道筛选逻辑：市场规模和增速。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1600"/>
        <w:gridCol w:w="5326"/>
      </w:tblGrid>
      <w:tr w14:paraId="2B37F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E014C0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赛道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F4742B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Day1 优先级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076DBB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一句话理由</w:t>
            </w:r>
          </w:p>
        </w:tc>
      </w:tr>
      <w:tr w14:paraId="4E44D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234002">
            <w:pPr>
              <w:spacing w:before="0" w:after="0" w:line="264" w:lineRule="auto"/>
              <w:rPr>
                <w:rFonts w:hint="eastAsia" w:eastAsia="微软雅黑"/>
                <w:color w:val="auto"/>
                <w:lang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Digital AI 应用</w:t>
            </w:r>
            <w:r>
              <w:rPr>
                <w:rFonts w:hint="eastAsia" w:cs="微软雅黑"/>
                <w:b/>
                <w:bCs/>
                <w:color w:val="auto"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微软雅黑"/>
                <w:b/>
                <w:bCs/>
                <w:color w:val="auto"/>
                <w:sz w:val="18"/>
                <w:szCs w:val="18"/>
                <w:lang w:val="en-US" w:eastAsia="zh-CN"/>
              </w:rPr>
              <w:t>含SaaS</w:t>
            </w:r>
            <w:r>
              <w:rPr>
                <w:rFonts w:hint="eastAsia" w:cs="微软雅黑"/>
                <w:b/>
                <w:bCs/>
                <w:color w:val="auto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5B488B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P0 · 标杆主攻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1FF874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交付门槛最低（短周期现场），是 T 判断的直接落点；一个银行级项目即可撑起首年收入</w:t>
            </w:r>
          </w:p>
        </w:tc>
      </w:tr>
      <w:tr w14:paraId="3C240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02FD37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工业自动化与智能装备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7641C4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P0 · 现金流主攻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38E353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服务产品最成熟，集成商池 Day1 可搭；东南亚制造业升级刚需、中国优势最硬</w:t>
            </w:r>
          </w:p>
        </w:tc>
      </w:tr>
      <w:tr w14:paraId="18FFA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8089F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具身智能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E8D08B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P1 · 只建池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335DD9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FA + 股权置换的最佳标的池，早期不出单</w:t>
            </w:r>
          </w:p>
        </w:tc>
      </w:tr>
      <w:tr w14:paraId="48B56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7C4E2A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创新药 License-out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C34BF6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P1 · 只建池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F18B06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单笔价值极高、香港 18A 天然跳板，但 BD 周期长，不计入现金流</w:t>
            </w:r>
          </w:p>
        </w:tc>
      </w:tr>
      <w:tr w14:paraId="5A64F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3A9C3B">
            <w:pPr>
              <w:spacing w:before="0" w:after="0" w:line="264" w:lineRule="auto"/>
              <w:rPr>
                <w:rFonts w:hint="eastAsia" w:eastAsia="微软雅黑"/>
                <w:color w:val="auto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 xml:space="preserve">新能源 / </w:t>
            </w:r>
            <w:r>
              <w:rPr>
                <w:rFonts w:hint="eastAsia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基础设施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86031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P1 · 只建池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93FCB3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重资产依赖项目融资与银行资源，待生态沉淀后启动</w:t>
            </w:r>
          </w:p>
        </w:tc>
      </w:tr>
    </w:tbl>
    <w:p w14:paraId="41096803">
      <w:pPr>
        <w:spacing w:before="0" w:after="60"/>
        <w:rPr>
          <w:color w:val="auto"/>
        </w:rPr>
      </w:pPr>
    </w:p>
    <w:p w14:paraId="7DE80A28">
      <w:pPr>
        <w:spacing w:before="60" w:after="6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P0 判据三条</w:t>
      </w: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：</w:t>
      </w:r>
    </w:p>
    <w:p w14:paraId="1D839FD3">
      <w:pPr>
        <w:pStyle w:val="16"/>
        <w:numPr>
          <w:ilvl w:val="0"/>
          <w:numId w:val="2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Day1 可交付——不依赖自建资产；</w:t>
      </w:r>
    </w:p>
    <w:p w14:paraId="59877B11">
      <w:pPr>
        <w:pStyle w:val="16"/>
        <w:numPr>
          <w:ilvl w:val="0"/>
          <w:numId w:val="2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Day1 可变现——客户有预算、已进入决策；</w:t>
      </w:r>
    </w:p>
    <w:p w14:paraId="3E765DCD">
      <w:pPr>
        <w:pStyle w:val="16"/>
        <w:numPr>
          <w:ilvl w:val="0"/>
          <w:numId w:val="2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T 的港/东南亚关系是直接落点。不满足者进 P1——只建池、不做主攻投入。</w:t>
      </w:r>
    </w:p>
    <w:p w14:paraId="1C23DD60">
      <w:pPr>
        <w:spacing w:before="60" w:after="60" w:line="300" w:lineRule="auto"/>
        <w:rPr>
          <w:color w:val="0000FF"/>
        </w:rPr>
      </w:pPr>
      <w:r>
        <w:rPr>
          <w:rFonts w:ascii="微软雅黑" w:hAnsi="微软雅黑" w:eastAsia="微软雅黑" w:cs="微软雅黑"/>
          <w:b/>
          <w:bCs/>
          <w:color w:val="0000FF"/>
          <w:sz w:val="21"/>
          <w:szCs w:val="21"/>
        </w:rPr>
        <w:t>P0 半年验收</w:t>
      </w:r>
      <w:r>
        <w:rPr>
          <w:rFonts w:ascii="微软雅黑" w:hAnsi="微软雅黑" w:eastAsia="微软雅黑" w:cs="微软雅黑"/>
          <w:b w:val="0"/>
          <w:bCs w:val="0"/>
          <w:color w:val="0000FF"/>
          <w:sz w:val="21"/>
          <w:szCs w:val="21"/>
        </w:rPr>
        <w:t>：工业自动化与智能装备——有 ≥3 个可公开案例、第一笔放款到账；Digital AI——≥1 个标杆客户 POC 转</w:t>
      </w:r>
      <w:r>
        <w:rPr>
          <w:rFonts w:hint="eastAsia" w:cs="微软雅黑"/>
          <w:b w:val="0"/>
          <w:bCs w:val="0"/>
          <w:color w:val="0000FF"/>
          <w:sz w:val="21"/>
          <w:szCs w:val="21"/>
          <w:lang w:val="en-US" w:eastAsia="zh-CN"/>
        </w:rPr>
        <w:t>落地部署</w:t>
      </w:r>
      <w:r>
        <w:rPr>
          <w:rFonts w:ascii="微软雅黑" w:hAnsi="微软雅黑" w:eastAsia="微软雅黑" w:cs="微软雅黑"/>
          <w:b w:val="0"/>
          <w:bCs w:val="0"/>
          <w:color w:val="0000FF"/>
          <w:sz w:val="21"/>
          <w:szCs w:val="21"/>
        </w:rPr>
        <w:t>。</w:t>
      </w:r>
    </w:p>
    <w:p w14:paraId="713C2268">
      <w:pPr>
        <w:pStyle w:val="2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三、P0 赛道中不同客户的服务产品</w:t>
      </w:r>
    </w:p>
    <w:p w14:paraId="22B740D9">
      <w:pPr>
        <w:pStyle w:val="3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3.1　Digital AI 应用（标杆主攻）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2300"/>
        <w:gridCol w:w="4626"/>
      </w:tblGrid>
      <w:tr w14:paraId="38BDF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A93EA5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客户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EF0BB4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核心需求</w:t>
            </w:r>
          </w:p>
        </w:tc>
        <w:tc>
          <w:tcPr>
            <w:tcW w:w="4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FA0A47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服务产品</w:t>
            </w:r>
          </w:p>
        </w:tc>
      </w:tr>
      <w:tr w14:paraId="6A8CB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07443F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AI 应用 / SaaS 公司（供给侧）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814AE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本地化部署、数据跨境合规、算力与云、标杆客户</w:t>
            </w:r>
          </w:p>
        </w:tc>
        <w:tc>
          <w:tcPr>
            <w:tcW w:w="4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D806AD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数据跨境合规方案；标杆客户 POC 撮合；云与算力对接；出海落地标准包；⑧ FDE 配套（境内 FDE 池由 A 触达，海外现场配合伙伴由 T 搭建）</w:t>
            </w:r>
          </w:p>
        </w:tc>
      </w:tr>
      <w:tr w14:paraId="6CB20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35CA76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本地大企业 / 政府 / 银行（需求侧）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30DADC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数字化转型、AI 能力缺口</w:t>
            </w:r>
          </w:p>
        </w:tc>
        <w:tc>
          <w:tcPr>
            <w:tcW w:w="4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A473A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灯塔客户共创计划（泰国银行模式复用）；中国供应商对接（① 跨境撮合）</w:t>
            </w:r>
          </w:p>
        </w:tc>
      </w:tr>
    </w:tbl>
    <w:p w14:paraId="307BC6E2">
      <w:pPr>
        <w:spacing w:before="0" w:after="60"/>
        <w:rPr>
          <w:color w:val="auto"/>
        </w:rPr>
      </w:pPr>
    </w:p>
    <w:p w14:paraId="3FD0701D">
      <w:pPr>
        <w:spacing w:before="60" w:after="60" w:line="300" w:lineRule="auto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供给侧与需求侧互为获客入口。</w:t>
      </w:r>
    </w:p>
    <w:p w14:paraId="345343CD">
      <w:pPr>
        <w:pStyle w:val="3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3.2　工业自动化与智能装备（现金流主攻）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2300"/>
        <w:gridCol w:w="4626"/>
      </w:tblGrid>
      <w:tr w14:paraId="160D0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5F5732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客户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80703A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核心需求</w:t>
            </w:r>
          </w:p>
        </w:tc>
        <w:tc>
          <w:tcPr>
            <w:tcW w:w="4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8ACB9B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服务产品</w:t>
            </w:r>
          </w:p>
        </w:tc>
      </w:tr>
      <w:tr w14:paraId="557E0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12DA5A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设备 / 整机厂商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61C00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认证合规、渠道、售后</w:t>
            </w:r>
          </w:p>
        </w:tc>
        <w:tc>
          <w:tcPr>
            <w:tcW w:w="4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3CA7FF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CE / UL 等安规认证（生态分包）；⑦ 授权集成服务商池接入；④ 售后网络搭建（只卖规则不卖运营）；出海落地标准包</w:t>
            </w:r>
          </w:p>
        </w:tc>
      </w:tr>
      <w:tr w14:paraId="65B35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427A03">
            <w:pPr>
              <w:spacing w:before="0" w:after="0" w:line="264" w:lineRule="auto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境外企业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B9161F">
            <w:pPr>
              <w:spacing w:before="0" w:after="0" w:line="264" w:lineRule="auto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部署自动化设备需求</w:t>
            </w:r>
          </w:p>
        </w:tc>
        <w:tc>
          <w:tcPr>
            <w:tcW w:w="4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1B2C74">
            <w:pPr>
              <w:spacing w:before="0" w:after="0" w:line="264" w:lineRule="auto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产线规划；集成落地部署</w:t>
            </w:r>
          </w:p>
        </w:tc>
      </w:tr>
      <w:tr w14:paraId="53B69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06208C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境内系统集成商（SI）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047D2D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海外落地伙伴</w:t>
            </w:r>
          </w:p>
        </w:tc>
        <w:tc>
          <w:tcPr>
            <w:tcW w:w="4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C18390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海外 SI 短名单撮合；当地 partner 匹配；合资架构设计</w:t>
            </w:r>
          </w:p>
        </w:tc>
      </w:tr>
      <w:tr w14:paraId="03952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707633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制造业主 / 链主上下游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4ED69C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跟随出海建厂</w:t>
            </w:r>
          </w:p>
        </w:tc>
        <w:tc>
          <w:tcPr>
            <w:tcW w:w="4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6A63D5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选址与园区对接；产线落地撮合；⑤ 订单融资撮合</w:t>
            </w:r>
          </w:p>
        </w:tc>
      </w:tr>
    </w:tbl>
    <w:p w14:paraId="69848F9E">
      <w:pPr>
        <w:spacing w:before="0" w:after="60"/>
        <w:rPr>
          <w:color w:val="auto"/>
        </w:rPr>
      </w:pPr>
    </w:p>
    <w:p w14:paraId="6BEFA9A1">
      <w:pPr>
        <w:pStyle w:val="3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3.3　P1 赛道（只建池，不出单）</w:t>
      </w:r>
    </w:p>
    <w:p w14:paraId="36EED201">
      <w:pPr>
        <w:pStyle w:val="16"/>
        <w:numPr>
          <w:ilvl w:val="0"/>
          <w:numId w:val="1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具身智能</w:t>
      </w: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：联合实验室 / 试点场景撮合、技术授权架构、早期轮 FA（最易转股权）；</w:t>
      </w:r>
    </w:p>
    <w:p w14:paraId="1D55DAD9">
      <w:pPr>
        <w:pStyle w:val="16"/>
        <w:numPr>
          <w:ilvl w:val="0"/>
          <w:numId w:val="1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创新药 License-out</w:t>
      </w: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：BD 撮合与谈判顾问、跨境 IP 架构与税务、NewCo / 里程碑付款设计、港股 18A 通道；</w:t>
      </w:r>
    </w:p>
    <w:p w14:paraId="19B69322">
      <w:pPr>
        <w:pStyle w:val="16"/>
        <w:numPr>
          <w:ilvl w:val="0"/>
          <w:numId w:val="1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 xml:space="preserve">新能源 / </w:t>
      </w:r>
      <w:r>
        <w:rPr>
          <w:rFonts w:hint="eastAsia" w:cs="微软雅黑"/>
          <w:b/>
          <w:bCs/>
          <w:color w:val="auto"/>
          <w:sz w:val="21"/>
          <w:szCs w:val="21"/>
          <w:lang w:val="en-US" w:eastAsia="zh-CN"/>
        </w:rPr>
        <w:t>基础设施</w:t>
      </w: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：项目开发与 EPC 伙伴池、项目融资通道预热。</w:t>
      </w:r>
    </w:p>
    <w:p w14:paraId="3412655B">
      <w:pPr>
        <w:pBdr>
          <w:bottom w:val="single" w:color="D0D7E5" w:sz="6" w:space="1"/>
        </w:pBdr>
        <w:spacing w:before="120" w:after="120"/>
        <w:rPr>
          <w:color w:val="auto"/>
        </w:rPr>
      </w:pPr>
    </w:p>
    <w:p w14:paraId="52C35915">
      <w:pPr>
        <w:pStyle w:val="2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四、业务交付与收费模式</w:t>
      </w:r>
    </w:p>
    <w:p w14:paraId="6A640D50">
      <w:pPr>
        <w:pStyle w:val="3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4.1　交付规则</w:t>
      </w:r>
    </w:p>
    <w:p w14:paraId="011A5D74">
      <w:pPr>
        <w:pStyle w:val="16"/>
        <w:numPr>
          <w:ilvl w:val="0"/>
          <w:numId w:val="1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主体与币种</w:t>
      </w: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：境外业务以香港主体收 USD/HKD（便于付境外生态），境内客户以境内主体签人民币合同；两套主体差异化报价，境外可高 10–15%。</w:t>
      </w:r>
    </w:p>
    <w:p w14:paraId="0979AF32">
      <w:pPr>
        <w:pStyle w:val="16"/>
        <w:numPr>
          <w:ilvl w:val="0"/>
          <w:numId w:val="1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报价顺序</w:t>
      </w: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：永远先报 L1 诊断（免费 / 1–2 万），拿到信息后再报 L3 完整包；不一上来报大包，否则转化率丢一半。</w:t>
      </w:r>
    </w:p>
    <w:p w14:paraId="156439B8">
      <w:pPr>
        <w:pStyle w:val="16"/>
        <w:numPr>
          <w:ilvl w:val="0"/>
          <w:numId w:val="1"/>
        </w:numPr>
        <w:spacing w:before="40" w:after="40" w:line="300" w:lineRule="auto"/>
        <w:rPr>
          <w:color w:val="0000FF"/>
        </w:rPr>
      </w:pPr>
      <w:r>
        <w:rPr>
          <w:rFonts w:ascii="微软雅黑" w:hAnsi="微软雅黑" w:eastAsia="微软雅黑" w:cs="微软雅黑"/>
          <w:b/>
          <w:bCs/>
          <w:color w:val="0000FF"/>
          <w:sz w:val="21"/>
          <w:szCs w:val="21"/>
        </w:rPr>
        <w:t>四层变现</w:t>
      </w:r>
      <w:r>
        <w:rPr>
          <w:rFonts w:ascii="微软雅黑" w:hAnsi="微软雅黑" w:eastAsia="微软雅黑" w:cs="微软雅黑"/>
          <w:b w:val="0"/>
          <w:bCs w:val="0"/>
          <w:color w:val="0000FF"/>
          <w:sz w:val="21"/>
          <w:szCs w:val="21"/>
        </w:rPr>
        <w:t xml:space="preserve">： Workshop（蓄客）→ 固定顾问费（现金流）→ </w:t>
      </w:r>
      <w:r>
        <w:rPr>
          <w:rFonts w:hint="eastAsia" w:cs="微软雅黑"/>
          <w:b w:val="0"/>
          <w:bCs w:val="0"/>
          <w:color w:val="0000FF"/>
          <w:sz w:val="21"/>
          <w:szCs w:val="21"/>
          <w:lang w:val="en-US" w:eastAsia="zh-CN"/>
        </w:rPr>
        <w:t>成功佣金</w:t>
      </w:r>
      <w:r>
        <w:rPr>
          <w:rFonts w:ascii="微软雅黑" w:hAnsi="微软雅黑" w:eastAsia="微软雅黑" w:cs="微软雅黑"/>
          <w:b w:val="0"/>
          <w:bCs w:val="0"/>
          <w:color w:val="0000FF"/>
          <w:sz w:val="21"/>
          <w:szCs w:val="21"/>
        </w:rPr>
        <w:t>FA→ 按融资额 3–4%（高毛利）→ 股权置换 5–10%（长期资产）。</w:t>
      </w:r>
    </w:p>
    <w:p w14:paraId="74B02664">
      <w:pPr>
        <w:pStyle w:val="3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4.2　收费体系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5226"/>
      </w:tblGrid>
      <w:tr w14:paraId="3D06B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658E02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业务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5C9503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性质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99F1FD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收费模式</w:t>
            </w:r>
          </w:p>
        </w:tc>
      </w:tr>
      <w:tr w14:paraId="739E7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5FB7F8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② 标准化咨询包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A14007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固定价标准包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BA71A5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L1 免费 / 1–2 万；L2 单模块 3–8 万；L3 完整包 15–30 万；转年度顾问 10–20 万/年</w:t>
            </w:r>
          </w:p>
        </w:tc>
      </w:tr>
      <w:tr w14:paraId="6A5F0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83E13E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③ 生态分包交付（律所/会计所/认证/银行）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8C7873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总包 + 加价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FE95BE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对客户总包 ×1.3–1.5；认证 PM ×1.15–1.25；融资顾问 0.5–1.5%</w:t>
            </w:r>
          </w:p>
        </w:tc>
      </w:tr>
      <w:tr w14:paraId="4A5E7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15CB3B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④ 售后网络搭建包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330A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标准化产品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0742B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搭建费 10–20 万/家 + 工单抽成 10–20%（合同期锁定使用）</w:t>
            </w:r>
          </w:p>
        </w:tc>
      </w:tr>
      <w:tr w14:paraId="22088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B5F31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⑤ 订单融资撮合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17AB9C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咨询 + 成功佣金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31BFA4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方案设计 5–15 万 + 融资额 0.5–1.5%；后续年顾问 5–10 万/年</w:t>
            </w:r>
          </w:p>
        </w:tc>
      </w:tr>
      <w:tr w14:paraId="1B1B9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880C1B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① 跨境撮合（订单 + 集成商）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3A7D46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介绍人 + 成功佣金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600FB7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定位费 5–10 万 + 里程碑 10–20 万 + 首年佣金 8–12%（按回款）</w:t>
            </w:r>
          </w:p>
        </w:tc>
      </w:tr>
    </w:tbl>
    <w:p w14:paraId="161C6A25">
      <w:pPr>
        <w:spacing w:before="0" w:after="60"/>
        <w:rPr>
          <w:color w:val="auto"/>
        </w:rPr>
      </w:pPr>
    </w:p>
    <w:p w14:paraId="1A5171BE">
      <w:pPr>
        <w:pStyle w:val="3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4.3　半年动作节奏（二十四周）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900"/>
        <w:gridCol w:w="3726"/>
      </w:tblGrid>
      <w:tr w14:paraId="26227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B7EDC3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阶段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AE9881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重点产出</w:t>
            </w:r>
          </w:p>
        </w:tc>
        <w:tc>
          <w:tcPr>
            <w:tcW w:w="3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48F452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结果验证</w:t>
            </w:r>
          </w:p>
        </w:tc>
      </w:tr>
      <w:tr w14:paraId="5BF9F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D72B67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W1–W2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388E9E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跑通 ②④⑤ 产品化包</w:t>
            </w:r>
          </w:p>
        </w:tc>
        <w:tc>
          <w:tcPr>
            <w:tcW w:w="3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876F35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价格论证、合同模板、工具准备</w:t>
            </w:r>
          </w:p>
        </w:tc>
      </w:tr>
      <w:tr w14:paraId="4D8D4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CAD680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W3–W8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576420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②③ 收入集中产出；推 ④ 名录与案例包</w:t>
            </w:r>
          </w:p>
        </w:tc>
        <w:tc>
          <w:tcPr>
            <w:tcW w:w="3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20D28D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W8 前交付 ≥1 个咨询包与 ≥1 个售后网络包；⑤ 跑通第一单</w:t>
            </w:r>
          </w:p>
        </w:tc>
      </w:tr>
      <w:tr w14:paraId="21581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70B40A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W9–W24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D6D156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⑤ 放量；④ 形成 1–2 个可引用个案</w:t>
            </w:r>
          </w:p>
        </w:tc>
        <w:tc>
          <w:tcPr>
            <w:tcW w:w="3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4DFB02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②③ ≥3 个可公开案例；⑤ 第一笔放款到账</w:t>
            </w:r>
          </w:p>
        </w:tc>
      </w:tr>
      <w:tr w14:paraId="3C980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CF9D9E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① 跨境撮合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3C9F0E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半年出 1 单即成功</w:t>
            </w:r>
          </w:p>
        </w:tc>
        <w:tc>
          <w:tcPr>
            <w:tcW w:w="3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E0D6DB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不作为现金流依赖</w:t>
            </w:r>
          </w:p>
        </w:tc>
      </w:tr>
    </w:tbl>
    <w:p w14:paraId="72D07D55">
      <w:pPr>
        <w:spacing w:before="0" w:after="60"/>
        <w:rPr>
          <w:color w:val="auto"/>
        </w:rPr>
      </w:pPr>
    </w:p>
    <w:p w14:paraId="134058DD">
      <w:pPr>
        <w:pBdr>
          <w:bottom w:val="single" w:color="D0D7E5" w:sz="6" w:space="1"/>
        </w:pBdr>
        <w:spacing w:before="120" w:after="120"/>
        <w:rPr>
          <w:color w:val="auto"/>
        </w:rPr>
      </w:pPr>
    </w:p>
    <w:p w14:paraId="05BC9E9E">
      <w:pPr>
        <w:pStyle w:val="2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五、团队分工</w:t>
      </w:r>
    </w:p>
    <w:p w14:paraId="044DCACC">
      <w:pPr>
        <w:pStyle w:val="3"/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5.1　编制与职责</w:t>
      </w:r>
    </w:p>
    <w:p w14:paraId="37192A3E">
      <w:pPr>
        <w:spacing w:before="60" w:after="60" w:line="300" w:lineRule="auto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分工一句话：T 解决“</w:t>
      </w:r>
      <w:r>
        <w:rPr>
          <w:rFonts w:hint="eastAsia" w:cs="微软雅黑"/>
          <w:b w:val="0"/>
          <w:bCs w:val="0"/>
          <w:color w:val="auto"/>
          <w:sz w:val="21"/>
          <w:szCs w:val="21"/>
          <w:lang w:val="en-US" w:eastAsia="zh-CN"/>
        </w:rPr>
        <w:t>订单、</w:t>
      </w: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资质与落地”，A 解决“客户与项目源”。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400"/>
        <w:gridCol w:w="5326"/>
        <w:gridCol w:w="800"/>
      </w:tblGrid>
      <w:tr w14:paraId="616D3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A4C803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角色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CBFA0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端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CC3C6C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职责</w:t>
            </w:r>
          </w:p>
        </w:tc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712CF4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人数</w:t>
            </w:r>
          </w:p>
        </w:tc>
      </w:tr>
      <w:tr w14:paraId="74FDA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64046C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T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486C59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港深双地核心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1B5B66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跨境策划、海外交付与伙伴网络（泰/马/澳每市场 2–3 家 partner）、FA 持牌合作方对接</w:t>
            </w:r>
          </w:p>
        </w:tc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9BD126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1</w:t>
            </w:r>
          </w:p>
        </w:tc>
      </w:tr>
      <w:tr w14:paraId="2CE12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8A8876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A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032D82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境内端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16C27A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获客、诊断、报价、签约前全过程、境内 FDE 池触达</w:t>
            </w:r>
          </w:p>
        </w:tc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4A81A9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1</w:t>
            </w:r>
          </w:p>
        </w:tc>
      </w:tr>
      <w:tr w14:paraId="5E5CE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DD9418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属地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3520BA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未启动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7643F4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第一笔本地订单签约后再启动 +1</w:t>
            </w:r>
          </w:p>
        </w:tc>
        <w:tc>
          <w:tcPr>
            <w:tcW w:w="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88482B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0 → 1</w:t>
            </w:r>
          </w:p>
        </w:tc>
      </w:tr>
    </w:tbl>
    <w:p w14:paraId="3A3818B9">
      <w:pPr>
        <w:spacing w:before="0" w:after="60"/>
        <w:rPr>
          <w:color w:val="auto"/>
        </w:rPr>
      </w:pPr>
    </w:p>
    <w:p w14:paraId="5B6EBA00">
      <w:pPr>
        <w:pStyle w:val="3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5.2　</w:t>
      </w:r>
      <w:r>
        <w:rPr>
          <w:rFonts w:hint="eastAsia" w:cs="微软雅黑"/>
          <w:b w:val="0"/>
          <w:bCs w:val="0"/>
          <w:color w:val="auto"/>
          <w:sz w:val="21"/>
          <w:szCs w:val="21"/>
          <w:lang w:val="en-US" w:eastAsia="zh-CN"/>
        </w:rPr>
        <w:t>招聘</w:t>
      </w: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临界点（不达不动编制）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23A9A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4D62CF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业务</w:t>
            </w:r>
          </w:p>
        </w:tc>
        <w:tc>
          <w:tcPr>
            <w:tcW w:w="7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0C2636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临界点</w:t>
            </w:r>
          </w:p>
        </w:tc>
      </w:tr>
      <w:tr w14:paraId="07955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F4D31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② 咨询包</w:t>
            </w:r>
          </w:p>
        </w:tc>
        <w:tc>
          <w:tcPr>
            <w:tcW w:w="7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306870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单月新订单 ≥5 单，且客户反馈进度管理跟不上</w:t>
            </w:r>
          </w:p>
        </w:tc>
      </w:tr>
      <w:tr w14:paraId="0830D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E75475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③ 生态分包</w:t>
            </w:r>
          </w:p>
        </w:tc>
        <w:tc>
          <w:tcPr>
            <w:tcW w:w="7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0311E2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同期运行项目 ≥8 个</w:t>
            </w:r>
          </w:p>
        </w:tc>
      </w:tr>
      <w:tr w14:paraId="2167E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0292F7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④ 售后网络</w:t>
            </w:r>
          </w:p>
        </w:tc>
        <w:tc>
          <w:tcPr>
            <w:tcW w:w="7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ED893D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客户 ≥3–5 家 / 月工单 ≥100 / 需实体备件仓</w:t>
            </w:r>
          </w:p>
        </w:tc>
      </w:tr>
      <w:tr w14:paraId="476FA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97DAB3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⑤ 订单融资</w:t>
            </w:r>
          </w:p>
        </w:tc>
        <w:tc>
          <w:tcPr>
            <w:tcW w:w="7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29663B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年单量 ≥10 / 累计融资额 ≥5 亿</w:t>
            </w:r>
          </w:p>
        </w:tc>
      </w:tr>
      <w:tr w14:paraId="7996C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47E0DC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① 跨境撮合</w:t>
            </w:r>
          </w:p>
        </w:tc>
        <w:tc>
          <w:tcPr>
            <w:tcW w:w="7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7D2CD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在谈项目 ≥8 个，且 2 个进入 POC</w:t>
            </w:r>
          </w:p>
        </w:tc>
      </w:tr>
      <w:tr w14:paraId="5AD7E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E9DFF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属地</w:t>
            </w:r>
          </w:p>
        </w:tc>
        <w:tc>
          <w:tcPr>
            <w:tcW w:w="7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5DE9B9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第一笔本地订单签约后 + 该市场参与中项目 ≥2</w:t>
            </w:r>
          </w:p>
        </w:tc>
      </w:tr>
    </w:tbl>
    <w:p w14:paraId="7A5D6D12">
      <w:pPr>
        <w:spacing w:before="0" w:after="60"/>
        <w:rPr>
          <w:color w:val="auto"/>
        </w:rPr>
      </w:pPr>
    </w:p>
    <w:p w14:paraId="7B069621">
      <w:pPr>
        <w:pBdr>
          <w:bottom w:val="single" w:color="D0D7E5" w:sz="6" w:space="1"/>
        </w:pBdr>
        <w:spacing w:before="120" w:after="120"/>
        <w:rPr>
          <w:color w:val="auto"/>
        </w:rPr>
      </w:pPr>
    </w:p>
    <w:p w14:paraId="7726F93D">
      <w:pPr>
        <w:pStyle w:val="2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六、获客渠道</w:t>
      </w:r>
    </w:p>
    <w:p w14:paraId="0BB17814">
      <w:pPr>
        <w:pStyle w:val="3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6.1　境内管道（A 主导）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900"/>
        <w:gridCol w:w="3626"/>
      </w:tblGrid>
      <w:tr w14:paraId="7B6FF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A57DB5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管道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740131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对象</w:t>
            </w:r>
          </w:p>
        </w:tc>
        <w:tc>
          <w:tcPr>
            <w:tcW w:w="3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8D37A9">
            <w:pPr>
              <w:spacing w:before="0" w:after="0" w:line="264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打法</w:t>
            </w:r>
          </w:p>
        </w:tc>
      </w:tr>
      <w:tr w14:paraId="53AA2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ABD199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政府 / 半官方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FAEA6C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地方商务厅、贸促会（CCPIT）、工信发改、地方“出海服务港”、园区（张江/苏州/深圳/合肥）</w:t>
            </w:r>
          </w:p>
        </w:tc>
        <w:tc>
          <w:tcPr>
            <w:tcW w:w="3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DF098F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承接官方服务体系落地环节，做“市场化专业节点”；联合调研与发布会</w:t>
            </w:r>
          </w:p>
        </w:tc>
      </w:tr>
      <w:tr w14:paraId="6A743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D6D153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金融机构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F3484F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银行公司金融 / 跨境金融部、券商投行部、PE/VC 被投企业</w:t>
            </w:r>
          </w:p>
        </w:tc>
        <w:tc>
          <w:tcPr>
            <w:tcW w:w="3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278956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客户经理转介绍（企业出海金融需求天然前置）</w:t>
            </w:r>
          </w:p>
        </w:tc>
      </w:tr>
      <w:tr w14:paraId="49278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8F7F39">
            <w:pPr>
              <w:spacing w:before="0" w:after="0" w:line="264" w:lineRule="auto"/>
              <w:rPr>
                <w:rFonts w:hint="default" w:eastAsia="微软雅黑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产业园区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27891">
            <w:pPr>
              <w:spacing w:before="0" w:after="0" w:line="264" w:lineRule="auto"/>
              <w:rPr>
                <w:rFonts w:hint="default" w:eastAsia="微软雅黑"/>
                <w:color w:val="auto"/>
                <w:lang w:val="en-US" w:eastAsia="zh-CN"/>
              </w:rPr>
            </w:pPr>
            <w:r>
              <w:rPr>
                <w:rFonts w:hint="eastAsia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杭州、深圳、成都等产业园区方</w:t>
            </w:r>
          </w:p>
        </w:tc>
        <w:tc>
          <w:tcPr>
            <w:tcW w:w="3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972F71">
            <w:pPr>
              <w:spacing w:before="0" w:after="0" w:line="264" w:lineRule="auto"/>
              <w:rPr>
                <w:rFonts w:hint="default" w:eastAsia="微软雅黑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小型邀约路演</w:t>
            </w:r>
          </w:p>
        </w:tc>
      </w:tr>
      <w:tr w14:paraId="38B23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BD2CDF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产业链主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1B6E64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比亚迪 / 宁德 / 华为等链主上下游</w:t>
            </w:r>
          </w:p>
        </w:tc>
        <w:tc>
          <w:tcPr>
            <w:tcW w:w="3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8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16389C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跟随“链主出海”批量获客</w:t>
            </w:r>
          </w:p>
        </w:tc>
      </w:tr>
      <w:tr w14:paraId="242F6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820832">
            <w:pPr>
              <w:spacing w:before="0" w:after="0" w:line="264" w:lineRule="auto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1by1产业生态链接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7CCA30">
            <w:pPr>
              <w:spacing w:before="0" w:after="0" w:line="264" w:lineRule="auto"/>
              <w:rPr>
                <w:rFonts w:hint="default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工业自动化和机器人产业链</w:t>
            </w:r>
          </w:p>
        </w:tc>
        <w:tc>
          <w:tcPr>
            <w:tcW w:w="3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323560">
            <w:pPr>
              <w:spacing w:before="0" w:after="0" w:line="264" w:lineRule="auto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深度沟通，定向push</w:t>
            </w:r>
          </w:p>
        </w:tc>
      </w:tr>
      <w:tr w14:paraId="57F94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2FAEBE">
            <w:pPr>
              <w:spacing w:before="0" w:after="0" w:line="264" w:lineRule="auto"/>
              <w:rPr>
                <w:rFonts w:hint="default" w:eastAsia="微软雅黑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开源社区</w:t>
            </w:r>
          </w:p>
        </w:tc>
        <w:tc>
          <w:tcPr>
            <w:tcW w:w="3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BBE1A">
            <w:pPr>
              <w:spacing w:before="0" w:after="0" w:line="264" w:lineRule="auto"/>
              <w:rPr>
                <w:rFonts w:hint="default" w:eastAsia="微软雅黑"/>
                <w:color w:val="auto"/>
                <w:lang w:val="en-US" w:eastAsia="zh-CN"/>
              </w:rPr>
            </w:pPr>
            <w:r>
              <w:rPr>
                <w:rFonts w:hint="eastAsia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Datawhale等学习社区、开源社区</w:t>
            </w:r>
          </w:p>
        </w:tc>
        <w:tc>
          <w:tcPr>
            <w:tcW w:w="3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7F314E">
            <w:pPr>
              <w:spacing w:before="0" w:after="0" w:line="264" w:lineRule="auto"/>
              <w:rPr>
                <w:rFonts w:hint="default" w:eastAsia="微软雅黑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进入社区，参加活动，保持链接</w:t>
            </w:r>
          </w:p>
        </w:tc>
      </w:tr>
    </w:tbl>
    <w:p w14:paraId="7255818B">
      <w:pPr>
        <w:spacing w:before="0" w:after="60"/>
        <w:rPr>
          <w:color w:val="auto"/>
        </w:rPr>
      </w:pPr>
    </w:p>
    <w:p w14:paraId="719104D3">
      <w:pPr>
        <w:pStyle w:val="3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6.2　境外资源（T 主导）</w:t>
      </w:r>
    </w:p>
    <w:p w14:paraId="5E47518C">
      <w:pPr>
        <w:pStyle w:val="2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七、有鹿机器人案例分析</w:t>
      </w:r>
    </w:p>
    <w:p w14:paraId="26F7DC37">
      <w:pPr>
        <w:pBdr>
          <w:left w:val="single" w:color="2E75B6" w:sz="12" w:space="8"/>
        </w:pBdr>
        <w:shd w:val="clear" w:fill="F2F6FC"/>
        <w:spacing w:before="100" w:after="140" w:line="280" w:lineRule="auto"/>
        <w:ind w:left="240" w:right="120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19"/>
          <w:szCs w:val="19"/>
        </w:rPr>
        <w:t>有鹿大陆模式：代理商买断 → 长租给园区物业（绿城服务、万物云等）。在香港和澳洲复制时卡点在“钱谁出、谁决策、谁兜资产”，这恰是新公司的机会。</w:t>
      </w:r>
    </w:p>
    <w:p w14:paraId="47E898FD">
      <w:pPr>
        <w:pStyle w:val="3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7.1　大陆模式的三个隐含前提</w:t>
      </w:r>
    </w:p>
    <w:p w14:paraId="5814D878">
      <w:pPr>
        <w:pStyle w:val="16"/>
        <w:numPr>
          <w:ilvl w:val="0"/>
          <w:numId w:val="1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物业方信用强</w:t>
      </w: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：大陆园区物业多是开发商系/国资系，集中度高、单体大，能签长约、付得起租金；</w:t>
      </w:r>
    </w:p>
    <w:p w14:paraId="6CBD6ABE">
      <w:pPr>
        <w:pStyle w:val="16"/>
        <w:numPr>
          <w:ilvl w:val="0"/>
          <w:numId w:val="1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属地代理商垫资</w:t>
      </w: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：代理商有资金实力买断设备再长租出去，靠属地关系铺渠道；</w:t>
      </w:r>
    </w:p>
    <w:p w14:paraId="0EFDF355">
      <w:pPr>
        <w:pStyle w:val="16"/>
        <w:numPr>
          <w:ilvl w:val="0"/>
          <w:numId w:val="1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采购关系型</w:t>
      </w: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：大 B 客户少而集中，靠商务关系成交，不靠公开招标。</w:t>
      </w:r>
    </w:p>
    <w:p w14:paraId="266EF88D">
      <w:pPr>
        <w:pStyle w:val="3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7.2　香港市场的差异点</w:t>
      </w:r>
    </w:p>
    <w:p w14:paraId="3A4FD549">
      <w:pPr>
        <w:spacing w:before="60" w:after="6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大陆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>决策集中、代理商垫资，</w:t>
      </w: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香港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>决策分散、双轨：商业物业由开发商系 PMC（置邦、港铁、太古等）决策；住宅屋苑由 业主立案法团（IOC）+ 招标业主委员会 决策，程序繁琐、对价格极敏感 → 没有“一单一大片”的大客户，逐个屋苑攻关成本高；采购流程更规范透明，反而利好“可量化绩效”的机器人。</w:t>
      </w:r>
    </w:p>
    <w:p w14:paraId="0FFAFF3B">
      <w:pPr>
        <w:spacing w:before="60" w:after="6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监管层：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>PMSA 强制发牌（《物业管理服务条例》第 626 章，2020 年 8 月起持牌经营），物业公司 + 管业人员分级牌照 → 机器人作为“可量化绩效”产品反而是加分项。</w:t>
      </w:r>
    </w:p>
    <w:p w14:paraId="7B046364">
      <w:pPr>
        <w:spacing w:before="60" w:after="6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产业链层：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 xml:space="preserve">清洁高度外判，PMC 把清洁再外判给清洁承办商，“价低者得”招标，承办商利润极薄（外判清洁工工资长期贴法定最低工资） → </w:t>
      </w: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真正的使用者（外判商）没钱买设备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 xml:space="preserve"> ——大陆模式里的“垫资方”缺位。</w:t>
      </w:r>
    </w:p>
    <w:p w14:paraId="5201FCF4">
      <w:pPr>
        <w:spacing w:before="60" w:after="6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人力层：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 xml:space="preserve">老龄化 + 严重人手短缺，靠输入劳工计划补缺 → 机器人替代需求 </w:t>
      </w: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真实且刚性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>，ROI 故事好讲；融资租赁发达但外判商主体小、信用薄，租不到 → 设备资产方和运营方分离，缺撮合与结构设计。</w:t>
      </w:r>
    </w:p>
    <w:p w14:paraId="43B4CC67">
      <w:pPr>
        <w:pStyle w:val="3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7.3　澳洲市场的差异点</w:t>
      </w:r>
    </w:p>
    <w:p w14:paraId="400BA11C">
      <w:pPr>
        <w:spacing w:before="60" w:after="6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市场规模：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>FM 市场约 AUD 600 亿+（2025），外包成熟度高 → 市场足够大，但门槛也最高；</w:t>
      </w:r>
    </w:p>
    <w:p w14:paraId="45613E44">
      <w:pPr>
        <w:spacing w:before="60" w:after="6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采购方式：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 xml:space="preserve">Tender/RFP 公开招标制，商业地产、政府、零售均走招标，投标需要本地主体、Public Liability 保险（常要求 $20M 级）、WHS（工作健康安全）合规文件、SLA 承诺 → </w:t>
      </w: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没有本地合规壳和服务能力，连标书都递不进去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>；</w:t>
      </w:r>
    </w:p>
    <w:p w14:paraId="0BEF5ABE">
      <w:pPr>
        <w:spacing w:before="60" w:after="6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产业分工：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 xml:space="preserve">FM 整合商（ISS、Ventia、Downer、Sodexo 等）+ 专业清洁承包商多层分包 → “代理商”角色由 FM 承包商天然承担——但他们要的是 </w:t>
      </w: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能进 tender 方案的服务包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>，不是买断设备；</w:t>
      </w:r>
    </w:p>
    <w:p w14:paraId="229076D2">
      <w:pPr>
        <w:spacing w:before="60" w:after="6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人力成本：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 xml:space="preserve">清洁工时薪 AUD 30+，叠加养老金（super）和 Fair Work 法定成本，且全行业技能劳动力短缺 → </w:t>
      </w: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机器人 ROI 全球最强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>，一台机器换人的账最好算；</w:t>
      </w:r>
    </w:p>
    <w:p w14:paraId="40F718BB">
      <w:pPr>
        <w:spacing w:before="60" w:after="6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设备采购文化：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>Equipment finance / chattel leasing 极成熟，按租赁/订阅采购是主流 → 租赁模式天然契合，但租赁公司要求资产认证与残值评估；</w:t>
      </w:r>
    </w:p>
    <w:p w14:paraId="2AA93689">
      <w:pPr>
        <w:spacing w:before="60" w:after="6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产品合规：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>RCM 电气认证、EMC、WHS 风险评估、Privacy Act（机器人摄像头涉及数据隐私） → 中国硬件进入的硬门槛，逐项可办但没人带路就慢。</w:t>
      </w:r>
    </w:p>
    <w:p w14:paraId="21E821A3">
      <w:pPr>
        <w:pStyle w:val="3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7.4　新公司的机会</w:t>
      </w:r>
    </w:p>
    <w:p w14:paraId="44920318">
      <w:pPr>
        <w:spacing w:before="60" w:after="6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香港机会 = 补位大陆模式中缺掉的“垫资方”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>：</w:t>
      </w:r>
    </w:p>
    <w:p w14:paraId="74D2376E">
      <w:pPr>
        <w:pStyle w:val="16"/>
        <w:numPr>
          <w:ilvl w:val="0"/>
          <w:numId w:val="1"/>
        </w:numPr>
        <w:spacing w:before="40" w:after="40" w:line="300" w:lineRule="auto"/>
        <w:rPr>
          <w:color w:val="0000FF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撮合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>（L1）</w:t>
      </w:r>
      <w:r>
        <w:rPr>
          <w:rFonts w:hint="eastAsia" w:cs="微软雅黑"/>
          <w:color w:val="auto"/>
          <w:sz w:val="21"/>
          <w:szCs w:val="21"/>
          <w:lang w:val="en-US" w:eastAsia="zh-CN"/>
        </w:rPr>
        <w:t>帮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>有鹿对接的不是“代理商”，</w:t>
      </w:r>
      <w:r>
        <w:rPr>
          <w:rFonts w:ascii="微软雅黑" w:hAnsi="微软雅黑" w:eastAsia="微软雅黑" w:cs="微软雅黑"/>
          <w:color w:val="0000FF"/>
          <w:sz w:val="21"/>
          <w:szCs w:val="21"/>
        </w:rPr>
        <w:t xml:space="preserve">而是 </w:t>
      </w:r>
      <w:r>
        <w:rPr>
          <w:rFonts w:ascii="微软雅黑" w:hAnsi="微软雅黑" w:eastAsia="微软雅黑" w:cs="微软雅黑"/>
          <w:b/>
          <w:bCs/>
          <w:color w:val="0000FF"/>
          <w:sz w:val="21"/>
          <w:szCs w:val="21"/>
        </w:rPr>
        <w:t>清洁承办商 + PMC</w:t>
      </w:r>
      <w:r>
        <w:rPr>
          <w:rFonts w:ascii="微软雅黑" w:hAnsi="微软雅黑" w:eastAsia="微软雅黑" w:cs="微软雅黑"/>
          <w:color w:val="0000FF"/>
          <w:sz w:val="21"/>
          <w:szCs w:val="21"/>
        </w:rPr>
        <w:t xml:space="preserve"> 两层——承办商缺设备、PMC 缺降本故事，新公司撮合“PMC 给长约承诺 → 承办商敢上机器人”的三角结构；</w:t>
      </w:r>
    </w:p>
    <w:p w14:paraId="47F08F05">
      <w:pPr>
        <w:pStyle w:val="16"/>
        <w:numPr>
          <w:ilvl w:val="0"/>
          <w:numId w:val="1"/>
        </w:numPr>
        <w:spacing w:before="40" w:after="40" w:line="300" w:lineRule="auto"/>
        <w:rPr>
          <w:color w:val="0000FF"/>
        </w:rPr>
      </w:pPr>
      <w:r>
        <w:rPr>
          <w:rFonts w:ascii="微软雅黑" w:hAnsi="微软雅黑" w:eastAsia="微软雅黑" w:cs="微软雅黑"/>
          <w:b/>
          <w:bCs/>
          <w:color w:val="0000FF"/>
          <w:sz w:val="21"/>
          <w:szCs w:val="21"/>
        </w:rPr>
        <w:t>订单融资撮合</w:t>
      </w:r>
      <w:r>
        <w:rPr>
          <w:rFonts w:ascii="微软雅黑" w:hAnsi="微软雅黑" w:eastAsia="微软雅黑" w:cs="微软雅黑"/>
          <w:color w:val="0000FF"/>
          <w:sz w:val="21"/>
          <w:szCs w:val="21"/>
        </w:rPr>
        <w:t xml:space="preserve">（L5）设计 </w:t>
      </w:r>
      <w:r>
        <w:rPr>
          <w:rFonts w:ascii="微软雅黑" w:hAnsi="微软雅黑" w:eastAsia="微软雅黑" w:cs="微软雅黑"/>
          <w:b/>
          <w:bCs/>
          <w:color w:val="0000FF"/>
          <w:sz w:val="21"/>
          <w:szCs w:val="21"/>
        </w:rPr>
        <w:t>RaaS（Robot-as-a-Service）按清扫面积/时长计费</w:t>
      </w:r>
      <w:r>
        <w:rPr>
          <w:rFonts w:ascii="微软雅黑" w:hAnsi="微软雅黑" w:eastAsia="微软雅黑" w:cs="微软雅黑"/>
          <w:color w:val="0000FF"/>
          <w:sz w:val="21"/>
          <w:szCs w:val="21"/>
        </w:rPr>
        <w:t xml:space="preserve"> 结构，接入香港融资租赁公司作为资产持有方，解决“承办商没钱买”的死结——这正是框架里“订单融资撮合”的典型场景；</w:t>
      </w:r>
    </w:p>
    <w:p w14:paraId="159AE0EB">
      <w:pPr>
        <w:pStyle w:val="16"/>
        <w:numPr>
          <w:ilvl w:val="0"/>
          <w:numId w:val="1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合规通道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 xml:space="preserve">：PMSA 持牌对接、招标文件、以及帮有鹿客户申请 </w:t>
      </w: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BUD 基金 / 科技券（TVS）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 xml:space="preserve"> 等港府补贴，直接降低买方决策成本。</w:t>
      </w:r>
    </w:p>
    <w:p w14:paraId="4654BF05">
      <w:pPr>
        <w:spacing w:before="60" w:after="6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澳洲机会 = 把“进标”变成服务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>：门槛最高，因此服务费最硬。</w:t>
      </w:r>
    </w:p>
    <w:p w14:paraId="2392237A">
      <w:pPr>
        <w:pStyle w:val="16"/>
        <w:numPr>
          <w:ilvl w:val="0"/>
          <w:numId w:val="1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合规与准入包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>：RCM 认证、WHS 风险评估、保险对接、隐私合规——纯专业服务收入，与设备买卖无关，符合“不碰设备、不压货”边界；</w:t>
      </w:r>
    </w:p>
    <w:p w14:paraId="0F9BF3A2">
      <w:pPr>
        <w:pStyle w:val="16"/>
        <w:numPr>
          <w:ilvl w:val="0"/>
          <w:numId w:val="1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渠道撮合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 xml:space="preserve">：对接 FM 整合商（ISS/Ventia 级别）做 pilot——他们不买设备，但愿意在 tender 方案里采用能降本的技术，新公司做的是 </w:t>
      </w: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技术供应商 ↔ FM 承包商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 xml:space="preserve"> 的撮合；</w:t>
      </w:r>
    </w:p>
    <w:p w14:paraId="1EF53A0B">
      <w:pPr>
        <w:pStyle w:val="16"/>
        <w:numPr>
          <w:ilvl w:val="0"/>
          <w:numId w:val="1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租赁结构设计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 xml:space="preserve">：澳洲 equipment finance 市场成熟，撮合“租赁公司持有资产 + 承包商按月付费”的结构，并帮租赁方做 </w:t>
      </w: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中国机器人资产的残值评估与供应商尽调</w:t>
      </w:r>
      <w:r>
        <w:rPr>
          <w:rFonts w:ascii="微软雅黑" w:hAnsi="微软雅黑" w:eastAsia="微软雅黑" w:cs="微软雅黑"/>
          <w:color w:val="auto"/>
          <w:sz w:val="21"/>
          <w:szCs w:val="21"/>
        </w:rPr>
        <w:t>——双方都缺的能力。</w:t>
      </w:r>
    </w:p>
    <w:p w14:paraId="15FABF82">
      <w:pPr>
        <w:pBdr>
          <w:left w:val="single" w:color="2E75B6" w:sz="12" w:space="8"/>
        </w:pBdr>
        <w:shd w:val="clear" w:fill="F2F6FC"/>
        <w:spacing w:before="100" w:after="140" w:line="280" w:lineRule="auto"/>
        <w:ind w:left="240" w:right="120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19"/>
          <w:szCs w:val="19"/>
        </w:rPr>
        <w:t>一句话定位：香港 = 补位垫资方（RaaS + 融资租赁撮合）；澳洲 = 把“进标”变成服务（合规准入 + FM 渠道撮合）。两地共性印证了业务框架的核心判断——中国 AI/机器人公司出海，卡的不是产品，是订单结构、资金安排和合规准入，这正好是新公司的整个生意。</w:t>
      </w:r>
    </w:p>
    <w:p w14:paraId="3F4FD87F">
      <w:pPr>
        <w:pBdr>
          <w:bottom w:val="single" w:color="D0D7E5" w:sz="6" w:space="1"/>
        </w:pBdr>
        <w:spacing w:before="120" w:after="120"/>
        <w:rPr>
          <w:color w:val="auto"/>
        </w:rPr>
      </w:pPr>
    </w:p>
    <w:p w14:paraId="147B2FF0">
      <w:pPr>
        <w:pStyle w:val="2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下一步与待确认</w:t>
      </w:r>
    </w:p>
    <w:p w14:paraId="55F950A8">
      <w:pPr>
        <w:pStyle w:val="16"/>
        <w:numPr>
          <w:ilvl w:val="0"/>
          <w:numId w:val="3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泰国银行合作案例的</w:t>
      </w: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商业化方案</w:t>
      </w:r>
      <w:r>
        <w:rPr>
          <w:rFonts w:hint="eastAsia" w:cs="微软雅黑"/>
          <w:b/>
          <w:bCs/>
          <w:color w:val="auto"/>
          <w:sz w:val="21"/>
          <w:szCs w:val="21"/>
          <w:lang w:val="en-US" w:eastAsia="zh-CN"/>
        </w:rPr>
        <w:t>和业务介绍</w:t>
      </w: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由 T 主笔；</w:t>
      </w:r>
    </w:p>
    <w:p w14:paraId="59A7BF8B">
      <w:pPr>
        <w:pStyle w:val="16"/>
        <w:numPr>
          <w:ilvl w:val="0"/>
          <w:numId w:val="3"/>
        </w:numPr>
        <w:spacing w:before="40" w:after="40" w:line="300" w:lineRule="auto"/>
        <w:rPr>
          <w:color w:val="auto"/>
        </w:rPr>
      </w:pP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首批</w:t>
      </w: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试点企业</w:t>
      </w:r>
      <w:r>
        <w:rPr>
          <w:rFonts w:hint="eastAsia" w:cs="微软雅黑"/>
          <w:b/>
          <w:bCs/>
          <w:color w:val="auto"/>
          <w:sz w:val="21"/>
          <w:szCs w:val="21"/>
          <w:lang w:val="en-US" w:eastAsia="zh-CN"/>
        </w:rPr>
        <w:t>短</w:t>
      </w:r>
      <w:r>
        <w:rPr>
          <w:rFonts w:ascii="微软雅黑" w:hAnsi="微软雅黑" w:eastAsia="微软雅黑" w:cs="微软雅黑"/>
          <w:b/>
          <w:bCs/>
          <w:color w:val="auto"/>
          <w:sz w:val="21"/>
          <w:szCs w:val="21"/>
        </w:rPr>
        <w:t>名单</w:t>
      </w:r>
      <w:r>
        <w:rPr>
          <w:rFonts w:ascii="微软雅黑" w:hAnsi="微软雅黑" w:eastAsia="微软雅黑" w:cs="微软雅黑"/>
          <w:b w:val="0"/>
          <w:bCs w:val="0"/>
          <w:color w:val="auto"/>
          <w:sz w:val="21"/>
          <w:szCs w:val="21"/>
        </w:rPr>
        <w:t>与 T / A 各自的推进节奏；</w:t>
      </w:r>
    </w:p>
    <w:p w14:paraId="42BAB69F">
      <w:pPr>
        <w:pStyle w:val="16"/>
        <w:numPr>
          <w:ilvl w:val="0"/>
          <w:numId w:val="3"/>
        </w:numPr>
        <w:tabs>
          <w:tab w:val="left" w:pos="3692"/>
        </w:tabs>
        <w:spacing w:before="40" w:after="40" w:line="300" w:lineRule="auto"/>
        <w:rPr>
          <w:color w:val="auto"/>
        </w:rPr>
      </w:pPr>
      <w:r>
        <w:rPr>
          <w:rFonts w:hint="eastAsia" w:cs="微软雅黑"/>
          <w:b w:val="0"/>
          <w:bCs w:val="0"/>
          <w:color w:val="auto"/>
          <w:sz w:val="21"/>
          <w:szCs w:val="21"/>
          <w:lang w:val="en-US" w:eastAsia="zh-CN"/>
        </w:rPr>
        <w:t>公司注册时间和相关事项。</w:t>
      </w:r>
      <w:r>
        <w:rPr>
          <w:rFonts w:hint="eastAsia" w:cs="微软雅黑"/>
          <w:b w:val="0"/>
          <w:bCs w:val="0"/>
          <w:color w:val="auto"/>
          <w:sz w:val="21"/>
          <w:szCs w:val="21"/>
          <w:lang w:val="en-US" w:eastAsia="zh-CN"/>
        </w:rPr>
        <w:tab/>
      </w:r>
      <w:bookmarkStart w:id="0" w:name="_GoBack"/>
      <w:bookmarkEnd w:id="0"/>
    </w:p>
    <w:p w14:paraId="7847EE2C">
      <w:pPr>
        <w:pBdr>
          <w:bottom w:val="single" w:color="D0D7E5" w:sz="6" w:space="1"/>
        </w:pBdr>
        <w:spacing w:before="120" w:after="120"/>
        <w:rPr>
          <w:rFonts w:hint="eastAsia" w:eastAsia="微软雅黑"/>
          <w:color w:val="auto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B9C01">
    <w:pPr>
      <w:jc w:val="center"/>
    </w:pPr>
    <w:r>
      <w:rPr>
        <w:rFonts w:ascii="微软雅黑" w:hAnsi="微软雅黑" w:eastAsia="微软雅黑" w:cs="微软雅黑"/>
        <w:color w:val="808080"/>
        <w:sz w:val="16"/>
        <w:szCs w:val="16"/>
      </w:rPr>
      <w:t xml:space="preserve">第 </w:t>
    </w:r>
    <w:r>
      <w:rPr>
        <w:rFonts w:ascii="微软雅黑" w:hAnsi="微软雅黑" w:eastAsia="微软雅黑" w:cs="微软雅黑"/>
        <w:color w:val="808080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808080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808080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808080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808080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FE045B">
    <w:pPr>
      <w:pBdr>
        <w:bottom w:val="single" w:color="D0D7E5" w:sz="4" w:space="2"/>
      </w:pBdr>
      <w:jc w:val="right"/>
    </w:pPr>
    <w:r>
      <w:rPr>
        <w:rFonts w:ascii="微软雅黑" w:hAnsi="微软雅黑" w:eastAsia="微软雅黑" w:cs="微软雅黑"/>
        <w:color w:val="808080"/>
        <w:sz w:val="16"/>
        <w:szCs w:val="16"/>
      </w:rPr>
      <w:t>新公司出海服务平台 · 业务框架（0918 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520" w:hanging="30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00" w:hanging="260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5EC6F0C"/>
    <w:rsid w:val="15F805C3"/>
    <w:rsid w:val="24A95133"/>
    <w:rsid w:val="4E7C13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280" w:after="140" w:line="300" w:lineRule="auto"/>
      <w:outlineLvl w:val="0"/>
    </w:pPr>
    <w:rPr>
      <w:rFonts w:ascii="微软雅黑" w:hAnsi="微软雅黑" w:eastAsia="微软雅黑" w:cs="微软雅黑"/>
      <w:b/>
      <w:bCs/>
      <w:color w:val="1F3864"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100" w:line="300" w:lineRule="auto"/>
      <w:outlineLvl w:val="1"/>
    </w:pPr>
    <w:rPr>
      <w:rFonts w:ascii="微软雅黑" w:hAnsi="微软雅黑" w:eastAsia="微软雅黑" w:cs="微软雅黑"/>
      <w:b/>
      <w:bCs/>
      <w:color w:val="2E75B6"/>
      <w:sz w:val="23"/>
      <w:szCs w:val="23"/>
    </w:rPr>
  </w:style>
  <w:style w:type="paragraph" w:styleId="4">
    <w:name w:val="heading 3"/>
    <w:next w:val="1"/>
    <w:qFormat/>
    <w:uiPriority w:val="0"/>
    <w:pPr>
      <w:spacing w:line="300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00" w:lineRule="auto"/>
    </w:pPr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line="300" w:lineRule="auto"/>
    </w:pPr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line="300" w:lineRule="auto"/>
    </w:pPr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pPr>
      <w:spacing w:line="300" w:lineRule="auto"/>
    </w:pPr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00" w:lineRule="auto"/>
    </w:pPr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1446</Words>
  <Characters>1611</Characters>
  <TotalTime>705</TotalTime>
  <ScaleCrop>false</ScaleCrop>
  <LinksUpToDate>false</LinksUpToDate>
  <CharactersWithSpaces>1755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2026-09-18T14:32:00Z</dcterms:created>
  <dc:creator>新公司</dc:creator>
  <cp:lastModifiedBy>Anson</cp:lastModifiedBy>
  <dcterms:modified xsi:type="dcterms:W3CDTF">2026-09-19T04:25:10Z</dcterms:modified>
  <dc:title>新公司出海服务平台 · 业务框架（0918 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98BAE11324934D1E8256CE1EC1093605_12</vt:lpwstr>
  </property>
</Properties>
</file>