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4127">
      <w:pPr>
        <w:spacing w:before="0" w:after="80"/>
        <w:jc w:val="center"/>
      </w:pPr>
      <w:r>
        <w:rPr>
          <w:rFonts w:hint="eastAsia" w:cs="微软雅黑"/>
          <w:b/>
          <w:bCs/>
          <w:color w:val="1F3864"/>
          <w:sz w:val="40"/>
          <w:szCs w:val="40"/>
          <w:lang w:val="en-US" w:eastAsia="zh-CN"/>
        </w:rPr>
        <w:t>Po</w:t>
      </w: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verseas 出海服务</w:t>
      </w:r>
    </w:p>
    <w:p w14:paraId="7B8E383C">
      <w:pPr>
        <w:pBdr>
          <w:bottom w:val="single" w:color="2E75B6" w:sz="12" w:space="1"/>
        </w:pBdr>
        <w:spacing w:before="0" w:after="160"/>
      </w:pPr>
    </w:p>
    <w:p w14:paraId="487F385D">
      <w:pPr>
        <w:pStyle w:val="2"/>
        <w:tabs>
          <w:tab w:val="left" w:pos="2074"/>
        </w:tabs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一、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业务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定位</w:t>
      </w:r>
    </w:p>
    <w:p w14:paraId="6DDF2F0D">
      <w:pPr>
        <w:spacing w:before="60" w:after="60" w:line="300" w:lineRule="auto"/>
      </w:pP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Po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verseas 是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境内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出海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科技型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企业与海外资源（银行、金融机构、企业客户、政府机构）之间的“中间赋能”平台——T 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负责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海外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资源协调，来协助境内企业业务出海落地、交付客户服务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，A 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负责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国内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客户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触达。</w:t>
      </w:r>
    </w:p>
    <w:p w14:paraId="1E4D9E14">
      <w:pPr>
        <w:spacing w:before="60" w:after="60" w:line="300" w:lineRule="auto"/>
      </w:pPr>
      <w:r>
        <w:rPr>
          <w:rFonts w:hint="eastAsia" w:cs="微软雅黑"/>
          <w:b/>
          <w:bCs/>
          <w:sz w:val="21"/>
          <w:szCs w:val="21"/>
          <w:lang w:val="en-US" w:eastAsia="zh-CN"/>
        </w:rPr>
        <w:t>要点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9月4日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电话沟通已达成共识）：</w:t>
      </w:r>
    </w:p>
    <w:p w14:paraId="39AB15A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港深两地各设一家合资公司，初期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先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各持 50%；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双方一起评估和吸收具有相关资源能力的合作伙伴作为小股东进来。</w:t>
      </w:r>
    </w:p>
    <w:p w14:paraId="1E208BDC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聚焦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科技型企业出海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的专业服务；</w:t>
      </w:r>
    </w:p>
    <w:p w14:paraId="10817E4E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客户分三阶段经营，服务由轻到重，收费由免费</w:t>
      </w:r>
      <w:r>
        <w:rPr>
          <w:rFonts w:hint="eastAsia" w:cs="微软雅黑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小额咨询费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到股权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投资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。</w:t>
      </w:r>
    </w:p>
    <w:p w14:paraId="2468D9F1">
      <w:pPr>
        <w:pBdr>
          <w:bottom w:val="single" w:color="D0D7E5" w:sz="6" w:space="1"/>
        </w:pBdr>
        <w:spacing w:before="120" w:after="120"/>
      </w:pPr>
    </w:p>
    <w:p w14:paraId="57638EEA">
      <w:pPr>
        <w:pStyle w:val="2"/>
        <w:numPr>
          <w:ilvl w:val="0"/>
          <w:numId w:val="2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聚焦赛道与选择逻辑</w:t>
      </w:r>
    </w:p>
    <w:p w14:paraId="64FD328E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  <w:rPr>
          <w:rFonts w:ascii="微软雅黑" w:hAnsi="微软雅黑" w:eastAsia="微软雅黑" w:cs="微软雅黑"/>
          <w:b w:val="0"/>
          <w:bCs w:val="0"/>
          <w:sz w:val="19"/>
          <w:szCs w:val="19"/>
        </w:rPr>
      </w:pP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关键点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：</w:t>
      </w:r>
    </w:p>
    <w:p w14:paraId="7643F23E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eastAsia="zh-CN"/>
        </w:rPr>
      </w:pP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产业赛道：选择当前出海市场份额最大、增速最快，且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“愿意为专业服务付费、</w:t>
      </w: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有可能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能把服务费转化为股权”的</w:t>
      </w: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赛道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群体</w:t>
      </w:r>
      <w:r>
        <w:rPr>
          <w:rFonts w:hint="eastAsia" w:cs="微软雅黑"/>
          <w:b w:val="0"/>
          <w:bCs w:val="0"/>
          <w:sz w:val="19"/>
          <w:szCs w:val="19"/>
          <w:lang w:eastAsia="zh-CN"/>
        </w:rPr>
        <w:t>；</w:t>
      </w:r>
    </w:p>
    <w:p w14:paraId="357B58F4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  <w:rPr>
          <w:rFonts w:hint="eastAsia" w:eastAsia="微软雅黑"/>
          <w:lang w:eastAsia="zh-CN"/>
        </w:rPr>
      </w:pP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需求模块：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“企业最愿付费的五项——财税 64%、政策 57%、法律 48%、融资 42%、</w:t>
      </w:r>
      <w:r>
        <w:rPr>
          <w:rFonts w:hint="eastAsia" w:cs="微软雅黑"/>
          <w:b w:val="0"/>
          <w:bCs w:val="0"/>
          <w:sz w:val="19"/>
          <w:szCs w:val="19"/>
          <w:lang w:val="en-US" w:eastAsia="zh-CN"/>
        </w:rPr>
        <w:t>市场拓展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资源对接 39%”</w:t>
      </w:r>
      <w:r>
        <w:rPr>
          <w:rFonts w:hint="eastAsia" w:cs="微软雅黑"/>
          <w:b w:val="0"/>
          <w:bCs w:val="0"/>
          <w:sz w:val="19"/>
          <w:szCs w:val="19"/>
          <w:lang w:eastAsia="zh-CN"/>
        </w:rPr>
        <w:t>。</w:t>
      </w:r>
    </w:p>
    <w:p w14:paraId="7F43B8D1">
      <w:pPr>
        <w:numPr>
          <w:ilvl w:val="0"/>
          <w:numId w:val="0"/>
        </w:num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3100"/>
        <w:gridCol w:w="3026"/>
      </w:tblGrid>
      <w:tr w14:paraId="1659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AF45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赛道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318E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出海形态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D15B7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核心痛点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344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</w:tr>
      <w:tr w14:paraId="79F1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327D9">
            <w:pPr>
              <w:spacing w:before="0" w:after="0" w:line="264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工业自动化与机器人</w:t>
            </w:r>
            <w:r>
              <w:rPr>
                <w:rFonts w:hint="eastAsia" w:cs="微软雅黑"/>
                <w:b/>
                <w:bCs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/>
                <w:bCs/>
                <w:sz w:val="18"/>
                <w:szCs w:val="18"/>
                <w:lang w:val="en-US" w:eastAsia="zh-CN"/>
              </w:rPr>
              <w:t>厂商与集成商</w:t>
            </w:r>
            <w:r>
              <w:rPr>
                <w:rFonts w:hint="eastAsia" w:cs="微软雅黑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304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产品 + 集成出海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BA5F8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本地场景验证、集成商渠道、认证合规；缺海外售后网络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025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中国成本优势最硬，东南亚制造业升级刚需，标准化程度高、可复制</w:t>
            </w:r>
          </w:p>
        </w:tc>
      </w:tr>
      <w:tr w14:paraId="498D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FFEB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Digital AI 应用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41CA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产品 / 解决方案出海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414BA">
            <w:pPr>
              <w:spacing w:before="0" w:after="0" w:line="264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本地化部署（语言、数据合规）、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标杆客户获取、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算力与云</w:t>
            </w: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服务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7782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东南亚缺 AI 生态、欧美方案贵，是 T 判断的直接落点</w:t>
            </w:r>
          </w:p>
        </w:tc>
      </w:tr>
      <w:tr w14:paraId="66EA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5879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具身智能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83CA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技术合作 + 早期出海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80CE0"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联合研发、场景数据、样机试点、技术授权、算力与云</w:t>
            </w: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服务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194F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早期但资本关注度高，是 FA + 股权置换的最佳标的池</w:t>
            </w:r>
          </w:p>
        </w:tc>
      </w:tr>
      <w:tr w14:paraId="0FC1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62EC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创新药 License-out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86B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IP 出海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（非实体出海）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7FFB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BD 撮合、跨境 IP 架构与税务、里程碑付款设计、海外注册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BBCB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单笔价值极高，香港 18A 是天然跳板，是香港资源最高效的变现场景</w:t>
            </w:r>
          </w:p>
        </w:tc>
      </w:tr>
      <w:tr w14:paraId="24DB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EB65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新能源 / 数字经济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C981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 + 重资产出海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25C5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项目开发与 EPC 伙伴、项目融资、牌照与并网、IRA / CBAM 合规</w:t>
            </w:r>
          </w:p>
        </w:tc>
        <w:tc>
          <w:tcPr>
            <w:tcW w:w="3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2C0C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单项目金额大，项目融资顾问费可观，能带动银行资源</w:t>
            </w:r>
          </w:p>
        </w:tc>
      </w:tr>
    </w:tbl>
    <w:p w14:paraId="3FC5D901">
      <w:pPr>
        <w:pStyle w:val="2"/>
        <w:rPr>
          <w:rFonts w:hint="eastAsia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工业自动化与机器人出海落地，因为不是开箱即用的标准品，必须经过产线设计、工艺对接、PLC 与软件联调、现场安装调试才能真正产生价值。尤其东南亚制造业客户普遍缺本地集成能力——谁帮他把中国设备“嵌进”自己的产线，他才会买。所以厂商出海卖的实质是“产品 + 交付能力”的组合，只出口裸机等于把最难的环节留给客户，成交率极低。海外的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集成商就是海外渠道本身</w:t>
      </w:r>
      <w:r>
        <w:rPr>
          <w:rFonts w:hint="eastAsia" w:cs="微软雅黑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海外工业品销售几乎不靠厂商直销，而是通过当地系统集成商/代理商。集成商是事实上的渠道入口 + 交付载体 + 售后网络三合一。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从这个角度看，帮境内集成商找订单，或者帮境外集成商找供应商，也是关键场景。海外 SI 是双向资产，不只是交付承接方。他们手里有本地客户的自动化改造订单——当海外 SI 需要中国设备/方案时可以反向导流给中国厂商。所以短名单既是交付网络（供给侧），也是获客渠道（需求侧入口）。这比“帮中国 SI 找落地伙伴”的单向价值更大。</w:t>
      </w:r>
    </w:p>
    <w:p w14:paraId="67F80320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三、分阶段服务矩阵</w:t>
      </w:r>
    </w:p>
    <w:p w14:paraId="25A8BFF9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3.1　通用底盘（三阶段）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300"/>
        <w:gridCol w:w="1350"/>
        <w:gridCol w:w="2900"/>
        <w:gridCol w:w="1500"/>
        <w:gridCol w:w="1156"/>
      </w:tblGrid>
      <w:tr w14:paraId="123B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996B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5880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客户状态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3E57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核心痛点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7A6D9">
            <w:pPr>
              <w:spacing w:before="0" w:after="0" w:line="264" w:lineRule="auto"/>
              <w:ind w:left="0" w:leftChars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Overseas 服务产品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60A3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收费模式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3C34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主责</w:t>
            </w:r>
          </w:p>
        </w:tc>
      </w:tr>
      <w:tr w14:paraId="2208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7B2C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① 启蒙期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07C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有想法未行动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74EAD">
            <w:pPr>
              <w:spacing w:before="0" w:after="0" w:line="264" w:lineRule="auto"/>
            </w:pP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不了解渠道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、</w:t>
            </w: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不熟悉政策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（57%）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1CE2F">
            <w:pPr>
              <w:spacing w:before="0" w:after="0" w:line="264" w:lineRule="auto"/>
              <w:ind w:left="0" w:leftChars="0"/>
              <w:jc w:val="left"/>
            </w:pP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一国一策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Workshop、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国别市场研究报告、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出海自测诊断、政策解读会、合规红线清单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4555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免费 / 低价（蓄客）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06F1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 组织，T 出内容</w:t>
            </w:r>
          </w:p>
        </w:tc>
      </w:tr>
      <w:tr w14:paraId="0081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2524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② 进入期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74D3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决定出海 / 刚落地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77B5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架构、合规、渠道、人才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ACEBA">
            <w:pPr>
              <w:spacing w:before="0" w:after="0" w:line="264" w:lineRule="auto"/>
              <w:ind w:left="0" w:left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跨境架构设计（港 / 新控股 + ODI 协同）</w:t>
            </w:r>
          </w:p>
          <w:p w14:paraId="0604DB08">
            <w:pPr>
              <w:spacing w:before="50" w:after="0" w:line="264" w:lineRule="auto"/>
              <w:ind w:left="0" w:left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目标市场落地（注册、牌照、税务、劳动法）</w:t>
            </w:r>
          </w:p>
          <w:p w14:paraId="6F169E65">
            <w:pPr>
              <w:spacing w:before="50" w:after="0" w:line="264" w:lineRule="auto"/>
              <w:ind w:left="0" w:leftChars="0"/>
              <w:jc w:val="left"/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渠道搭建（分销商 / 集成商招募撮合）</w:t>
            </w:r>
          </w:p>
          <w:p w14:paraId="19E9940C">
            <w:pPr>
              <w:spacing w:before="50" w:after="0" w:line="264" w:lineRule="auto"/>
              <w:ind w:left="0" w:left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场景 POC 试点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财税合规（外包给生态会计所 / 律所）</w:t>
            </w:r>
          </w:p>
          <w:p w14:paraId="3F82DAEC">
            <w:pPr>
              <w:spacing w:before="50" w:after="0" w:line="264" w:lineRule="auto"/>
              <w:ind w:left="0" w:leftChars="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⑥ 人才与组织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A922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固定顾问费 + 落地项目费 + 生态分包佣金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4DBF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交付海外，A 对接企业</w:t>
            </w:r>
          </w:p>
        </w:tc>
      </w:tr>
      <w:tr w14:paraId="2AD8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6F2E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③ 扩张期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18C2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已运营、要放大</w:t>
            </w:r>
          </w:p>
        </w:tc>
        <w:tc>
          <w:tcPr>
            <w:tcW w:w="13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6FFF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融资、上市、供应链、并购（融资需求 42%）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A284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跨境融资 FA</w:t>
            </w:r>
          </w:p>
          <w:p w14:paraId="2291CB7D">
            <w:pPr>
              <w:spacing w:before="50" w:after="0" w:line="264" w:lineRule="auto"/>
            </w:pP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②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 xml:space="preserve"> 产能与供应链出海（建厂 / 合资）</w:t>
            </w:r>
          </w:p>
          <w:p w14:paraId="08F24904">
            <w:pPr>
              <w:spacing w:before="50" w:after="0" w:line="264" w:lineRule="auto"/>
            </w:pP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③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品牌 PR 与政府关系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4769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3–4% + 股权置换 5–10%</w:t>
            </w:r>
          </w:p>
        </w:tc>
        <w:tc>
          <w:tcPr>
            <w:tcW w:w="11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6BC5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找资本</w:t>
            </w:r>
            <w:r>
              <w:rPr>
                <w:rFonts w:hint="eastAsia" w:cs="微软雅黑"/>
                <w:b w:val="0"/>
                <w:bCs w:val="0"/>
                <w:sz w:val="18"/>
                <w:szCs w:val="18"/>
                <w:lang w:val="en-US" w:eastAsia="zh-CN"/>
              </w:rPr>
              <w:t>和政府资源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，A 找项目</w:t>
            </w:r>
          </w:p>
        </w:tc>
      </w:tr>
    </w:tbl>
    <w:p w14:paraId="2D566567">
      <w:pPr>
        <w:spacing w:before="0" w:after="60"/>
      </w:pPr>
    </w:p>
    <w:p w14:paraId="656D216D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3.2　行业差异模块（在通用底盘上加挂）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00"/>
        <w:gridCol w:w="3626"/>
      </w:tblGrid>
      <w:tr w14:paraId="6C4E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02E3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赛道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4092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阶段② 专属模块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DE29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阶段③ 专属模块</w:t>
            </w:r>
          </w:p>
        </w:tc>
      </w:tr>
      <w:tr w14:paraId="3F22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1056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工业自动化与机器人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1EDA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CE / UL 等安规认证、系统集成商招募、售后网络搭建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BB77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合资建厂、海外订单融资</w:t>
            </w:r>
          </w:p>
        </w:tc>
      </w:tr>
      <w:tr w14:paraId="3D10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875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Digital AI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2C0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数据跨境合规方案、标杆客户 POC、云与算力对接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995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本地合资、SaaS 出海融资</w:t>
            </w:r>
          </w:p>
        </w:tc>
      </w:tr>
      <w:tr w14:paraId="7D5D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FF19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具身智能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BBE9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联合实验室 / 试点场景撮合、技术授权架构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4D21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早期轮 FA（最易转股权）</w:t>
            </w:r>
          </w:p>
        </w:tc>
      </w:tr>
      <w:tr w14:paraId="1FF8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C174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创新药 License-out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40CC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BD 撮合与谈判顾问、跨境 IP 架构与税务、NewCo / 里程碑付款设计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253A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港股 18A 上市辅导、后续并购退出</w:t>
            </w:r>
          </w:p>
        </w:tc>
      </w:tr>
      <w:tr w14:paraId="25C6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4CC4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新能源 / 数字经济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CF2E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项目开发与 EPC 伙伴撮合、本地牌照与并网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B82C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项目融资顾问（银行资源变现主力）</w:t>
            </w:r>
          </w:p>
        </w:tc>
      </w:tr>
    </w:tbl>
    <w:p w14:paraId="7C3ABA23">
      <w:pPr>
        <w:spacing w:before="0" w:after="60"/>
      </w:pPr>
    </w:p>
    <w:p w14:paraId="3D4C4593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3.3　变现路径（四层递进）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0555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B33B30">
            <w:pPr>
              <w:spacing w:before="0" w:after="6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免费 Workshop 引流   →   固定收费顾问服务   →   FA 按融资额 3–4%   →   长期股权置换 5–10%</w:t>
            </w:r>
          </w:p>
          <w:p w14:paraId="5E642F8A">
            <w:pPr>
              <w:spacing w:before="0"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17"/>
                <w:szCs w:val="17"/>
              </w:rPr>
              <w:t>（蓄客、建池）            （现金流、验证能力）            （单笔高毛利）            （长期资产、最大收益）</w:t>
            </w:r>
          </w:p>
        </w:tc>
      </w:tr>
    </w:tbl>
    <w:p w14:paraId="18DD677D">
      <w:pPr>
        <w:spacing w:before="0" w:after="60"/>
      </w:pPr>
    </w:p>
    <w:p w14:paraId="133DC114">
      <w:pPr>
        <w:pBdr>
          <w:bottom w:val="single" w:color="D0D7E5" w:sz="6" w:space="1"/>
        </w:pBdr>
        <w:spacing w:before="120" w:after="120"/>
      </w:pPr>
    </w:p>
    <w:p w14:paraId="1D21D49B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3.4　Day1 五件套（落地执行方案）</w:t>
      </w:r>
    </w:p>
    <w:p w14:paraId="5CA590FD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本节在原服务矩阵上加挂 Day1 可落地的五个业务、团队编制、收费模式、收入预估与动作时间线，与前三节的三阶段服务产品互为补充。</w:t>
      </w:r>
    </w:p>
    <w:p w14:paraId="37CBDE14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原则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：属地第一笔订单签约前不招聘属地人员；全公司半年内除 T 外最多加 1 人；A 侧第一笔回款前除 A 及其相关资源外不招人。</w:t>
      </w:r>
    </w:p>
    <w:p w14:paraId="3D263082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3.4.1　团队编制与角色划分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200"/>
        <w:gridCol w:w="5000"/>
        <w:gridCol w:w="1100"/>
      </w:tblGrid>
      <w:tr w14:paraId="06C1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5549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9BC5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归属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6139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承载职责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DA1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人数</w:t>
            </w:r>
          </w:p>
        </w:tc>
      </w:tr>
      <w:tr w14:paraId="6141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3AB3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69FE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港深双地核心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4CAF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跨境策划、渠道对接、生态协调、生意推进；后期兼任临时 FA/Partner 接触人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A1BC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790C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A8DA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业务交付助理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5E93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香港端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D42E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商务材料、订单管理、生态供应商协调、会议与日程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7718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771E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9B9D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9C9B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境内端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5DFE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获客、诊断、报价、签约前全过程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F367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1人</w:t>
            </w:r>
          </w:p>
        </w:tc>
      </w:tr>
      <w:tr w14:paraId="52E2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EC7B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A 的资源圈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43FF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联动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82B9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政府/协会/银行/校友/原业主转介，不占编制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321D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多位外部伙伴</w:t>
            </w:r>
          </w:p>
        </w:tc>
      </w:tr>
      <w:tr w14:paraId="146F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ABB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属地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E0D3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未启动</w:t>
            </w:r>
          </w:p>
        </w:tc>
        <w:tc>
          <w:tcPr>
            <w:tcW w:w="5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9CE6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第一笔订单签约前不招聘；到期后启动 +1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35BC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0 → 1</w:t>
            </w:r>
          </w:p>
        </w:tc>
      </w:tr>
    </w:tbl>
    <w:p w14:paraId="5E25823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解释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：不把属地当作“需要拔人的地方”，而是“需要 partner 承接的地方”；资源整合优先于人员扩充。</w:t>
      </w:r>
    </w:p>
    <w:p w14:paraId="5F009685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3.4.2　五个业务、交付与收费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2300"/>
        <w:gridCol w:w="2526"/>
      </w:tblGrid>
      <w:tr w14:paraId="5191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D9C6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03C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性质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54DC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谁交付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78DD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收费模式</w:t>
            </w:r>
          </w:p>
        </w:tc>
      </w:tr>
      <w:tr w14:paraId="788E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9692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①跨境撮合（订单+集成商介绍）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3EC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介绍人 + 成功佣金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6AFE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D65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定位费 5–10万 + 里程碑 10–20万 + 成功佣金·首年 8–12%（按回款）</w:t>
            </w:r>
          </w:p>
        </w:tc>
      </w:tr>
      <w:tr w14:paraId="5DD3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2F5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②标准化咨询包（架构/合规/进入策略）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CCB0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固定价标准包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7831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为主 + 生态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FAD8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L1 免费/1–2万；L2 单模块 3–8万；L3 完整包 15–30万；加转年度顾问 10–20万/年</w:t>
            </w:r>
          </w:p>
        </w:tc>
      </w:tr>
      <w:tr w14:paraId="7D5B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9334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③生态分包交付（律所/会计所/认证/银行）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19D8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总包 + 加价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B3AF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生态出意见 + T 做总集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08B0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对客户总包 × 1.3–1.5；认证 PM × 1.15–1.25；融资顾问 0.5–1.5%（按额）</w:t>
            </w:r>
          </w:p>
        </w:tc>
      </w:tr>
      <w:tr w14:paraId="416A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EB0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④售后网络搭建包（新加）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10E2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标准化产品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291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+ 本地服务商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52BA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搭建费 10–20万/家 + 工单抽成 10–20%；购买人需有合同期锁定使用</w:t>
            </w:r>
          </w:p>
        </w:tc>
      </w:tr>
      <w:tr w14:paraId="13AA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9941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⑤订单融资撮合（新加）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47B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咨询 + 成功佣金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7487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T + 律所/银行</w:t>
            </w:r>
          </w:p>
        </w:tc>
        <w:tc>
          <w:tcPr>
            <w:tcW w:w="2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41B3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方案设计 5–15万 + 顾问费 · 融资额 0.5–1.5%；后续年顾问 5–10万/年</w:t>
            </w:r>
          </w:p>
        </w:tc>
      </w:tr>
    </w:tbl>
    <w:p w14:paraId="47A0A2D8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三个不动的边界：不卖设备、不做系统集成、不出资金不压货；三个都要求：所有收费与合同边界写清、主体清晰、金额合规、不碰现金、不碰记名（FCPA/UKBA 红线）。</w:t>
      </w:r>
    </w:p>
    <w:p w14:paraId="4CF25721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3.4.3　半年收入预估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700"/>
        <w:gridCol w:w="2300"/>
        <w:gridCol w:w="2726"/>
      </w:tblGrid>
      <w:tr w14:paraId="0136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5BBA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9E7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半年单量估算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4B6F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单笔收费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3EF9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半年收入估算</w:t>
            </w:r>
          </w:p>
        </w:tc>
      </w:tr>
      <w:tr w14:paraId="10F3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5BE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1EA7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1–3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B8A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50–400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8147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50–400 万</w:t>
            </w:r>
          </w:p>
        </w:tc>
      </w:tr>
      <w:tr w14:paraId="41A6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B07F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标准咨询包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2B8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6–10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C47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15–30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90B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90–300 万</w:t>
            </w:r>
          </w:p>
        </w:tc>
      </w:tr>
      <w:tr w14:paraId="4873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90BE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生态分包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EB48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4–8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C2C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加价后 30–100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7214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60–240 万</w:t>
            </w:r>
          </w:p>
        </w:tc>
      </w:tr>
      <w:tr w14:paraId="4D59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074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售后网络搭建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4890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3–5 家厂商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B81D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10–20 万 + 抽成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66CA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30–100 万 + 抽成</w:t>
            </w:r>
          </w:p>
        </w:tc>
      </w:tr>
      <w:tr w14:paraId="2B88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0A50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订单融资撮合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5DEC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2–5 单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C37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10–30 万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53B0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30–150 万</w:t>
            </w:r>
          </w:p>
        </w:tc>
      </w:tr>
      <w:tr w14:paraId="3E34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576B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合计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D1A6C">
            <w:pPr>
              <w:spacing w:before="0" w:after="0" w:line="264" w:lineRule="auto"/>
            </w:pP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58955">
            <w:pPr>
              <w:spacing w:before="0" w:after="0" w:line="264" w:lineRule="auto"/>
            </w:pP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9E6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260–1,190 万</w:t>
            </w:r>
          </w:p>
        </w:tc>
      </w:tr>
    </w:tbl>
    <w:p w14:paraId="0CED7210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：① 的成功佣金多为跨年确认，实际半年内现金收入主要来自 ②③④⑤；“下限 260 万”为“活下来”的最小现金流，“上限 1,190 万”为 T 关系全部用足且运气不太差的可达上限。</w:t>
      </w:r>
    </w:p>
    <w:p w14:paraId="65C96688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3.4.4　二十四周优先级与动作顺序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400"/>
        <w:gridCol w:w="2626"/>
      </w:tblGrid>
      <w:tr w14:paraId="36F3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8B0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BD1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重点产出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939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结果验证</w:t>
            </w:r>
          </w:p>
        </w:tc>
      </w:tr>
      <w:tr w14:paraId="2229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395D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W1–W2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FA32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跑通 ② 咨询包、④ 售后网络搭建、⑤ 订单融资撮合的产品化包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2B67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论证价格、合同模板、工具准备</w:t>
            </w:r>
          </w:p>
        </w:tc>
      </w:tr>
      <w:tr w14:paraId="4356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BC97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W3–W8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5034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+ ③ 收入集中产出；同步推 ④ 名录与案例包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77C9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W8 前交付 ≥1 个咨询包与 ≥1 个售后网络包；⑤ 跑通第一单</w:t>
            </w:r>
          </w:p>
        </w:tc>
      </w:tr>
      <w:tr w14:paraId="7711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3CEC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W9–W24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EAEF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放量；④ 形成可对外引用的中型厂商个案 1–2 个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FF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半年内 ②③ 有 ≥3 个可公开案例，⑤ 第一笔放款到账</w:t>
            </w:r>
          </w:p>
        </w:tc>
      </w:tr>
      <w:tr w14:paraId="4581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4515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跨境撮合（订单/集成商）</w:t>
            </w:r>
          </w:p>
        </w:tc>
        <w:tc>
          <w:tcPr>
            <w:tcW w:w="4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A33D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半年内出 1 单就是成功</w:t>
            </w:r>
          </w:p>
        </w:tc>
        <w:tc>
          <w:tcPr>
            <w:tcW w:w="2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212F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不作为现金流依赖</w:t>
            </w:r>
          </w:p>
        </w:tc>
      </w:tr>
    </w:tbl>
    <w:p w14:paraId="12B6BC67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3.4.5　招人/扩编临界点与锁定原则</w:t>
      </w:r>
    </w:p>
    <w:tbl>
      <w:tblPr>
        <w:tblStyle w:val="11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526"/>
      </w:tblGrid>
      <w:tr w14:paraId="591F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32A0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业务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ABE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招人临界点</w:t>
            </w:r>
          </w:p>
        </w:tc>
      </w:tr>
      <w:tr w14:paraId="3665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3D2B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② 咨询包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4D23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单月新订单 ≥ 5 单，且客户明显反馈进度管理跟不上</w:t>
            </w:r>
          </w:p>
        </w:tc>
      </w:tr>
      <w:tr w14:paraId="5486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A06E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③ 生态分包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6EDF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同期运行项目 ≥ 8 个，需专人跟进与协调</w:t>
            </w:r>
          </w:p>
        </w:tc>
      </w:tr>
      <w:tr w14:paraId="10A1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C45D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④ 售后网络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8157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 ≥ 3–5 家 / 月工单 ≥ 100 / 需实体备件仓</w:t>
            </w:r>
          </w:p>
        </w:tc>
      </w:tr>
      <w:tr w14:paraId="5C4C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D15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⑤ 订单融资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6B52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年单量 ≥ 10 / 累计融资额 ≥ 5 亿（需金融产品设计能力）</w:t>
            </w:r>
          </w:p>
        </w:tc>
      </w:tr>
      <w:tr w14:paraId="53C7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87C0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① 跨境撮合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FF0A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在谈项目 ≥ 8 个，且 2 个进入 POC/Pilot 阶段</w:t>
            </w:r>
          </w:p>
        </w:tc>
      </w:tr>
      <w:tr w14:paraId="7BCB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AEB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属地招人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51C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第一笔本地订单签约后 + 该市场参与中项目 ≥ 2 个</w:t>
            </w:r>
          </w:p>
        </w:tc>
      </w:tr>
    </w:tbl>
    <w:p w14:paraId="268CCBC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总原则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：不达临界点不动编制；临界点达到后依顺序启动高阶招聘 + 项目对接，避免一次性扩充后跟不上的问题。</w:t>
      </w:r>
    </w:p>
    <w:p w14:paraId="2A0081A3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3.4.6　收款主体、币种与边界</w:t>
      </w:r>
    </w:p>
    <w:p w14:paraId="5FF8BA78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主体与币种：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境外业务以香港主体收 USD/HKD（便于付境外生态）；境内客户以境内主体签人民币合同。两套主体可差异化报价（境外可高 10–15%，因可承受度更高）。</w:t>
      </w:r>
    </w:p>
    <w:p w14:paraId="62163F54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报价顺序：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总是先报 L1 诊断（免费/1–2万），拿到信息后再报 L3 完整包；不一上来报大包，否则转化率会丢一半。</w:t>
      </w:r>
    </w:p>
    <w:p w14:paraId="5E6609D7">
      <w:pPr>
        <w:pStyle w:val="4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3.4.7　一句话总结</w:t>
      </w:r>
    </w:p>
    <w:p w14:paraId="2F573689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半年内靠 ②、③、④、⑤ 跑现金流，① 出单是锦上添花；编制保持 T + 1 助理 + A 不动，招人临界点全部锁定在“单量/客户达到一定规模”之后，在达临界点之前不加人。</w:t>
      </w:r>
    </w:p>
    <w:p w14:paraId="58C624EC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四、T 需整合的香港及目标市场资源</w:t>
      </w:r>
    </w:p>
    <w:p w14:paraId="45FF33B7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4.1　香港（“超级连接器”层）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200"/>
        <w:gridCol w:w="3526"/>
      </w:tblGrid>
      <w:tr w14:paraId="682C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53F5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E042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具体机构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FEE4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用途</w:t>
            </w:r>
          </w:p>
        </w:tc>
      </w:tr>
      <w:tr w14:paraId="3099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DDB6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 / 公共背书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2C98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投资推广署（InvestHK）、贸促局（HKTDC）、数码港、科技园（HKSTP）、生产力促进局（HKPC）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D773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MOU 背书、联合办会、客户导流</w:t>
            </w:r>
          </w:p>
        </w:tc>
      </w:tr>
      <w:tr w14:paraId="1616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3CF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资本市场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987D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港交所（18A / 18C 通道）、持牌券商 / 投行、PE / VC、家族办公室、资管机构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629E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与上市辅导、美元基金 LP</w:t>
            </w:r>
          </w:p>
        </w:tc>
      </w:tr>
      <w:tr w14:paraId="2C25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DAA5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金融机构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4C2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跨境银行（贸易融资、项目融资、内保外贷）、跨境支付机构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D16A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落地金融方案、客户推荐</w:t>
            </w:r>
          </w:p>
        </w:tc>
      </w:tr>
      <w:tr w14:paraId="543D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D94C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专业服务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8D67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律所（跨境并购 / IP / 数据合规）、会计师事务所（税务架构 / 转让定价）、信托及公司服务提供者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649B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服务分包生态，补齐专业深度</w:t>
            </w:r>
          </w:p>
        </w:tc>
      </w:tr>
      <w:tr w14:paraId="1785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7DB1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科技生态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59C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高校（港大 / 科大 / 中大）成果转化、InnoHK</w:t>
            </w:r>
          </w:p>
        </w:tc>
        <w:tc>
          <w:tcPr>
            <w:tcW w:w="3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E3A3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具身智能 / 创新药技术合作</w:t>
            </w:r>
          </w:p>
        </w:tc>
      </w:tr>
    </w:tbl>
    <w:p w14:paraId="47BDF3C9">
      <w:pPr>
        <w:spacing w:before="0" w:after="60"/>
      </w:pPr>
    </w:p>
    <w:p w14:paraId="0DB1C5E7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4.2　泰国（首选战场）</w:t>
      </w:r>
    </w:p>
    <w:p w14:paraId="6DF78551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官方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：BOI（投资促进委员会，拿税收优惠与落地便利）、商务部</w:t>
      </w:r>
    </w:p>
    <w:p w14:paraId="5AFB7F8D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金融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大型商业银行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（已有合作，可复制为“银行客户 AI 赋能”模板）、当地券商</w:t>
      </w:r>
    </w:p>
    <w:p w14:paraId="2FBAD19A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产业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：制造业园区（Amata、WHA）、系统集成商、华人商会网络</w:t>
      </w:r>
    </w:p>
    <w:p w14:paraId="356C6FC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需求侧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：当地企业数字化转型（AI 缺口大）→ 对接中国 AI / 机器人供应商</w:t>
      </w:r>
    </w:p>
    <w:p w14:paraId="1C09B2AD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4.3　马来西亚</w:t>
      </w:r>
    </w:p>
    <w:p w14:paraId="38759203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MIDA（投资发展局）、当地上市公司与家族企业集团、华人商会、工业园（柔佛 / 槟城，半导体与电子聚集）</w:t>
      </w:r>
    </w:p>
    <w:p w14:paraId="201A9E36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4.4　澳大利亚（最成熟市场）</w:t>
      </w:r>
    </w:p>
    <w:p w14:paraId="2730B4F9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Austrade（贸易投资委员会）、各州贸易投资局、ASX、律所与会计师事务所、R&amp;D Tax Incentive（研发税收返还，对科技企业吸引力强）</w:t>
      </w:r>
    </w:p>
    <w:p w14:paraId="301C6CE3">
      <w:pPr>
        <w:spacing w:before="0" w:after="60"/>
      </w:pPr>
    </w:p>
    <w:p w14:paraId="460F52D0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/>
          <w:bCs/>
          <w:sz w:val="19"/>
          <w:szCs w:val="19"/>
        </w:rPr>
        <w:t>T 的核心 KPI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：每个市场确认 2–3 家“靠谱、能落地交付”的伙伴（partner 靠谱度第一），统一纳入 Overseas 的服务交付网络。</w:t>
      </w:r>
    </w:p>
    <w:p w14:paraId="11303AE5">
      <w:pPr>
        <w:pBdr>
          <w:bottom w:val="single" w:color="D0D7E5" w:sz="6" w:space="1"/>
        </w:pBdr>
        <w:spacing w:before="120" w:after="120"/>
      </w:pPr>
    </w:p>
    <w:p w14:paraId="320B8AF3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五、A 的境内获客管道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000"/>
        <w:gridCol w:w="3726"/>
      </w:tblGrid>
      <w:tr w14:paraId="0E03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9490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管道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3186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具体对象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F47A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打法</w:t>
            </w:r>
          </w:p>
        </w:tc>
      </w:tr>
      <w:tr w14:paraId="3EE2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857B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政府 / 半官方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2A5C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地方商务厅、贸促会（CCPIT）、工信与发改部门、地方“出海服务港”、园区（张江、苏州工业园、深圳、合肥）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59F9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承接官方服务体系落地环节，做“市场化专业节点”；联合调研与发布会</w:t>
            </w:r>
          </w:p>
        </w:tc>
      </w:tr>
      <w:tr w14:paraId="4FEA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3BF7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行业协会 / 联盟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5C0C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机器人产业联盟、具身智能联盟、医药创新促进会、光伏 / 储能协会、AI 产业联盟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958C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协会背书 + 闭门会导流</w:t>
            </w:r>
          </w:p>
        </w:tc>
      </w:tr>
      <w:tr w14:paraId="49F7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6EB2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金融机构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C31F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银行公司金融 / 跨境金融部、券商投行部、PE / VC 被投企业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A171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客户经理转介绍（企业出海金融需求天然前置）</w:t>
            </w:r>
          </w:p>
        </w:tc>
      </w:tr>
      <w:tr w14:paraId="2D66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5669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产业链主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6470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比亚迪 / 宁德 / 华为等链主企业上下游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0E6A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跟随“链主出海”批量获客</w:t>
            </w:r>
          </w:p>
        </w:tc>
      </w:tr>
      <w:tr w14:paraId="61B0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41F3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高校科研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A9EF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高校成果转化中心、校友网络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CF56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技术型企业源头</w:t>
            </w:r>
          </w:p>
        </w:tc>
      </w:tr>
      <w:tr w14:paraId="708A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CA96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会展活动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C0D8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世界机器人大会、进博会、SNEC、CMEF、BIO 大会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9240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现场获客 + 品牌曝光</w:t>
            </w:r>
          </w:p>
        </w:tc>
      </w:tr>
      <w:tr w14:paraId="306C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7A0C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内容与转介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3D84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联合研究报告、行业媒体、律所 / 会计所转介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7F50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低成本持续线索</w:t>
            </w:r>
          </w:p>
        </w:tc>
      </w:tr>
    </w:tbl>
    <w:p w14:paraId="5CA6826A">
      <w:pPr>
        <w:spacing w:before="0" w:after="60"/>
      </w:pPr>
    </w:p>
    <w:p w14:paraId="21F43355">
      <w:pPr>
        <w:spacing w:before="6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管道优先级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0392EAE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短期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（0–3 个月）：政府 + 银行——见效快、批量大</w:t>
      </w:r>
    </w:p>
    <w:p w14:paraId="5753A88C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中期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（3–6 个月）：协会 + 内容——沉淀品牌与行业影响力</w:t>
      </w:r>
    </w:p>
    <w:p w14:paraId="572D9DD4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长期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（6 个月以上）：链主 + 高校——构建高价值标的池</w:t>
      </w:r>
    </w:p>
    <w:p w14:paraId="680475FD">
      <w:pPr>
        <w:pBdr>
          <w:bottom w:val="single" w:color="D0D7E5" w:sz="6" w:space="1"/>
        </w:pBdr>
        <w:spacing w:before="120" w:after="120"/>
      </w:pPr>
    </w:p>
    <w:p w14:paraId="760A626F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六、股东层面的核心伙伴选择</w:t>
      </w:r>
    </w:p>
    <w:p w14:paraId="672D706F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6.1　A 侧重（境内资源背书）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700"/>
        <w:gridCol w:w="2800"/>
        <w:gridCol w:w="2276"/>
      </w:tblGrid>
      <w:tr w14:paraId="4FBE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1899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层级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5FD4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候选类型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7995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490F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绑定方式建议</w:t>
            </w:r>
          </w:p>
        </w:tc>
      </w:tr>
      <w:tr w14:paraId="4A57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1D64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政府 / 园区平台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2957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地方投资促进机构、贸促会、园区运营平台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9898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官方信任 + 客户线索 + 政策资源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15D9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MOU + 顾问委员会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（不建议直接持股，规避审批周期）</w:t>
            </w:r>
          </w:p>
        </w:tc>
      </w:tr>
      <w:tr w14:paraId="24F4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824E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金融机构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357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全国性银行跨境金融部、券商投行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FD4B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客户转介 + 融资通道 + 资质背书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4AD0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战略合作 + 小比例股权（可选）</w:t>
            </w:r>
          </w:p>
        </w:tc>
      </w:tr>
      <w:tr w14:paraId="6910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D5C5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产业资本（CVC）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5E3B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链主企业投资部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2467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项目源 + 产业资源 + 后续退出通道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AF1A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5–10% 股权绑定</w:t>
            </w:r>
          </w:p>
        </w:tc>
      </w:tr>
      <w:tr w14:paraId="6BA9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2467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行业协会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ACA5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机器人 / 医药 / AI 产业联盟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3817A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行业公信力 + 会员导流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404B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战略合作，不入股</w:t>
            </w:r>
          </w:p>
        </w:tc>
      </w:tr>
    </w:tbl>
    <w:p w14:paraId="64A2A9FC">
      <w:pPr>
        <w:spacing w:before="0" w:after="60"/>
      </w:pPr>
    </w:p>
    <w:p w14:paraId="10FD905A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6.2　T 侧重（境外资源背书）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0"/>
        <w:gridCol w:w="2700"/>
        <w:gridCol w:w="2800"/>
        <w:gridCol w:w="2276"/>
      </w:tblGrid>
      <w:tr w14:paraId="564B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214B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层级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74CB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候选类型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39C0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 Overseas 的价值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D4C9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绑定方式建议</w:t>
            </w:r>
          </w:p>
        </w:tc>
      </w:tr>
      <w:tr w14:paraId="5253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CA86B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香港公共机构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208D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数码港、科学园、投资推广署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57A5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国际背书 + 品牌可信度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2F0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MOU 优先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（公共机构通常不入股）</w:t>
            </w:r>
          </w:p>
        </w:tc>
      </w:tr>
      <w:tr w14:paraId="4D66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CA10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持牌金融机构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5C11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香港券商 / 资管、泰国大型银行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5C09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客户 + 资本 + FA 通道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29E8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战略股东（小比例）+ 合资业务</w:t>
            </w:r>
          </w:p>
        </w:tc>
      </w:tr>
      <w:tr w14:paraId="625D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BC7E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专业服务机构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4ACC3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香港律所 / 会计所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AFEE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交付能力补齐 + 转介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1E97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合作联盟，不入股</w:t>
            </w:r>
          </w:p>
        </w:tc>
      </w:tr>
      <w:tr w14:paraId="3280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DF3D9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本地产业伙伴</w:t>
            </w:r>
          </w:p>
        </w:tc>
        <w:tc>
          <w:tcPr>
            <w:tcW w:w="2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9B38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泰国 / 马来 / 澳洲本地财团或上市公司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93F3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落地执行 + 本地政商关系</w:t>
            </w:r>
          </w:p>
        </w:tc>
        <w:tc>
          <w:tcPr>
            <w:tcW w:w="227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37DC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关键资源方给 5–10% 股权</w:t>
            </w:r>
          </w:p>
        </w:tc>
      </w:tr>
    </w:tbl>
    <w:p w14:paraId="6B80760E">
      <w:pPr>
        <w:spacing w:before="0" w:after="60"/>
      </w:pPr>
    </w:p>
    <w:p w14:paraId="669E888B">
      <w:pPr>
        <w:pStyle w:val="3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6.3　股东结构设计原则</w:t>
      </w:r>
    </w:p>
    <w:p w14:paraId="554F855B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初期维持港深两地 50:50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，后续视贡献与关键资源方引入调整；</w:t>
      </w:r>
    </w:p>
    <w:p w14:paraId="6C5FD4EA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预留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10–20% 期权池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，专门给“关键资源方”（本地伙伴、持牌机构、产业资本）；</w:t>
      </w:r>
    </w:p>
    <w:p w14:paraId="7ECA4054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区分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战略资源股东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（小额、强背书、带资源）与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财务股东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（真实出资），避免“股权稀释了却换不来资源”；</w:t>
      </w:r>
    </w:p>
    <w:p w14:paraId="72BD1FE9">
      <w:pPr>
        <w:pStyle w:val="16"/>
        <w:numPr>
          <w:ilvl w:val="0"/>
          <w:numId w:val="3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风控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：政府 / 国资类伙伴直接入股涉及审批，易拖慢节奏——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一律优先用 MOU + 顾问委员会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处理。</w:t>
      </w:r>
    </w:p>
    <w:p w14:paraId="67E12C2A">
      <w:pPr>
        <w:pBdr>
          <w:bottom w:val="single" w:color="D0D7E5" w:sz="6" w:space="1"/>
        </w:pBdr>
        <w:spacing w:before="120" w:after="120"/>
      </w:pPr>
    </w:p>
    <w:p w14:paraId="43EF4A63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七、资质与合规要点（业务架构中前置解决）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100"/>
        <w:gridCol w:w="4026"/>
      </w:tblGrid>
      <w:tr w14:paraId="57C8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195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8E83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E27F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建议处理方式</w:t>
            </w:r>
          </w:p>
        </w:tc>
      </w:tr>
      <w:tr w14:paraId="058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9263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FA 业务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681CE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香港从事证券相关顾问需 SFC 1 / 4 / 6 号牌照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3F9C1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前期</w:t>
            </w: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与持牌机构合作分成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，或直接申请牌照</w:t>
            </w:r>
          </w:p>
        </w:tc>
      </w:tr>
      <w:tr w14:paraId="40FDC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379F6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境内募资 / 基金管理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3367C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需私募基金管理人备案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88AF8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由境外持牌主体承接</w:t>
            </w:r>
          </w:p>
        </w:tc>
      </w:tr>
      <w:tr w14:paraId="2145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A185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公司服务类业务（注册、秘书）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D9F92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需香港 TCSP 牌照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D50FF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自建或与持牌秘书公司合作</w:t>
            </w:r>
          </w:p>
        </w:tc>
      </w:tr>
      <w:tr w14:paraId="37FF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A4ED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数据合规（AI / 医药）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52B4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跨境数据传输合规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026C0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靠生态律所支撑，不自建</w:t>
            </w:r>
          </w:p>
        </w:tc>
      </w:tr>
      <w:tr w14:paraId="7134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91F14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出口管制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B09B7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部分技术 / 设备受限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E05A5"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8"/>
                <w:szCs w:val="18"/>
              </w:rPr>
              <w:t>靠生态律所支撑，不自建</w:t>
            </w:r>
          </w:p>
        </w:tc>
      </w:tr>
    </w:tbl>
    <w:p w14:paraId="59D8B09C">
      <w:pPr>
        <w:pBdr>
          <w:bottom w:val="single" w:color="D0D7E5" w:sz="6" w:space="1"/>
        </w:pBdr>
        <w:spacing w:before="120" w:after="120"/>
      </w:pPr>
    </w:p>
    <w:p w14:paraId="56688F9F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八、总结与下一步</w:t>
      </w:r>
    </w:p>
    <w:p w14:paraId="2566ED8F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一句话总结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070690BD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</w:pP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T 用“香港持牌 + 公共机构背书 + 本地产业伙伴”解决</w:t>
      </w:r>
      <w:r>
        <w:rPr>
          <w:rFonts w:ascii="微软雅黑" w:hAnsi="微软雅黑" w:eastAsia="微软雅黑" w:cs="微软雅黑"/>
          <w:b/>
          <w:bCs/>
          <w:sz w:val="19"/>
          <w:szCs w:val="19"/>
        </w:rPr>
        <w:t>资质与落地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；A 用“政府 / 园区 + 银行 + 产业资本”解决</w:t>
      </w:r>
      <w:r>
        <w:rPr>
          <w:rFonts w:ascii="微软雅黑" w:hAnsi="微软雅黑" w:eastAsia="微软雅黑" w:cs="微软雅黑"/>
          <w:b/>
          <w:bCs/>
          <w:sz w:val="19"/>
          <w:szCs w:val="19"/>
        </w:rPr>
        <w:t>客户与项目源</w:t>
      </w:r>
      <w:r>
        <w:rPr>
          <w:rFonts w:ascii="微软雅黑" w:hAnsi="微软雅黑" w:eastAsia="微软雅黑" w:cs="微软雅黑"/>
          <w:b w:val="0"/>
          <w:bCs w:val="0"/>
          <w:sz w:val="19"/>
          <w:szCs w:val="19"/>
        </w:rPr>
        <w:t>；股东层只让“能持续带资源的伙伴”进来，纯背书关系用 MOU 处理。</w:t>
      </w:r>
    </w:p>
    <w:p w14:paraId="09B29B36">
      <w:pPr>
        <w:spacing w:before="10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下周沟通会待确认事项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7D21F88">
      <w:pPr>
        <w:pStyle w:val="1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五大赛道的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优先级排序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（建议先切工业自动化与机器人 / AI 应用，再补创新药与新能源）；</w:t>
      </w:r>
    </w:p>
    <w:p w14:paraId="5FF44DE1">
      <w:pPr>
        <w:pStyle w:val="1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泰国银行合作案例的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商业化包装方案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由 T 主笔；</w:t>
      </w:r>
    </w:p>
    <w:p w14:paraId="225E83B6">
      <w:pPr>
        <w:pStyle w:val="1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首批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试点企业名单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与 T / A 各自的推进节奏；</w:t>
      </w:r>
    </w:p>
    <w:p w14:paraId="600B55E9">
      <w:pPr>
        <w:pStyle w:val="1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股东结构、期权池比例与关键资源方的绑定原则；</w:t>
      </w:r>
    </w:p>
    <w:p w14:paraId="15711690">
      <w:pPr>
        <w:pStyle w:val="1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下次碰头前需整合的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双方调研成果 + 业务框架 PPT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分工与截止时间。</w:t>
      </w:r>
    </w:p>
    <w:p w14:paraId="497C00D8">
      <w:pPr>
        <w:pStyle w:val="2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附录：关键分析</w:t>
      </w:r>
    </w:p>
    <w:p w14:paraId="60F43E73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下面是本框架本轮深入沟通中的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五项关键决策分析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，供下周沟通会作为决策补充与错位提醒。</w:t>
      </w:r>
    </w:p>
    <w:p w14:paraId="7BBDC694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2　FA 业务的战略定位与香港 6 号牌</w:t>
      </w:r>
    </w:p>
    <w:p w14:paraId="52590AEB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T 的 AEF 资产利用率最高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：其他四个方向都用不上 T 的 AEF 背景，只有 FA 能把它直接变现。</w:t>
      </w:r>
    </w:p>
    <w:p w14:paraId="31A39D5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从获客入口而不仅变现手段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：对创业者来说“帮你融资 + 帮你出海落地”是一个难以拒绝的一站式故事，可以从 FA 入口获客，再导流到咨询包、订单撮合、生态分包。</w:t>
      </w:r>
    </w:p>
    <w:p w14:paraId="07B7A212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不是资管，是服务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：FA 不需要 AUM；香港需 SFC 6 号牌（Advising on Corporate Finance），机构需 2 名 RO + 缴足股本 500 万港元 + 速动资金 300 万港元；个人亦需挂牌。Day1 不可能自建牌。</w:t>
      </w:r>
    </w:p>
    <w:p w14:paraId="4B77BB37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推荐组合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：① 与香港一间有 6 号牌的小型投行/证券商签“联合顾问”合作，分成 60/40 或 60/30/10，1–2 个月跑通；② 纯境外交易（开曼/BVI）在香港之外设 Overseas Advisors 实体，不需牌。</w:t>
      </w:r>
    </w:p>
    <w:p w14:paraId="7C16070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三条必处理红线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：AEF 离职合同的保密/竞业条款先查清；所有步骤走合作方合规流程；认股权事项在 Day1 第一单让律师出意见。</w:t>
      </w:r>
    </w:p>
    <w:p w14:paraId="3E0F06E6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3　工业自动化与机器人 Day1 修正</w:t>
      </w:r>
    </w:p>
    <w:p w14:paraId="3D893193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原案中“灯塔场景 POC + 集成商渠道”需要 Industry Lead + PM + Local BD，与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“属地第一笔订单前不招人”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直接冲突，均不可行。</w:t>
      </w:r>
    </w:p>
    <w:p w14:paraId="37273087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适合 Day1 的四个可卖产品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</w:t>
      </w:r>
    </w:p>
    <w:p w14:paraId="600C598C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跨境撮合（仅牵线不做 PMO）：把客户与集成商拉到一张桌上，促成 POC 合同，收一次性撮合费。</w:t>
      </w:r>
    </w:p>
    <w:p w14:paraId="76D9D7BC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出海落地标准包：架构 + 合规 + 认证路径 + 目标市场进入策略，远程可交付，固定价 15–30 万/单。</w:t>
      </w:r>
    </w:p>
    <w:p w14:paraId="347020C3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订单融资撮合：不出资金，做方案 + 对接，以顾问费 + 方案费取代。</w:t>
      </w:r>
    </w:p>
    <w:p w14:paraId="69322DD3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售后网络搭建包：只卖 SLA 标准 + 授权服务商名录 + 工单派发流程，不自建工程师池不建备件仓。</w:t>
      </w:r>
    </w:p>
    <w:p w14:paraId="13252FE2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4　Digital AI 为什么比工业自动化与机器人更适合 Day1</w:t>
      </w:r>
    </w:p>
    <w:p w14:paraId="4E312C98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客户是本地大企业/政府，决策层直接可见，不需要地推团队。</w:t>
      </w:r>
    </w:p>
    <w:p w14:paraId="4BE91CB3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交付是软件，不需要驻场工程师。</w:t>
      </w:r>
    </w:p>
    <w:p w14:paraId="1F9D80E2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合规与算力可纯远程 + 生态完成。</w:t>
      </w:r>
    </w:p>
    <w:p w14:paraId="0EBCE11E">
      <w:pPr>
        <w:pStyle w:val="6"/>
        <w:numPr>
          <w:ilvl w:val="0"/>
          <w:numId w:val="4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单笔金额可以很大，一个银行 AI 项目就够撑起第一年的收入。</w:t>
      </w:r>
    </w:p>
    <w:p w14:paraId="2BA81251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实战三件套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：灯塔客户共创计划 + 出海落地标准包 + 算力与合规轻顾问。</w:t>
      </w:r>
    </w:p>
    <w:p w14:paraId="53DC315B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5　售后网络：Day1 只卖“规则”不卖“运营”</w:t>
      </w:r>
    </w:p>
    <w:p w14:paraId="12B7F13F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拆两层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：规则层（Overseas 卖）包括 SLA 标准 + 授权服务商名录 + 工单流程 + 客户对接模板；运营层（本地服务商/集成商承接）包括现场工程师、备件仓、售后中心。</w:t>
      </w:r>
    </w:p>
    <w:p w14:paraId="4879382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收费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：一次性搭建费 10–20 万/家厂商 + 工单抽成 10–20%。客户从“产品卖出去了谁来售后”问题，达到“第 4 周能接工单”的质变，这个价值点十足。</w:t>
      </w:r>
    </w:p>
    <w:p w14:paraId="6F15ED4A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工具化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：飞书多维表格 + 微信群 + 共享 Google Sheet 即可跑，不花钱建系统。与集成商渠道是同一张网——被招成渠道的集成商顺带成为授权服务商，能额外提供售后服务质量。</w:t>
      </w:r>
    </w:p>
    <w:p w14:paraId="311BDC9A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招人临界点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：客户 ≥ 3–5 家 / 月工单 ≥ 100 / 需实体备件仓 / 出现质量事故需现场介入。</w:t>
      </w:r>
    </w:p>
    <w:p w14:paraId="7C3ADE51">
      <w:pPr>
        <w:pStyle w:val="3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附录 6　订单融资：Day1 本质是“咨询包 + 撮合”</w:t>
      </w:r>
    </w:p>
    <w:p w14:paraId="3E8B8A58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不出资金不担信用风险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：Overseas 只出方案 + 对接 + 跟进。运作路径：选方案（保理 / 内保外贷 / 订单贷 / 中信保）→准备材料→对接银行/保理商/中信保→跟进审批与放款。全部远程。</w:t>
      </w:r>
    </w:p>
    <w:p w14:paraId="772BA966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Day1 收费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：方案设计费 5–15 万 + 成功融资顾问费·按额 0.5–1.5% + 年度顾问 5–10 万/年。</w:t>
      </w:r>
    </w:p>
    <w:p w14:paraId="0B6F2C2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定位重调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：价值不在收费，在客户粘性 + 数据入口 + 阶段③ 入口——让客户离不开 Overseas，为后期 FA 与股权置换产生追加。</w:t>
      </w:r>
    </w:p>
    <w:p w14:paraId="28E09500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招人临界点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：年单量 ≥ 10 / 累计融资额 ≥ 5 亿 / 客户要求长期稳定的“备付资金池” / 团队具备金融产品设计能力。</w:t>
      </w:r>
    </w:p>
    <w:p w14:paraId="191F787E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上述五项中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附录 2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 xml:space="preserve"> 是对“业务边界”的决策；附录 3、4、5、6 是对“产品定义”的取舍；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Day1 全部依据在 “资源整合”与 “生态分包” 两个能力上，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任何一项跨过临界点的都是资产而不是负担。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7544">
    <w:pPr>
      <w:jc w:val="center"/>
    </w:pPr>
    <w:r>
      <w:rPr>
        <w:rFonts w:ascii="微软雅黑" w:hAnsi="微软雅黑" w:eastAsia="微软雅黑" w:cs="微软雅黑"/>
        <w:color w:val="808080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080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E9BB6">
    <w:pPr>
      <w:pBdr>
        <w:bottom w:val="single" w:color="D0D7E5" w:sz="4" w:space="2"/>
      </w:pBdr>
      <w:jc w:val="right"/>
    </w:pPr>
    <w:r>
      <w:rPr>
        <w:rFonts w:ascii="微软雅黑" w:hAnsi="微软雅黑" w:eastAsia="微软雅黑" w:cs="微软雅黑"/>
        <w:color w:val="808080"/>
        <w:sz w:val="16"/>
        <w:szCs w:val="16"/>
      </w:rPr>
      <w:t>Overseas 出海服务平台 · 业务框架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20" w:hanging="30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abstractNum w:abstractNumId="2">
    <w:nsid w:val="2CD0C2CD"/>
    <w:multiLevelType w:val="singleLevel"/>
    <w:tmpl w:val="2CD0C2C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655F46"/>
    <w:rsid w:val="073E2CE6"/>
    <w:rsid w:val="0D2517A9"/>
    <w:rsid w:val="0EA12B90"/>
    <w:rsid w:val="120D4065"/>
    <w:rsid w:val="15231AB9"/>
    <w:rsid w:val="18756E64"/>
    <w:rsid w:val="19C80559"/>
    <w:rsid w:val="1A5C7701"/>
    <w:rsid w:val="1C9257D9"/>
    <w:rsid w:val="1CA54989"/>
    <w:rsid w:val="1CB80FAA"/>
    <w:rsid w:val="1CBB0B12"/>
    <w:rsid w:val="1D9D21A3"/>
    <w:rsid w:val="207F659D"/>
    <w:rsid w:val="26B372A4"/>
    <w:rsid w:val="27FB53B7"/>
    <w:rsid w:val="2E243345"/>
    <w:rsid w:val="304170A0"/>
    <w:rsid w:val="331D404B"/>
    <w:rsid w:val="34A843EE"/>
    <w:rsid w:val="38FC020D"/>
    <w:rsid w:val="393230D7"/>
    <w:rsid w:val="467C684E"/>
    <w:rsid w:val="46FA78FD"/>
    <w:rsid w:val="47E75388"/>
    <w:rsid w:val="4CE679B9"/>
    <w:rsid w:val="4EB108C9"/>
    <w:rsid w:val="56D552DF"/>
    <w:rsid w:val="58481CE4"/>
    <w:rsid w:val="5A020489"/>
    <w:rsid w:val="5A572B56"/>
    <w:rsid w:val="5A582D49"/>
    <w:rsid w:val="5B2E6224"/>
    <w:rsid w:val="5C611638"/>
    <w:rsid w:val="5CF21924"/>
    <w:rsid w:val="65285B05"/>
    <w:rsid w:val="67793861"/>
    <w:rsid w:val="67AA2321"/>
    <w:rsid w:val="68690833"/>
    <w:rsid w:val="6AFC37DF"/>
    <w:rsid w:val="6BC17AB8"/>
    <w:rsid w:val="6F1502CF"/>
    <w:rsid w:val="76D637B8"/>
    <w:rsid w:val="79956FB8"/>
    <w:rsid w:val="7E5A3C21"/>
    <w:rsid w:val="7ED51DDF"/>
    <w:rsid w:val="7F0C363E"/>
    <w:rsid w:val="7F8547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40" w:line="300" w:lineRule="auto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 w:line="300" w:lineRule="auto"/>
      <w:outlineLvl w:val="1"/>
    </w:pPr>
    <w:rPr>
      <w:rFonts w:ascii="微软雅黑" w:hAnsi="微软雅黑" w:eastAsia="微软雅黑" w:cs="微软雅黑"/>
      <w:b/>
      <w:bCs/>
      <w:color w:val="2E75B6"/>
      <w:sz w:val="23"/>
      <w:szCs w:val="23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1942</Words>
  <Characters>2124</Characters>
  <TotalTime>1</TotalTime>
  <ScaleCrop>false</ScaleCrop>
  <LinksUpToDate>false</LinksUpToDate>
  <CharactersWithSpaces>2340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2026-09-13T11:28:00Z</dcterms:created>
  <dc:creator>Overseas</dc:creator>
  <cp:lastModifiedBy>Anson</cp:lastModifiedBy>
  <dcterms:modified xsi:type="dcterms:W3CDTF">2026-09-18T12:44:14Z</dcterms:modified>
  <dc:title>Overseas 出海服务平台 · 业务框架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B68A14D5CE9A4A16AE74ED8C224F29CE_13</vt:lpwstr>
  </property>
</Properties>
</file>