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444127">
      <w:pPr>
        <w:spacing w:before="0" w:after="80"/>
        <w:jc w:val="center"/>
      </w:pPr>
      <w:r>
        <w:rPr>
          <w:rFonts w:ascii="微软雅黑" w:hAnsi="微软雅黑" w:eastAsia="微软雅黑" w:cs="微软雅黑"/>
          <w:b/>
          <w:bCs/>
          <w:color w:val="1F3864"/>
          <w:sz w:val="40"/>
          <w:szCs w:val="40"/>
        </w:rPr>
        <w:t>Overseas 出海服务平台 · 业务框架</w:t>
      </w:r>
    </w:p>
    <w:p w14:paraId="7B8E383C">
      <w:pPr>
        <w:pBdr>
          <w:bottom w:val="single" w:color="2E75B6" w:sz="12" w:space="1"/>
        </w:pBdr>
        <w:spacing w:before="0" w:after="160"/>
      </w:pPr>
    </w:p>
    <w:p w14:paraId="487F385D">
      <w:pPr>
        <w:pStyle w:val="2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一、定位与背景</w:t>
      </w:r>
    </w:p>
    <w:p w14:paraId="6DDF2F0D">
      <w:pPr>
        <w:spacing w:before="60" w:after="60" w:line="30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一句话定位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 xml:space="preserve">：Overseas 是国内出海企业与海外资源（银行、金融机构、企业客户、政府机构）之间的“中间赋能”平台——T </w:t>
      </w:r>
      <w:r>
        <w:rPr>
          <w:rFonts w:hint="eastAsia" w:cs="微软雅黑"/>
          <w:b w:val="0"/>
          <w:bCs w:val="0"/>
          <w:sz w:val="21"/>
          <w:szCs w:val="21"/>
          <w:lang w:val="en-US" w:eastAsia="zh-CN"/>
        </w:rPr>
        <w:t>负责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海外</w:t>
      </w:r>
      <w:bookmarkStart w:id="0" w:name="_GoBack"/>
      <w:bookmarkEnd w:id="0"/>
      <w:r>
        <w:rPr>
          <w:rFonts w:hint="eastAsia" w:cs="微软雅黑"/>
          <w:b w:val="0"/>
          <w:bCs w:val="0"/>
          <w:sz w:val="21"/>
          <w:szCs w:val="21"/>
          <w:lang w:val="en-US" w:eastAsia="zh-CN"/>
        </w:rPr>
        <w:t>资源协调，来交付客户服务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 xml:space="preserve">，A </w:t>
      </w:r>
      <w:r>
        <w:rPr>
          <w:rFonts w:hint="eastAsia" w:cs="微软雅黑"/>
          <w:b w:val="0"/>
          <w:bCs w:val="0"/>
          <w:sz w:val="21"/>
          <w:szCs w:val="21"/>
          <w:lang w:val="en-US" w:eastAsia="zh-CN"/>
        </w:rPr>
        <w:t>负责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国内</w:t>
      </w:r>
      <w:r>
        <w:rPr>
          <w:rFonts w:hint="eastAsia" w:cs="微软雅黑"/>
          <w:b w:val="0"/>
          <w:bCs w:val="0"/>
          <w:sz w:val="21"/>
          <w:szCs w:val="21"/>
          <w:lang w:val="en-US" w:eastAsia="zh-CN"/>
        </w:rPr>
        <w:t>客户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触达。</w:t>
      </w:r>
    </w:p>
    <w:p w14:paraId="1E4D9E14">
      <w:pPr>
        <w:spacing w:before="60" w:after="60" w:line="30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底层逻辑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（电话沟通已达成共识）：</w:t>
      </w:r>
    </w:p>
    <w:p w14:paraId="39AB15A9">
      <w:pPr>
        <w:pStyle w:val="16"/>
        <w:numPr>
          <w:ilvl w:val="0"/>
          <w:numId w:val="1"/>
        </w:numPr>
        <w:spacing w:before="40" w:after="40" w:line="300" w:lineRule="auto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港深两地各设一家合资公司，初期各持 50%；</w:t>
      </w:r>
    </w:p>
    <w:p w14:paraId="1E208BDC">
      <w:pPr>
        <w:pStyle w:val="16"/>
        <w:numPr>
          <w:ilvl w:val="0"/>
          <w:numId w:val="1"/>
        </w:numPr>
        <w:spacing w:before="40" w:after="40" w:line="300" w:lineRule="auto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聚焦</w:t>
      </w:r>
      <w:r>
        <w:rPr>
          <w:rFonts w:ascii="微软雅黑" w:hAnsi="微软雅黑" w:eastAsia="微软雅黑" w:cs="微软雅黑"/>
          <w:b/>
          <w:bCs/>
          <w:sz w:val="21"/>
          <w:szCs w:val="21"/>
        </w:rPr>
        <w:t>科技型企业出海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的专业服务；</w:t>
      </w:r>
    </w:p>
    <w:p w14:paraId="10817E4E">
      <w:pPr>
        <w:pStyle w:val="16"/>
        <w:numPr>
          <w:ilvl w:val="0"/>
          <w:numId w:val="1"/>
        </w:numPr>
        <w:spacing w:before="40" w:after="40" w:line="300" w:lineRule="auto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客户分三阶段经营，服务由轻到重，收费由免费到股权。</w:t>
      </w:r>
    </w:p>
    <w:p w14:paraId="2468D9F1">
      <w:pPr>
        <w:pBdr>
          <w:bottom w:val="single" w:color="D0D7E5" w:sz="6" w:space="1"/>
        </w:pBdr>
        <w:spacing w:before="120" w:after="120"/>
      </w:pPr>
    </w:p>
    <w:p w14:paraId="57638EEA">
      <w:pPr>
        <w:pStyle w:val="2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二、聚焦赛道与选择逻辑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1500"/>
        <w:gridCol w:w="3100"/>
        <w:gridCol w:w="3026"/>
      </w:tblGrid>
      <w:tr w14:paraId="16592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5AF459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赛道</w:t>
            </w:r>
          </w:p>
        </w:tc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3318EB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出海形态</w:t>
            </w:r>
          </w:p>
        </w:tc>
        <w:tc>
          <w:tcPr>
            <w:tcW w:w="3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AD15B7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核心痛点</w:t>
            </w:r>
          </w:p>
        </w:tc>
        <w:tc>
          <w:tcPr>
            <w:tcW w:w="30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2344BE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对 Overseas 的价值</w:t>
            </w:r>
          </w:p>
        </w:tc>
      </w:tr>
      <w:tr w14:paraId="79F1D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2327D9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工业自动化与机器人</w:t>
            </w:r>
          </w:p>
        </w:tc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A30455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产品 + 集成出海</w:t>
            </w:r>
          </w:p>
        </w:tc>
        <w:tc>
          <w:tcPr>
            <w:tcW w:w="3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4BA5F8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本地场景验证、集成商渠道、认证合规；缺海外售后网络</w:t>
            </w:r>
          </w:p>
        </w:tc>
        <w:tc>
          <w:tcPr>
            <w:tcW w:w="30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30254B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中国成本优势最硬，东南亚制造业升级刚需，标准化程度高、可复制</w:t>
            </w:r>
          </w:p>
        </w:tc>
      </w:tr>
      <w:tr w14:paraId="498DF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6FFEB1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Digital AI 应用</w:t>
            </w:r>
          </w:p>
        </w:tc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D41CAE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产品 / 解决方案出海</w:t>
            </w:r>
          </w:p>
        </w:tc>
        <w:tc>
          <w:tcPr>
            <w:tcW w:w="3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0414BA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本地化部署（语言、数据合规）、标杆客户获取、算力与云</w:t>
            </w:r>
          </w:p>
        </w:tc>
        <w:tc>
          <w:tcPr>
            <w:tcW w:w="30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277824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东南亚缺 AI 生态、欧美方案贵，是 T 判断的直接落点</w:t>
            </w:r>
          </w:p>
        </w:tc>
      </w:tr>
      <w:tr w14:paraId="66EAD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158793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具身智能</w:t>
            </w:r>
          </w:p>
        </w:tc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383CA9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技术合作 + 早期出海</w:t>
            </w:r>
          </w:p>
        </w:tc>
        <w:tc>
          <w:tcPr>
            <w:tcW w:w="3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D80CE0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联合研发、场景数据、样机试点、技术授权</w:t>
            </w:r>
          </w:p>
        </w:tc>
        <w:tc>
          <w:tcPr>
            <w:tcW w:w="30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B194F1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早期但资本关注度高，是 FA + 股权置换的最佳标的池</w:t>
            </w:r>
          </w:p>
        </w:tc>
      </w:tr>
      <w:tr w14:paraId="0FC17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062EC8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创新药 License-out</w:t>
            </w:r>
          </w:p>
        </w:tc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E86BEA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IP 出海</w:t>
            </w: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（非实体出海）</w:t>
            </w:r>
          </w:p>
        </w:tc>
        <w:tc>
          <w:tcPr>
            <w:tcW w:w="3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07FFB0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BD 撮合、跨境 IP 架构与税务、里程碑付款设计、海外注册</w:t>
            </w:r>
          </w:p>
        </w:tc>
        <w:tc>
          <w:tcPr>
            <w:tcW w:w="30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9BBCB9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单笔价值极高，香港 18A 是天然跳板，是香港资源最高效的变现场景</w:t>
            </w:r>
          </w:p>
        </w:tc>
      </w:tr>
      <w:tr w14:paraId="24DBC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5EB654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新能源 / 数字经济</w:t>
            </w:r>
          </w:p>
        </w:tc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1C9819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项目 + 重资产出海</w:t>
            </w:r>
          </w:p>
        </w:tc>
        <w:tc>
          <w:tcPr>
            <w:tcW w:w="3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E25C58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项目开发与 EPC 伙伴、项目融资、牌照与并网、IRA / CBAM 合规</w:t>
            </w:r>
          </w:p>
        </w:tc>
        <w:tc>
          <w:tcPr>
            <w:tcW w:w="30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B2C0CB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单项目金额大，项目融资顾问费可观，能带动银行资源</w:t>
            </w:r>
          </w:p>
        </w:tc>
      </w:tr>
    </w:tbl>
    <w:p w14:paraId="62A433C2">
      <w:pPr>
        <w:spacing w:before="0" w:after="60"/>
      </w:pPr>
    </w:p>
    <w:p w14:paraId="0C6A79F3">
      <w:pPr>
        <w:pBdr>
          <w:left w:val="single" w:color="2E75B6" w:sz="12" w:space="8"/>
        </w:pBdr>
        <w:shd w:val="clear" w:fill="F2F6FC"/>
        <w:spacing w:before="100" w:after="140" w:line="280" w:lineRule="auto"/>
        <w:ind w:left="240" w:right="120"/>
      </w:pPr>
      <w:r>
        <w:rPr>
          <w:rFonts w:ascii="微软雅黑" w:hAnsi="微软雅黑" w:eastAsia="微软雅黑" w:cs="微软雅黑"/>
          <w:b/>
          <w:bCs/>
          <w:sz w:val="19"/>
          <w:szCs w:val="19"/>
        </w:rPr>
        <w:t>关键判断</w:t>
      </w:r>
      <w:r>
        <w:rPr>
          <w:rFonts w:ascii="微软雅黑" w:hAnsi="微软雅黑" w:eastAsia="微软雅黑" w:cs="微软雅黑"/>
          <w:b w:val="0"/>
          <w:bCs w:val="0"/>
          <w:sz w:val="19"/>
          <w:szCs w:val="19"/>
        </w:rPr>
        <w:t>：这五类客户恰好是“愿意为专业服务付费、且能把服务费转化为股权”的群体，与行业报告中“企业最愿付费的五项——财税 64%、政策 57%、法律 48%、融资 42%、资源对接 39%”重合。</w:t>
      </w:r>
    </w:p>
    <w:p w14:paraId="791A548F">
      <w:pPr>
        <w:pBdr>
          <w:bottom w:val="single" w:color="D0D7E5" w:sz="6" w:space="1"/>
        </w:pBdr>
        <w:spacing w:before="120" w:after="120"/>
      </w:pPr>
    </w:p>
    <w:p w14:paraId="67F80320">
      <w:pPr>
        <w:pStyle w:val="2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三、分阶段服务矩阵</w:t>
      </w:r>
    </w:p>
    <w:p w14:paraId="25A8BFF9">
      <w:pPr>
        <w:pStyle w:val="3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3.1　通用底盘（三阶段）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0"/>
        <w:gridCol w:w="1300"/>
        <w:gridCol w:w="1350"/>
        <w:gridCol w:w="2900"/>
        <w:gridCol w:w="1500"/>
        <w:gridCol w:w="1156"/>
      </w:tblGrid>
      <w:tr w14:paraId="123B9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3996BA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阶段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758809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客户状态</w:t>
            </w:r>
          </w:p>
        </w:tc>
        <w:tc>
          <w:tcPr>
            <w:tcW w:w="13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43E574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核心痛点</w:t>
            </w:r>
          </w:p>
        </w:tc>
        <w:tc>
          <w:tcPr>
            <w:tcW w:w="2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F7A6D9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Overseas 服务产品</w:t>
            </w:r>
          </w:p>
        </w:tc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E60A3A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收费模式</w:t>
            </w:r>
          </w:p>
        </w:tc>
        <w:tc>
          <w:tcPr>
            <w:tcW w:w="11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53C34B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主责</w:t>
            </w:r>
          </w:p>
        </w:tc>
      </w:tr>
      <w:tr w14:paraId="22082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A7B2C6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① 启蒙期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B207C4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有想法未行动</w:t>
            </w:r>
          </w:p>
        </w:tc>
        <w:tc>
          <w:tcPr>
            <w:tcW w:w="13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F74EAD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不知从哪走、政策不熟（57%）</w:t>
            </w:r>
          </w:p>
        </w:tc>
        <w:tc>
          <w:tcPr>
            <w:tcW w:w="2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A1CE2F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免费 Workshop、国别市场研究报告、出海自测诊断、政策解读会、合规红线清单</w:t>
            </w:r>
          </w:p>
        </w:tc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F45553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免费 / 低价（蓄客）</w:t>
            </w:r>
          </w:p>
        </w:tc>
        <w:tc>
          <w:tcPr>
            <w:tcW w:w="11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806F1B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A 组织，T 出内容</w:t>
            </w:r>
          </w:p>
        </w:tc>
      </w:tr>
      <w:tr w14:paraId="00815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C25240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② 进入期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574D33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决定出海 / 刚落地</w:t>
            </w:r>
          </w:p>
        </w:tc>
        <w:tc>
          <w:tcPr>
            <w:tcW w:w="13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177B59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架构、合规、渠道、人才（合规 3.53、人才 3.52）</w:t>
            </w:r>
          </w:p>
        </w:tc>
        <w:tc>
          <w:tcPr>
            <w:tcW w:w="2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2ACEBA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① 跨境架构设计（港 / 新控股 + ODI 协同）</w:t>
            </w:r>
          </w:p>
          <w:p w14:paraId="0604DB08">
            <w:pPr>
              <w:spacing w:before="5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② 目标市场落地（注册、牌照、税务、劳动法）</w:t>
            </w:r>
          </w:p>
          <w:p w14:paraId="6F169E65">
            <w:pPr>
              <w:spacing w:before="5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③ 渠道搭建（分销商 / 集成商招募撮合）</w:t>
            </w:r>
          </w:p>
          <w:p w14:paraId="64A56ABB">
            <w:pPr>
              <w:spacing w:before="5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④ 场景 POC 试点（泰国银行模式复用）</w:t>
            </w:r>
          </w:p>
          <w:p w14:paraId="19E9940C">
            <w:pPr>
              <w:spacing w:before="5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⑤ 财税合规（外包给生态会计所 / 律所）</w:t>
            </w:r>
          </w:p>
          <w:p w14:paraId="3F82DAEC">
            <w:pPr>
              <w:spacing w:before="5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⑥ 人才与组织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</w:rPr>
              <w:t>⑦ 授权集成服务商池搭建（澳/泰/马各 3–5 家）</w:t>
            </w:r>
          </w:p>
          <w:p w14:paraId="6C0F1A01">
            <w:pPr>
              <w:spacing w:before="5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</w:rPr>
              <w:t>⑧ FDE 配套生态（Digital AI：FDE 主力 base 境内，由 A 负责联络触达境内 FDE 池；海外现场配合伙伴由 T 搭建）</w:t>
            </w:r>
          </w:p>
        </w:tc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DA922D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固定顾问费 + 落地项目费 + 生态分包佣金</w:t>
            </w:r>
          </w:p>
        </w:tc>
        <w:tc>
          <w:tcPr>
            <w:tcW w:w="11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34DBFD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T 交付海外，A 对接企业</w:t>
            </w:r>
          </w:p>
        </w:tc>
      </w:tr>
      <w:tr w14:paraId="2AD8F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66F2E5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③ 扩张期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618C24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已运营、要放大</w:t>
            </w:r>
          </w:p>
        </w:tc>
        <w:tc>
          <w:tcPr>
            <w:tcW w:w="13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46FFF9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融资、上市、供应链、并购（融资需求 42%）</w:t>
            </w:r>
          </w:p>
        </w:tc>
        <w:tc>
          <w:tcPr>
            <w:tcW w:w="2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CA2840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① 跨境融资 FA（VC / PE / CVC / 家办 / 美元基金）</w:t>
            </w:r>
          </w:p>
          <w:p w14:paraId="1A89F2BF">
            <w:pPr>
              <w:spacing w:before="5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② 上市辅导（港股 18A / 18C、A+H、ASX）</w:t>
            </w:r>
          </w:p>
          <w:p w14:paraId="2291CB7D">
            <w:pPr>
              <w:spacing w:before="5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③ 产能与供应链出海（建厂 / 合资）</w:t>
            </w:r>
          </w:p>
          <w:p w14:paraId="08F24904">
            <w:pPr>
              <w:spacing w:before="5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④ 品牌 PR 与政府关系</w:t>
            </w:r>
          </w:p>
        </w:tc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047697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FA 3–4% + 股权置换 5–10%</w:t>
            </w:r>
          </w:p>
        </w:tc>
        <w:tc>
          <w:tcPr>
            <w:tcW w:w="11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26BC5D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T 找资本，A 找项目</w:t>
            </w:r>
          </w:p>
        </w:tc>
      </w:tr>
    </w:tbl>
    <w:p w14:paraId="2D566567">
      <w:pPr>
        <w:spacing w:before="0" w:after="60"/>
      </w:pPr>
    </w:p>
    <w:p w14:paraId="656D216D">
      <w:pPr>
        <w:pStyle w:val="3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3.2　行业差异模块（在通用底盘上加挂）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3900"/>
        <w:gridCol w:w="3626"/>
      </w:tblGrid>
      <w:tr w14:paraId="6C4EE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F02E3C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赛道</w:t>
            </w:r>
          </w:p>
        </w:tc>
        <w:tc>
          <w:tcPr>
            <w:tcW w:w="3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24092F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阶段② 专属模块</w:t>
            </w:r>
          </w:p>
        </w:tc>
        <w:tc>
          <w:tcPr>
            <w:tcW w:w="3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2DE291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阶段③ 专属模块</w:t>
            </w:r>
          </w:p>
        </w:tc>
      </w:tr>
      <w:tr w14:paraId="3F220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81056D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工业自动化与机器人</w:t>
            </w:r>
          </w:p>
        </w:tc>
        <w:tc>
          <w:tcPr>
            <w:tcW w:w="3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21EDA5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CE / UL 等安规认证、系统集成商招募、售后网络搭建</w:t>
            </w:r>
          </w:p>
        </w:tc>
        <w:tc>
          <w:tcPr>
            <w:tcW w:w="3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2BB777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合资建厂、海外订单融资</w:t>
            </w:r>
          </w:p>
        </w:tc>
      </w:tr>
      <w:tr w14:paraId="3D109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C87595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Digital AI</w:t>
            </w:r>
          </w:p>
        </w:tc>
        <w:tc>
          <w:tcPr>
            <w:tcW w:w="3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82C06E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数据跨境合规方案、标杆客户 POC、云与算力对接</w:t>
            </w:r>
          </w:p>
        </w:tc>
        <w:tc>
          <w:tcPr>
            <w:tcW w:w="3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199557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本地合资、SaaS 出海融资</w:t>
            </w:r>
          </w:p>
        </w:tc>
      </w:tr>
      <w:tr w14:paraId="7D5D7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DFF19F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具身智能</w:t>
            </w:r>
          </w:p>
        </w:tc>
        <w:tc>
          <w:tcPr>
            <w:tcW w:w="3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4BBE9E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联合实验室 / 试点场景撮合、技术授权架构</w:t>
            </w:r>
          </w:p>
        </w:tc>
        <w:tc>
          <w:tcPr>
            <w:tcW w:w="3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24D21C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早期轮 FA（最易转股权）</w:t>
            </w:r>
          </w:p>
        </w:tc>
      </w:tr>
      <w:tr w14:paraId="1FF8B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4C1741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创新药 License-out</w:t>
            </w:r>
          </w:p>
        </w:tc>
        <w:tc>
          <w:tcPr>
            <w:tcW w:w="3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E40CCC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BD 撮合与谈判顾问、跨境 IP 架构与税务、NewCo / 里程碑付款设计</w:t>
            </w:r>
          </w:p>
        </w:tc>
        <w:tc>
          <w:tcPr>
            <w:tcW w:w="3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E253AF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港股 18A 上市辅导、后续并购退出</w:t>
            </w:r>
          </w:p>
        </w:tc>
      </w:tr>
      <w:tr w14:paraId="25C66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C4CC45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新能源 / 数字经济</w:t>
            </w:r>
          </w:p>
        </w:tc>
        <w:tc>
          <w:tcPr>
            <w:tcW w:w="3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5CF2E7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项目开发与 EPC 伙伴撮合、本地牌照与并网</w:t>
            </w:r>
          </w:p>
        </w:tc>
        <w:tc>
          <w:tcPr>
            <w:tcW w:w="3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8B82C5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项目融资顾问（银行资源变现主力）</w:t>
            </w:r>
          </w:p>
        </w:tc>
      </w:tr>
    </w:tbl>
    <w:p w14:paraId="7C3ABA23">
      <w:pPr>
        <w:spacing w:before="0" w:after="60"/>
      </w:pPr>
    </w:p>
    <w:p w14:paraId="3D4C4593">
      <w:pPr>
        <w:pStyle w:val="3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3.3　变现路径（四层递进）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60555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8B33B30">
            <w:pPr>
              <w:spacing w:before="0" w:after="6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0"/>
                <w:szCs w:val="20"/>
              </w:rPr>
              <w:t>免费 Workshop 引流   →   固定收费顾问服务   →   FA 按融资额 3–4%   →   长期股权置换 5–10%</w:t>
            </w:r>
          </w:p>
          <w:p w14:paraId="5E642F8A">
            <w:pPr>
              <w:spacing w:before="0"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color w:val="595959"/>
                <w:sz w:val="17"/>
                <w:szCs w:val="17"/>
              </w:rPr>
              <w:t>（蓄客、建池）            （现金流、验证能力）            （单笔高毛利）            （长期资产、最大收益）</w:t>
            </w:r>
          </w:p>
        </w:tc>
      </w:tr>
    </w:tbl>
    <w:p w14:paraId="18DD677D">
      <w:pPr>
        <w:spacing w:before="0" w:after="60"/>
      </w:pPr>
    </w:p>
    <w:p w14:paraId="133DC114">
      <w:pPr>
        <w:pBdr>
          <w:bottom w:val="single" w:color="D0D7E5" w:sz="6" w:space="1"/>
        </w:pBdr>
        <w:spacing w:before="120" w:after="120"/>
      </w:pPr>
    </w:p>
    <w:p w14:paraId="1D21D49B">
      <w:pPr>
        <w:pStyle w:val="3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3.4　Day1 五件套（落地执行方案）</w:t>
      </w:r>
    </w:p>
    <w:p w14:paraId="5CA590FD">
      <w:pPr>
        <w:spacing w:before="60" w:after="60" w:line="300" w:lineRule="auto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本节在原服务矩阵上加挂 Day1 可落地的五个业务、团队编制、收费模式、收入预估与动作时间线，与前三节的三阶段服务产品互为补充。</w:t>
      </w:r>
    </w:p>
    <w:p w14:paraId="37CBDE14">
      <w:pPr>
        <w:spacing w:before="60" w:after="60" w:line="30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原则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：属地第一笔订单签约前不招聘属地人员；全公司半年内除 T 外最多加 1 人；A 侧第一笔回款前除 A 及其相关资源外不招人。</w:t>
      </w:r>
    </w:p>
    <w:p w14:paraId="3D263082">
      <w:pPr>
        <w:pStyle w:val="4"/>
      </w:pPr>
      <w:r>
        <w:rPr>
          <w:rFonts w:ascii="微软雅黑" w:hAnsi="微软雅黑" w:eastAsia="微软雅黑" w:cs="微软雅黑"/>
          <w:b/>
          <w:bCs/>
          <w:sz w:val="19"/>
          <w:szCs w:val="19"/>
        </w:rPr>
        <w:t>3.4.1　团队编制与角色划分</w:t>
      </w:r>
    </w:p>
    <w:tbl>
      <w:tblPr>
        <w:tblStyle w:val="11"/>
        <w:tblW w:w="8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1200"/>
        <w:gridCol w:w="5000"/>
        <w:gridCol w:w="1100"/>
      </w:tblGrid>
      <w:tr w14:paraId="06C1A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A55498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角色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69BC54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归属</w:t>
            </w:r>
          </w:p>
        </w:tc>
        <w:tc>
          <w:tcPr>
            <w:tcW w:w="5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761394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承载职责</w:t>
            </w:r>
          </w:p>
        </w:tc>
        <w:tc>
          <w:tcPr>
            <w:tcW w:w="1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FDA195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人数</w:t>
            </w:r>
          </w:p>
        </w:tc>
      </w:tr>
      <w:tr w14:paraId="6141A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13AB3A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T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769FE5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港深双地核心</w:t>
            </w:r>
          </w:p>
        </w:tc>
        <w:tc>
          <w:tcPr>
            <w:tcW w:w="5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54CAFD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跨境策划、渠道对接、生态协调、生意推进；后期兼任临时 FA/Partner 接触人</w:t>
            </w:r>
          </w:p>
        </w:tc>
        <w:tc>
          <w:tcPr>
            <w:tcW w:w="1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FA1BCC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1人</w:t>
            </w:r>
          </w:p>
        </w:tc>
      </w:tr>
      <w:tr w14:paraId="790C0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0A8DAE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业务交付助理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55E935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香港端</w:t>
            </w:r>
          </w:p>
        </w:tc>
        <w:tc>
          <w:tcPr>
            <w:tcW w:w="5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9D42EE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商务材料、订单管理、生态供应商协调、会议与日程</w:t>
            </w:r>
          </w:p>
        </w:tc>
        <w:tc>
          <w:tcPr>
            <w:tcW w:w="1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877185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1人</w:t>
            </w:r>
          </w:p>
        </w:tc>
      </w:tr>
      <w:tr w14:paraId="771E0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09B9D6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A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A9C9B1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境内端</w:t>
            </w:r>
          </w:p>
        </w:tc>
        <w:tc>
          <w:tcPr>
            <w:tcW w:w="5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05DFEB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获客、诊断、报价、签约前全过程</w:t>
            </w:r>
          </w:p>
        </w:tc>
        <w:tc>
          <w:tcPr>
            <w:tcW w:w="1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BF3677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1人</w:t>
            </w:r>
          </w:p>
        </w:tc>
      </w:tr>
      <w:tr w14:paraId="52E2A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0EC7BC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A 的资源圈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F43FFB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联动</w:t>
            </w:r>
          </w:p>
        </w:tc>
        <w:tc>
          <w:tcPr>
            <w:tcW w:w="5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682B99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政府/协会/银行/校友/原业主转介，不占编制</w:t>
            </w:r>
          </w:p>
        </w:tc>
        <w:tc>
          <w:tcPr>
            <w:tcW w:w="1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C321D9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多位外部伙伴</w:t>
            </w:r>
          </w:p>
        </w:tc>
      </w:tr>
      <w:tr w14:paraId="146F9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5ABB57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属地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2E0D3F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未启动</w:t>
            </w:r>
          </w:p>
        </w:tc>
        <w:tc>
          <w:tcPr>
            <w:tcW w:w="5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19CE63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第一笔订单签约前不招聘；到期后启动 +1</w:t>
            </w:r>
          </w:p>
        </w:tc>
        <w:tc>
          <w:tcPr>
            <w:tcW w:w="1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535BC2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0 → 1</w:t>
            </w:r>
          </w:p>
        </w:tc>
      </w:tr>
    </w:tbl>
    <w:p w14:paraId="5E258236">
      <w:pPr>
        <w:spacing w:before="60" w:after="60" w:line="30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解释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：不把属地当作“需要拔人的地方”，而是“需要 partner 承接的地方”；资源整合优先于人员扩充。</w:t>
      </w:r>
    </w:p>
    <w:p w14:paraId="5F009685">
      <w:pPr>
        <w:pStyle w:val="4"/>
      </w:pPr>
      <w:r>
        <w:rPr>
          <w:rFonts w:ascii="微软雅黑" w:hAnsi="微软雅黑" w:eastAsia="微软雅黑" w:cs="微软雅黑"/>
          <w:b/>
          <w:bCs/>
          <w:sz w:val="19"/>
          <w:szCs w:val="19"/>
        </w:rPr>
        <w:t>3.4.2　五个业务、交付与收费</w:t>
      </w:r>
    </w:p>
    <w:tbl>
      <w:tblPr>
        <w:tblStyle w:val="11"/>
        <w:tblW w:w="89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1700"/>
        <w:gridCol w:w="2300"/>
        <w:gridCol w:w="2526"/>
      </w:tblGrid>
      <w:tr w14:paraId="51914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0D9C64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业务</w:t>
            </w:r>
          </w:p>
        </w:tc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803C6B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性质</w:t>
            </w:r>
          </w:p>
        </w:tc>
        <w:tc>
          <w:tcPr>
            <w:tcW w:w="2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854DC2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谁交付</w:t>
            </w:r>
          </w:p>
        </w:tc>
        <w:tc>
          <w:tcPr>
            <w:tcW w:w="25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C78DD1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收费模式</w:t>
            </w:r>
          </w:p>
        </w:tc>
      </w:tr>
      <w:tr w14:paraId="788ED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E9692E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①跨境撮合（订单+集成商介绍）</w:t>
            </w:r>
          </w:p>
        </w:tc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23EC44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介绍人 + 成功佣金</w:t>
            </w:r>
          </w:p>
        </w:tc>
        <w:tc>
          <w:tcPr>
            <w:tcW w:w="2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16AFE6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T</w:t>
            </w:r>
          </w:p>
        </w:tc>
        <w:tc>
          <w:tcPr>
            <w:tcW w:w="25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3D656B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定位费 5–10万 + 里程碑 10–20万 + 成功佣金·首年 8–12%（按回款）</w:t>
            </w:r>
          </w:p>
        </w:tc>
      </w:tr>
      <w:tr w14:paraId="5DD34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72F5E8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②标准化咨询包（架构/合规/进入策略）</w:t>
            </w:r>
          </w:p>
        </w:tc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9CCB09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固定价标准包</w:t>
            </w:r>
          </w:p>
        </w:tc>
        <w:tc>
          <w:tcPr>
            <w:tcW w:w="2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A78319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T 为主 + 生态</w:t>
            </w:r>
          </w:p>
        </w:tc>
        <w:tc>
          <w:tcPr>
            <w:tcW w:w="25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CFAD86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L1 免费/1–2万；L2 单模块 3–8万；L3 完整包 15–30万；加转年度顾问 10–20万/年</w:t>
            </w:r>
          </w:p>
        </w:tc>
      </w:tr>
      <w:tr w14:paraId="7D5B2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293349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③生态分包交付（律所/会计所/认证/银行）</w:t>
            </w:r>
          </w:p>
        </w:tc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519D86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总包 + 加价</w:t>
            </w:r>
          </w:p>
        </w:tc>
        <w:tc>
          <w:tcPr>
            <w:tcW w:w="2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AB3AFF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生态出意见 + T 做总集</w:t>
            </w:r>
          </w:p>
        </w:tc>
        <w:tc>
          <w:tcPr>
            <w:tcW w:w="25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008B09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对客户总包 × 1.3–1.5；认证 PM × 1.15–1.25；融资顾问 0.5–1.5%（按额）</w:t>
            </w:r>
          </w:p>
        </w:tc>
      </w:tr>
      <w:tr w14:paraId="416A7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2EB057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④售后网络搭建包（新加）</w:t>
            </w:r>
          </w:p>
        </w:tc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B10E29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标准化产品</w:t>
            </w:r>
          </w:p>
        </w:tc>
        <w:tc>
          <w:tcPr>
            <w:tcW w:w="2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229144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T + 本地服务商</w:t>
            </w:r>
          </w:p>
        </w:tc>
        <w:tc>
          <w:tcPr>
            <w:tcW w:w="25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B52BAC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搭建费 10–20万/家 + 工单抽成 10–20%；购买人需有合同期锁定使用</w:t>
            </w:r>
          </w:p>
        </w:tc>
      </w:tr>
      <w:tr w14:paraId="13AA4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E99417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⑤订单融资撮合（新加）</w:t>
            </w:r>
          </w:p>
        </w:tc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C47B76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咨询 + 成功佣金</w:t>
            </w:r>
          </w:p>
        </w:tc>
        <w:tc>
          <w:tcPr>
            <w:tcW w:w="2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A74878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T + 律所/银行</w:t>
            </w:r>
          </w:p>
        </w:tc>
        <w:tc>
          <w:tcPr>
            <w:tcW w:w="25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641B32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方案设计 5–15万 + 顾问费 · 融资额 0.5–1.5%；后续年顾问 5–10万/年</w:t>
            </w:r>
          </w:p>
        </w:tc>
      </w:tr>
    </w:tbl>
    <w:p w14:paraId="47A0A2D8">
      <w:pPr>
        <w:spacing w:before="60" w:after="60" w:line="30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三个不动的边界：不卖设备、不做系统集成、不出资金不压货；三个都要求：所有收费与合同边界写清、主体清晰、金额合规、不碰现金、不碰记名（FCPA/UKBA 红线）。</w:t>
      </w:r>
    </w:p>
    <w:p w14:paraId="4CF25721">
      <w:pPr>
        <w:pStyle w:val="4"/>
      </w:pPr>
      <w:r>
        <w:rPr>
          <w:rFonts w:ascii="微软雅黑" w:hAnsi="微软雅黑" w:eastAsia="微软雅黑" w:cs="微软雅黑"/>
          <w:b/>
          <w:bCs/>
          <w:sz w:val="19"/>
          <w:szCs w:val="19"/>
        </w:rPr>
        <w:t>3.4.3　半年收入预估</w:t>
      </w:r>
    </w:p>
    <w:tbl>
      <w:tblPr>
        <w:tblStyle w:val="11"/>
        <w:tblW w:w="89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700"/>
        <w:gridCol w:w="2300"/>
        <w:gridCol w:w="2726"/>
      </w:tblGrid>
      <w:tr w14:paraId="0136C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25BBAC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业务</w:t>
            </w:r>
          </w:p>
        </w:tc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B9E776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半年单量估算</w:t>
            </w:r>
          </w:p>
        </w:tc>
        <w:tc>
          <w:tcPr>
            <w:tcW w:w="2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D4B6F3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单笔收费</w:t>
            </w:r>
          </w:p>
        </w:tc>
        <w:tc>
          <w:tcPr>
            <w:tcW w:w="27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43EF95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半年收入估算</w:t>
            </w:r>
          </w:p>
        </w:tc>
      </w:tr>
      <w:tr w14:paraId="10F3E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995BE1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① 跨境撮合</w:t>
            </w:r>
          </w:p>
        </w:tc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21EA7E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1–3 单</w:t>
            </w:r>
          </w:p>
        </w:tc>
        <w:tc>
          <w:tcPr>
            <w:tcW w:w="2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CB8A57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50–400 万</w:t>
            </w:r>
          </w:p>
        </w:tc>
        <w:tc>
          <w:tcPr>
            <w:tcW w:w="27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A81473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50–400 万</w:t>
            </w:r>
          </w:p>
        </w:tc>
      </w:tr>
      <w:tr w14:paraId="41A62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2B07F4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② 标准咨询包</w:t>
            </w:r>
          </w:p>
        </w:tc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42B892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6–10 单</w:t>
            </w:r>
          </w:p>
        </w:tc>
        <w:tc>
          <w:tcPr>
            <w:tcW w:w="2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8C47F8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15–30 万</w:t>
            </w:r>
          </w:p>
        </w:tc>
        <w:tc>
          <w:tcPr>
            <w:tcW w:w="27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490BEA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90–300 万</w:t>
            </w:r>
          </w:p>
        </w:tc>
      </w:tr>
      <w:tr w14:paraId="4873B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490BE0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③ 生态分包</w:t>
            </w:r>
          </w:p>
        </w:tc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FEB48C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4–8 单</w:t>
            </w:r>
          </w:p>
        </w:tc>
        <w:tc>
          <w:tcPr>
            <w:tcW w:w="2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7C2C92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加价后 30–100 万</w:t>
            </w:r>
          </w:p>
        </w:tc>
        <w:tc>
          <w:tcPr>
            <w:tcW w:w="27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772147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60–240 万</w:t>
            </w:r>
          </w:p>
        </w:tc>
      </w:tr>
      <w:tr w14:paraId="4D59C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C07400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④ 售后网络搭建</w:t>
            </w:r>
          </w:p>
        </w:tc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F4890F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3–5 家厂商</w:t>
            </w:r>
          </w:p>
        </w:tc>
        <w:tc>
          <w:tcPr>
            <w:tcW w:w="2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4B81DB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10–20 万 + 抽成</w:t>
            </w:r>
          </w:p>
        </w:tc>
        <w:tc>
          <w:tcPr>
            <w:tcW w:w="27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C66CA8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30–100 万 + 抽成</w:t>
            </w:r>
          </w:p>
        </w:tc>
      </w:tr>
      <w:tr w14:paraId="2B889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C0A501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⑤ 订单融资撮合</w:t>
            </w:r>
          </w:p>
        </w:tc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E5DECA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2–5 单</w:t>
            </w:r>
          </w:p>
        </w:tc>
        <w:tc>
          <w:tcPr>
            <w:tcW w:w="2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BC376E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10–30 万</w:t>
            </w:r>
          </w:p>
        </w:tc>
        <w:tc>
          <w:tcPr>
            <w:tcW w:w="27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E53B0F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30–150 万</w:t>
            </w:r>
          </w:p>
        </w:tc>
      </w:tr>
      <w:tr w14:paraId="3E34E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C576BE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合计</w:t>
            </w:r>
          </w:p>
        </w:tc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DD1A6C">
            <w:pPr>
              <w:spacing w:before="0" w:after="0" w:line="264" w:lineRule="auto"/>
            </w:pPr>
          </w:p>
        </w:tc>
        <w:tc>
          <w:tcPr>
            <w:tcW w:w="2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758955">
            <w:pPr>
              <w:spacing w:before="0" w:after="0" w:line="264" w:lineRule="auto"/>
            </w:pPr>
          </w:p>
        </w:tc>
        <w:tc>
          <w:tcPr>
            <w:tcW w:w="27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99E655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260–1,190 万</w:t>
            </w:r>
          </w:p>
        </w:tc>
      </w:tr>
    </w:tbl>
    <w:p w14:paraId="0CED7210">
      <w:pPr>
        <w:spacing w:before="60" w:after="60" w:line="30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说明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：① 的成功佣金多为跨年确认，实际半年内现金收入主要来自 ②③④⑤；“下限 260 万”为“活下来”的最小现金流，“上限 1,190 万”为 T 关系全部用足且运气不太差的可达上限。</w:t>
      </w:r>
    </w:p>
    <w:p w14:paraId="65C96688">
      <w:pPr>
        <w:pStyle w:val="4"/>
      </w:pPr>
      <w:r>
        <w:rPr>
          <w:rFonts w:ascii="微软雅黑" w:hAnsi="微软雅黑" w:eastAsia="微软雅黑" w:cs="微软雅黑"/>
          <w:b/>
          <w:bCs/>
          <w:sz w:val="19"/>
          <w:szCs w:val="19"/>
        </w:rPr>
        <w:t>3.4.4　二十四周优先级与动作顺序</w:t>
      </w:r>
    </w:p>
    <w:tbl>
      <w:tblPr>
        <w:tblStyle w:val="11"/>
        <w:tblW w:w="89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4400"/>
        <w:gridCol w:w="2626"/>
      </w:tblGrid>
      <w:tr w14:paraId="36F3C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58B0A4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阶段</w:t>
            </w:r>
          </w:p>
        </w:tc>
        <w:tc>
          <w:tcPr>
            <w:tcW w:w="4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4BD1D8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重点产出</w:t>
            </w:r>
          </w:p>
        </w:tc>
        <w:tc>
          <w:tcPr>
            <w:tcW w:w="2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993984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结果验证</w:t>
            </w:r>
          </w:p>
        </w:tc>
      </w:tr>
      <w:tr w14:paraId="22293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4395D0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W1–W2</w:t>
            </w:r>
          </w:p>
        </w:tc>
        <w:tc>
          <w:tcPr>
            <w:tcW w:w="4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7FA321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跑通 ② 咨询包、④ 售后网络搭建、⑤ 订单融资撮合的产品化包</w:t>
            </w:r>
          </w:p>
        </w:tc>
        <w:tc>
          <w:tcPr>
            <w:tcW w:w="2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A2B674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论证价格、合同模板、工具准备</w:t>
            </w:r>
          </w:p>
        </w:tc>
      </w:tr>
      <w:tr w14:paraId="43565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8BC979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W3–W8</w:t>
            </w:r>
          </w:p>
        </w:tc>
        <w:tc>
          <w:tcPr>
            <w:tcW w:w="4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750348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② + ③ 收入集中产出；同步推 ④ 名录与案例包</w:t>
            </w:r>
          </w:p>
        </w:tc>
        <w:tc>
          <w:tcPr>
            <w:tcW w:w="2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B77C90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W8 前交付 ≥1 个咨询包与 ≥1 个售后网络包；⑤ 跑通第一单</w:t>
            </w:r>
          </w:p>
        </w:tc>
      </w:tr>
      <w:tr w14:paraId="77117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13CECE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W9–W24</w:t>
            </w:r>
          </w:p>
        </w:tc>
        <w:tc>
          <w:tcPr>
            <w:tcW w:w="4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AEAEF7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⑤ 放量；④ 形成可对外引用的中型厂商个案 1–2 个</w:t>
            </w:r>
          </w:p>
        </w:tc>
        <w:tc>
          <w:tcPr>
            <w:tcW w:w="2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C6FFD8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半年内 ②③ 有 ≥3 个可公开案例，⑤ 第一笔放款到账</w:t>
            </w:r>
          </w:p>
        </w:tc>
      </w:tr>
      <w:tr w14:paraId="4581F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C4515B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① 跨境撮合（订单/集成商）</w:t>
            </w:r>
          </w:p>
        </w:tc>
        <w:tc>
          <w:tcPr>
            <w:tcW w:w="4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0A33DA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半年内出 1 单就是成功</w:t>
            </w:r>
          </w:p>
        </w:tc>
        <w:tc>
          <w:tcPr>
            <w:tcW w:w="2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B212F1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不作为现金流依赖</w:t>
            </w:r>
          </w:p>
        </w:tc>
      </w:tr>
    </w:tbl>
    <w:p w14:paraId="12B6BC67">
      <w:pPr>
        <w:pStyle w:val="4"/>
      </w:pPr>
      <w:r>
        <w:rPr>
          <w:rFonts w:ascii="微软雅黑" w:hAnsi="微软雅黑" w:eastAsia="微软雅黑" w:cs="微软雅黑"/>
          <w:b/>
          <w:bCs/>
          <w:sz w:val="19"/>
          <w:szCs w:val="19"/>
        </w:rPr>
        <w:t>3.4.5　招人/扩编临界点与锁定原则</w:t>
      </w:r>
    </w:p>
    <w:tbl>
      <w:tblPr>
        <w:tblStyle w:val="11"/>
        <w:tblW w:w="89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526"/>
      </w:tblGrid>
      <w:tr w14:paraId="591F4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232A02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业务</w:t>
            </w:r>
          </w:p>
        </w:tc>
        <w:tc>
          <w:tcPr>
            <w:tcW w:w="65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3AABEB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招人临界点</w:t>
            </w:r>
          </w:p>
        </w:tc>
      </w:tr>
      <w:tr w14:paraId="36658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53D2BB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② 咨询包</w:t>
            </w:r>
          </w:p>
        </w:tc>
        <w:tc>
          <w:tcPr>
            <w:tcW w:w="65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44D236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单月新订单 ≥ 5 单，且客户明显反馈进度管理跟不上</w:t>
            </w:r>
          </w:p>
        </w:tc>
      </w:tr>
      <w:tr w14:paraId="54869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3A06E4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③ 生态分包</w:t>
            </w:r>
          </w:p>
        </w:tc>
        <w:tc>
          <w:tcPr>
            <w:tcW w:w="65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C6EDFB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同期运行项目 ≥ 8 个，需专人跟进与协调</w:t>
            </w:r>
          </w:p>
        </w:tc>
      </w:tr>
      <w:tr w14:paraId="10A13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CC45D8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④ 售后网络</w:t>
            </w:r>
          </w:p>
        </w:tc>
        <w:tc>
          <w:tcPr>
            <w:tcW w:w="65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28157C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客户 ≥ 3–5 家 / 月工单 ≥ 100 / 需实体备件仓</w:t>
            </w:r>
          </w:p>
        </w:tc>
      </w:tr>
      <w:tr w14:paraId="5C4C7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2D1500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⑤ 订单融资</w:t>
            </w:r>
          </w:p>
        </w:tc>
        <w:tc>
          <w:tcPr>
            <w:tcW w:w="65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D6B523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年单量 ≥ 10 / 累计融资额 ≥ 5 亿（需金融产品设计能力）</w:t>
            </w:r>
          </w:p>
        </w:tc>
      </w:tr>
      <w:tr w14:paraId="53C78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587C0D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① 跨境撮合</w:t>
            </w:r>
          </w:p>
        </w:tc>
        <w:tc>
          <w:tcPr>
            <w:tcW w:w="65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5FF0A7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在谈项目 ≥ 8 个，且 2 个进入 POC/Pilot 阶段</w:t>
            </w:r>
          </w:p>
        </w:tc>
      </w:tr>
      <w:tr w14:paraId="7BCB0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3AEB4B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属地招人</w:t>
            </w:r>
          </w:p>
        </w:tc>
        <w:tc>
          <w:tcPr>
            <w:tcW w:w="65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251CA4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第一笔本地订单签约后 + 该市场参与中项目 ≥ 2 个</w:t>
            </w:r>
          </w:p>
        </w:tc>
      </w:tr>
    </w:tbl>
    <w:p w14:paraId="268CCBC6">
      <w:pPr>
        <w:spacing w:before="60" w:after="60" w:line="30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总原则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：不达临界点不动编制；临界点达到后依顺序启动高阶招聘 + 项目对接，避免一次性扩充后跟不上的问题。</w:t>
      </w:r>
    </w:p>
    <w:p w14:paraId="2A0081A3">
      <w:pPr>
        <w:pStyle w:val="4"/>
      </w:pPr>
      <w:r>
        <w:rPr>
          <w:rFonts w:ascii="微软雅黑" w:hAnsi="微软雅黑" w:eastAsia="微软雅黑" w:cs="微软雅黑"/>
          <w:b/>
          <w:bCs/>
          <w:sz w:val="19"/>
          <w:szCs w:val="19"/>
        </w:rPr>
        <w:t>3.4.6　收款主体、币种与边界</w:t>
      </w:r>
    </w:p>
    <w:p w14:paraId="5FF8BA78">
      <w:pPr>
        <w:pBdr>
          <w:left w:val="single" w:color="2E75B6" w:sz="12" w:space="8"/>
        </w:pBdr>
        <w:shd w:val="clear" w:fill="F2F6FC"/>
        <w:spacing w:before="100" w:after="140" w:line="280" w:lineRule="auto"/>
        <w:ind w:left="240" w:right="12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主体与币种：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 xml:space="preserve"> 境外业务以香港主体收 USD/HKD（便于付境外生态）；境内客户以境内主体签人民币合同。两套主体可差异化报价（境外可高 10–15%，因可承受度更高）。</w:t>
      </w:r>
    </w:p>
    <w:p w14:paraId="62163F54">
      <w:pPr>
        <w:pBdr>
          <w:left w:val="single" w:color="2E75B6" w:sz="12" w:space="8"/>
        </w:pBdr>
        <w:shd w:val="clear" w:fill="F2F6FC"/>
        <w:spacing w:before="100" w:after="140" w:line="280" w:lineRule="auto"/>
        <w:ind w:left="240" w:right="12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报价顺序：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 xml:space="preserve"> 总是先报 L1 诊断（免费/1–2万），拿到信息后再报 L3 完整包；不一上来报大包，否则转化率会丢一半。</w:t>
      </w:r>
    </w:p>
    <w:p w14:paraId="5E6609D7">
      <w:pPr>
        <w:pStyle w:val="4"/>
      </w:pPr>
      <w:r>
        <w:rPr>
          <w:rFonts w:ascii="微软雅黑" w:hAnsi="微软雅黑" w:eastAsia="微软雅黑" w:cs="微软雅黑"/>
          <w:b/>
          <w:bCs/>
          <w:sz w:val="19"/>
          <w:szCs w:val="19"/>
        </w:rPr>
        <w:t>3.4.7　一句话总结</w:t>
      </w:r>
    </w:p>
    <w:p w14:paraId="2F573689">
      <w:pPr>
        <w:pBdr>
          <w:left w:val="single" w:color="2E75B6" w:sz="12" w:space="8"/>
        </w:pBdr>
        <w:shd w:val="clear" w:fill="F2F6FC"/>
        <w:spacing w:before="100" w:after="140" w:line="280" w:lineRule="auto"/>
        <w:ind w:left="240" w:right="120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半年内靠 ②、③、④、⑤ 跑现金流，① 出单是锦上添花；编制保持 T + 1 助理 + A 不动，招人临界点全部锁定在“单量/客户达到一定规模”之后，在达临界点之前不加人。</w:t>
      </w:r>
    </w:p>
    <w:p w14:paraId="58C624EC">
      <w:pPr>
        <w:pStyle w:val="2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四、T 需整合的香港及目标市场资源</w:t>
      </w:r>
    </w:p>
    <w:p w14:paraId="45FF33B7">
      <w:pPr>
        <w:pStyle w:val="3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4.1　香港（“超级连接器”层）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4200"/>
        <w:gridCol w:w="3526"/>
      </w:tblGrid>
      <w:tr w14:paraId="682C1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C53F52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类型</w:t>
            </w:r>
          </w:p>
        </w:tc>
        <w:tc>
          <w:tcPr>
            <w:tcW w:w="4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0E042D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具体机构</w:t>
            </w:r>
          </w:p>
        </w:tc>
        <w:tc>
          <w:tcPr>
            <w:tcW w:w="35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7FEE4E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用途</w:t>
            </w:r>
          </w:p>
        </w:tc>
      </w:tr>
      <w:tr w14:paraId="30991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7DDB69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政府 / 公共背书</w:t>
            </w:r>
          </w:p>
        </w:tc>
        <w:tc>
          <w:tcPr>
            <w:tcW w:w="4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A2C989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投资推广署（InvestHK）、贸促局（HKTDC）、数码港、科技园（HKSTP）、生产力促进局（HKPC）</w:t>
            </w:r>
          </w:p>
        </w:tc>
        <w:tc>
          <w:tcPr>
            <w:tcW w:w="35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5D773B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MOU 背书、联合办会、客户导流</w:t>
            </w:r>
          </w:p>
        </w:tc>
      </w:tr>
      <w:tr w14:paraId="16167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C3CFF8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资本市场</w:t>
            </w:r>
          </w:p>
        </w:tc>
        <w:tc>
          <w:tcPr>
            <w:tcW w:w="4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4987DC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港交所（18A / 18C 通道）、持牌券商 / 投行、PE / VC、家族办公室、资管机构</w:t>
            </w:r>
          </w:p>
        </w:tc>
        <w:tc>
          <w:tcPr>
            <w:tcW w:w="35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E629EA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FA 与上市辅导、美元基金 LP</w:t>
            </w:r>
          </w:p>
        </w:tc>
      </w:tr>
      <w:tr w14:paraId="2C258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ADAA53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金融机构</w:t>
            </w:r>
          </w:p>
        </w:tc>
        <w:tc>
          <w:tcPr>
            <w:tcW w:w="4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04C2F8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跨境银行（贸易融资、项目融资、内保外贷）、跨境支付机构</w:t>
            </w:r>
          </w:p>
        </w:tc>
        <w:tc>
          <w:tcPr>
            <w:tcW w:w="35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9D16A4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落地金融方案、客户推荐</w:t>
            </w:r>
          </w:p>
        </w:tc>
      </w:tr>
      <w:tr w14:paraId="543D1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BD94CA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专业服务</w:t>
            </w:r>
          </w:p>
        </w:tc>
        <w:tc>
          <w:tcPr>
            <w:tcW w:w="4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88D672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律所（跨境并购 / IP / 数据合规）、会计师事务所（税务架构 / 转让定价）、信托及公司服务提供者</w:t>
            </w:r>
          </w:p>
        </w:tc>
        <w:tc>
          <w:tcPr>
            <w:tcW w:w="35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6649BA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服务分包生态，补齐专业深度</w:t>
            </w:r>
          </w:p>
        </w:tc>
      </w:tr>
      <w:tr w14:paraId="17854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C7DB14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科技生态</w:t>
            </w:r>
          </w:p>
        </w:tc>
        <w:tc>
          <w:tcPr>
            <w:tcW w:w="4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E59CE8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高校（港大 / 科大 / 中大）成果转化、InnoHK</w:t>
            </w:r>
          </w:p>
        </w:tc>
        <w:tc>
          <w:tcPr>
            <w:tcW w:w="35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CE3A34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具身智能 / 创新药技术合作</w:t>
            </w:r>
          </w:p>
        </w:tc>
      </w:tr>
    </w:tbl>
    <w:p w14:paraId="47BDF3C9">
      <w:pPr>
        <w:spacing w:before="0" w:after="60"/>
      </w:pPr>
    </w:p>
    <w:p w14:paraId="0DB1C5E7">
      <w:pPr>
        <w:pStyle w:val="3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4.2　泰国（首选战场）</w:t>
      </w:r>
    </w:p>
    <w:p w14:paraId="6DF78551">
      <w:pPr>
        <w:pStyle w:val="16"/>
        <w:numPr>
          <w:ilvl w:val="0"/>
          <w:numId w:val="1"/>
        </w:numPr>
        <w:spacing w:before="40" w:after="40" w:line="30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官方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：BOI（投资促进委员会，拿税收优惠与落地便利）、商务部</w:t>
      </w:r>
    </w:p>
    <w:p w14:paraId="5AFB7F8D">
      <w:pPr>
        <w:pStyle w:val="16"/>
        <w:numPr>
          <w:ilvl w:val="0"/>
          <w:numId w:val="1"/>
        </w:numPr>
        <w:spacing w:before="40" w:after="40" w:line="30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金融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：</w:t>
      </w:r>
      <w:r>
        <w:rPr>
          <w:rFonts w:ascii="微软雅黑" w:hAnsi="微软雅黑" w:eastAsia="微软雅黑" w:cs="微软雅黑"/>
          <w:b/>
          <w:bCs/>
          <w:sz w:val="21"/>
          <w:szCs w:val="21"/>
        </w:rPr>
        <w:t>大型商业银行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（已有合作，可复制为“银行客户 AI 赋能”模板）、当地券商</w:t>
      </w:r>
    </w:p>
    <w:p w14:paraId="2FBAD19A">
      <w:pPr>
        <w:pStyle w:val="16"/>
        <w:numPr>
          <w:ilvl w:val="0"/>
          <w:numId w:val="1"/>
        </w:numPr>
        <w:spacing w:before="40" w:after="40" w:line="30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产业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：制造业园区（Amata、WHA）、系统集成商、华人商会网络</w:t>
      </w:r>
    </w:p>
    <w:p w14:paraId="356C6FC9">
      <w:pPr>
        <w:pStyle w:val="16"/>
        <w:numPr>
          <w:ilvl w:val="0"/>
          <w:numId w:val="1"/>
        </w:numPr>
        <w:spacing w:before="40" w:after="40" w:line="30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需求侧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：当地企业数字化转型（AI 缺口大）→ 对接中国 AI / 机器人供应商</w:t>
      </w:r>
    </w:p>
    <w:p w14:paraId="1C09B2AD">
      <w:pPr>
        <w:pStyle w:val="3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4.3　马来西亚</w:t>
      </w:r>
    </w:p>
    <w:p w14:paraId="38759203">
      <w:pPr>
        <w:pStyle w:val="16"/>
        <w:numPr>
          <w:ilvl w:val="0"/>
          <w:numId w:val="1"/>
        </w:numPr>
        <w:spacing w:before="40" w:after="40" w:line="300" w:lineRule="auto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MIDA（投资发展局）、当地上市公司与家族企业集团、华人商会、工业园（柔佛 / 槟城，半导体与电子聚集）</w:t>
      </w:r>
    </w:p>
    <w:p w14:paraId="201A9E36">
      <w:pPr>
        <w:pStyle w:val="3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4.4　澳大利亚（最成熟市场）</w:t>
      </w:r>
    </w:p>
    <w:p w14:paraId="2730B4F9">
      <w:pPr>
        <w:pStyle w:val="16"/>
        <w:numPr>
          <w:ilvl w:val="0"/>
          <w:numId w:val="1"/>
        </w:numPr>
        <w:spacing w:before="40" w:after="40" w:line="300" w:lineRule="auto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Austrade（贸易投资委员会）、各州贸易投资局、ASX、律所与会计师事务所、R&amp;D Tax Incentive（研发税收返还，对科技企业吸引力强）</w:t>
      </w:r>
    </w:p>
    <w:p w14:paraId="301C6CE3">
      <w:pPr>
        <w:spacing w:before="0" w:after="60"/>
      </w:pPr>
    </w:p>
    <w:p w14:paraId="460F52D0">
      <w:pPr>
        <w:pBdr>
          <w:left w:val="single" w:color="2E75B6" w:sz="12" w:space="8"/>
        </w:pBdr>
        <w:shd w:val="clear" w:fill="F2F6FC"/>
        <w:spacing w:before="100" w:after="140" w:line="280" w:lineRule="auto"/>
        <w:ind w:left="240" w:right="120"/>
      </w:pPr>
      <w:r>
        <w:rPr>
          <w:rFonts w:ascii="微软雅黑" w:hAnsi="微软雅黑" w:eastAsia="微软雅黑" w:cs="微软雅黑"/>
          <w:b/>
          <w:bCs/>
          <w:color w:val="FF0000"/>
          <w:sz w:val="19"/>
          <w:szCs w:val="19"/>
        </w:rPr>
        <w:t>Teddy 阶段② 任务</w:t>
      </w:r>
      <w:r>
        <w:rPr>
          <w:rFonts w:ascii="微软雅黑" w:hAnsi="微软雅黑" w:eastAsia="微软雅黑" w:cs="微软雅黑"/>
          <w:b w:val="0"/>
          <w:bCs w:val="0"/>
          <w:color w:val="FF0000"/>
          <w:sz w:val="19"/>
          <w:szCs w:val="19"/>
        </w:rPr>
        <w:t>：澳/泰/马各确认 3–5 家授权候选集成商（聚焦工业自动化与机器人赛道），纳入 Overseas 服务交付网络，作为当地交付与售后的承接主体。</w:t>
      </w:r>
    </w:p>
    <w:p w14:paraId="11303AE5">
      <w:pPr>
        <w:pBdr>
          <w:bottom w:val="single" w:color="D0D7E5" w:sz="6" w:space="1"/>
        </w:pBdr>
        <w:spacing w:before="120" w:after="120"/>
      </w:pPr>
    </w:p>
    <w:p w14:paraId="320B8AF3">
      <w:pPr>
        <w:pStyle w:val="2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五、A 的境内获客管道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4000"/>
        <w:gridCol w:w="3726"/>
      </w:tblGrid>
      <w:tr w14:paraId="0E034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694906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管道</w:t>
            </w:r>
          </w:p>
        </w:tc>
        <w:tc>
          <w:tcPr>
            <w:tcW w:w="4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831861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具体对象</w:t>
            </w:r>
          </w:p>
        </w:tc>
        <w:tc>
          <w:tcPr>
            <w:tcW w:w="37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0F47A3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打法</w:t>
            </w:r>
          </w:p>
        </w:tc>
      </w:tr>
      <w:tr w14:paraId="3EE2E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2857B8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政府 / 半官方</w:t>
            </w:r>
          </w:p>
        </w:tc>
        <w:tc>
          <w:tcPr>
            <w:tcW w:w="4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72A5CD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地方商务厅、贸促会（CCPIT）、工信与发改部门、地方“出海服务港”、园区（张江、苏州工业园、深圳、合肥）</w:t>
            </w:r>
          </w:p>
        </w:tc>
        <w:tc>
          <w:tcPr>
            <w:tcW w:w="37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859F96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承接官方服务体系落地环节，做“市场化专业节点”；联合调研与发布会</w:t>
            </w:r>
          </w:p>
        </w:tc>
      </w:tr>
      <w:tr w14:paraId="4FEA5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23BF7F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行业协会 / 联盟</w:t>
            </w:r>
          </w:p>
        </w:tc>
        <w:tc>
          <w:tcPr>
            <w:tcW w:w="4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C5C0C7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机器人产业联盟、具身智能联盟、医药创新促进会、光伏 / 储能协会、AI 产业联盟</w:t>
            </w:r>
          </w:p>
        </w:tc>
        <w:tc>
          <w:tcPr>
            <w:tcW w:w="37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0958C5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协会背书 + 闭门会导流</w:t>
            </w:r>
          </w:p>
        </w:tc>
      </w:tr>
      <w:tr w14:paraId="49F7E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C6EB26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金融机构</w:t>
            </w:r>
          </w:p>
        </w:tc>
        <w:tc>
          <w:tcPr>
            <w:tcW w:w="4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5C31F5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银行公司金融 / 跨境金融部、券商投行部、PE / VC 被投企业</w:t>
            </w:r>
          </w:p>
        </w:tc>
        <w:tc>
          <w:tcPr>
            <w:tcW w:w="37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6A171A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客户经理转介绍（企业出海金融需求天然前置）</w:t>
            </w:r>
          </w:p>
        </w:tc>
      </w:tr>
      <w:tr w14:paraId="2D662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456693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产业链主</w:t>
            </w:r>
          </w:p>
        </w:tc>
        <w:tc>
          <w:tcPr>
            <w:tcW w:w="4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064707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比亚迪 / 宁德 / 华为等链主企业上下游</w:t>
            </w:r>
          </w:p>
        </w:tc>
        <w:tc>
          <w:tcPr>
            <w:tcW w:w="37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B0E6AA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跟随“链主出海”批量获客</w:t>
            </w:r>
          </w:p>
        </w:tc>
      </w:tr>
      <w:tr w14:paraId="61B0A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941F39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高校科研</w:t>
            </w:r>
          </w:p>
        </w:tc>
        <w:tc>
          <w:tcPr>
            <w:tcW w:w="4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CA9EF4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高校成果转化中心、校友网络</w:t>
            </w:r>
          </w:p>
        </w:tc>
        <w:tc>
          <w:tcPr>
            <w:tcW w:w="37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4CF560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技术型企业源头</w:t>
            </w:r>
          </w:p>
        </w:tc>
      </w:tr>
      <w:tr w14:paraId="708A7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BCA96E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会展活动</w:t>
            </w:r>
          </w:p>
        </w:tc>
        <w:tc>
          <w:tcPr>
            <w:tcW w:w="4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5C0D82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世界机器人大会、进博会、SNEC、CMEF、BIO 大会</w:t>
            </w:r>
          </w:p>
        </w:tc>
        <w:tc>
          <w:tcPr>
            <w:tcW w:w="37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392400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现场获客 + 品牌曝光</w:t>
            </w:r>
          </w:p>
        </w:tc>
      </w:tr>
      <w:tr w14:paraId="306CA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37A0CD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内容与转介</w:t>
            </w:r>
          </w:p>
        </w:tc>
        <w:tc>
          <w:tcPr>
            <w:tcW w:w="4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C3D848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联合研究报告、行业媒体、律所 / 会计所转介</w:t>
            </w:r>
          </w:p>
        </w:tc>
        <w:tc>
          <w:tcPr>
            <w:tcW w:w="37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B7F504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低成本持续线索</w:t>
            </w:r>
          </w:p>
        </w:tc>
      </w:tr>
    </w:tbl>
    <w:p w14:paraId="5CA6826A">
      <w:pPr>
        <w:spacing w:before="0" w:after="60"/>
      </w:pPr>
    </w:p>
    <w:p w14:paraId="21F43355">
      <w:pPr>
        <w:spacing w:before="60" w:after="4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管道优先级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：</w:t>
      </w:r>
    </w:p>
    <w:p w14:paraId="60392EAE">
      <w:pPr>
        <w:pStyle w:val="16"/>
        <w:numPr>
          <w:ilvl w:val="0"/>
          <w:numId w:val="1"/>
        </w:numPr>
        <w:spacing w:before="40" w:after="40" w:line="30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短期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（0–3 个月）：政府 + 银行——见效快、批量大</w:t>
      </w:r>
    </w:p>
    <w:p w14:paraId="5753A88C">
      <w:pPr>
        <w:pStyle w:val="16"/>
        <w:numPr>
          <w:ilvl w:val="0"/>
          <w:numId w:val="1"/>
        </w:numPr>
        <w:spacing w:before="40" w:after="40" w:line="30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中期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（3–6 个月）：协会 + 内容——沉淀品牌与行业影响力</w:t>
      </w:r>
    </w:p>
    <w:p w14:paraId="572D9DD4">
      <w:pPr>
        <w:pStyle w:val="16"/>
        <w:numPr>
          <w:ilvl w:val="0"/>
          <w:numId w:val="1"/>
        </w:numPr>
        <w:spacing w:before="40" w:after="40" w:line="30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长期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（6 个月以上）：链主 + 高校——构建高价值标的池</w:t>
      </w:r>
    </w:p>
    <w:p w14:paraId="680475FD">
      <w:pPr>
        <w:pBdr>
          <w:bottom w:val="single" w:color="D0D7E5" w:sz="6" w:space="1"/>
        </w:pBdr>
        <w:spacing w:before="120" w:after="120"/>
      </w:pPr>
    </w:p>
    <w:p w14:paraId="760A626F">
      <w:pPr>
        <w:pStyle w:val="2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六、股东层面的核心伙伴选择</w:t>
      </w:r>
    </w:p>
    <w:p w14:paraId="672D706F">
      <w:pPr>
        <w:pStyle w:val="3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6.1　A 侧重（境内资源背书）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50"/>
        <w:gridCol w:w="2700"/>
        <w:gridCol w:w="2800"/>
        <w:gridCol w:w="2276"/>
      </w:tblGrid>
      <w:tr w14:paraId="4FBE2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318994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层级</w:t>
            </w:r>
          </w:p>
        </w:tc>
        <w:tc>
          <w:tcPr>
            <w:tcW w:w="2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35FD43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候选类型</w:t>
            </w:r>
          </w:p>
        </w:tc>
        <w:tc>
          <w:tcPr>
            <w:tcW w:w="2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179958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对 Overseas 的价值</w:t>
            </w:r>
          </w:p>
        </w:tc>
        <w:tc>
          <w:tcPr>
            <w:tcW w:w="227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0490FC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绑定方式建议</w:t>
            </w:r>
          </w:p>
        </w:tc>
      </w:tr>
      <w:tr w14:paraId="4A57E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31D64B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政府 / 园区平台</w:t>
            </w:r>
          </w:p>
        </w:tc>
        <w:tc>
          <w:tcPr>
            <w:tcW w:w="2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A29576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地方投资促进机构、贸促会、园区运营平台</w:t>
            </w:r>
          </w:p>
        </w:tc>
        <w:tc>
          <w:tcPr>
            <w:tcW w:w="2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59898D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官方信任 + 客户线索 + 政策资源</w:t>
            </w:r>
          </w:p>
        </w:tc>
        <w:tc>
          <w:tcPr>
            <w:tcW w:w="227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515D91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MOU + 顾问委员会</w:t>
            </w: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（不建议直接持股，规避审批周期）</w:t>
            </w:r>
          </w:p>
        </w:tc>
      </w:tr>
      <w:tr w14:paraId="24F40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9824E8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金融机构</w:t>
            </w:r>
          </w:p>
        </w:tc>
        <w:tc>
          <w:tcPr>
            <w:tcW w:w="2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535792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全国性银行跨境金融部、券商投行</w:t>
            </w:r>
          </w:p>
        </w:tc>
        <w:tc>
          <w:tcPr>
            <w:tcW w:w="2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6FD4BF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客户转介 + 融资通道 + 资质背书</w:t>
            </w:r>
          </w:p>
        </w:tc>
        <w:tc>
          <w:tcPr>
            <w:tcW w:w="227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F4AD03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战略合作 + 小比例股权（可选）</w:t>
            </w:r>
          </w:p>
        </w:tc>
      </w:tr>
      <w:tr w14:paraId="69103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6D5C57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产业资本（CVC）</w:t>
            </w:r>
          </w:p>
        </w:tc>
        <w:tc>
          <w:tcPr>
            <w:tcW w:w="2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15E3B4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链主企业投资部</w:t>
            </w:r>
          </w:p>
        </w:tc>
        <w:tc>
          <w:tcPr>
            <w:tcW w:w="2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B24679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项目源 + 产业资源 + 后续退出通道</w:t>
            </w:r>
          </w:p>
        </w:tc>
        <w:tc>
          <w:tcPr>
            <w:tcW w:w="227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FAF1A7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5–10% 股权绑定</w:t>
            </w:r>
          </w:p>
        </w:tc>
      </w:tr>
      <w:tr w14:paraId="6BA90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B24671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行业协会</w:t>
            </w:r>
          </w:p>
        </w:tc>
        <w:tc>
          <w:tcPr>
            <w:tcW w:w="2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7ACA51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机器人 / 医药 / AI 产业联盟</w:t>
            </w:r>
          </w:p>
        </w:tc>
        <w:tc>
          <w:tcPr>
            <w:tcW w:w="2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23817A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行业公信力 + 会员导流</w:t>
            </w:r>
          </w:p>
        </w:tc>
        <w:tc>
          <w:tcPr>
            <w:tcW w:w="227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E404BC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战略合作，不入股</w:t>
            </w:r>
          </w:p>
        </w:tc>
      </w:tr>
    </w:tbl>
    <w:p w14:paraId="64A2A9FC">
      <w:pPr>
        <w:spacing w:before="0" w:after="60"/>
      </w:pPr>
    </w:p>
    <w:p w14:paraId="10FD905A">
      <w:pPr>
        <w:pStyle w:val="3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6.2　T 侧重（境外资源背书）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50"/>
        <w:gridCol w:w="2700"/>
        <w:gridCol w:w="2800"/>
        <w:gridCol w:w="2276"/>
      </w:tblGrid>
      <w:tr w14:paraId="564B7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E214B8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层级</w:t>
            </w:r>
          </w:p>
        </w:tc>
        <w:tc>
          <w:tcPr>
            <w:tcW w:w="2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174CB4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候选类型</w:t>
            </w:r>
          </w:p>
        </w:tc>
        <w:tc>
          <w:tcPr>
            <w:tcW w:w="2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F39C0D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对 Overseas 的价值</w:t>
            </w:r>
          </w:p>
        </w:tc>
        <w:tc>
          <w:tcPr>
            <w:tcW w:w="227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8D4C9C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绑定方式建议</w:t>
            </w:r>
          </w:p>
        </w:tc>
      </w:tr>
      <w:tr w14:paraId="5253E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ACA86B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香港公共机构</w:t>
            </w:r>
          </w:p>
        </w:tc>
        <w:tc>
          <w:tcPr>
            <w:tcW w:w="2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9208D7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数码港、科学园、投资推广署</w:t>
            </w:r>
          </w:p>
        </w:tc>
        <w:tc>
          <w:tcPr>
            <w:tcW w:w="2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F57A5E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国际背书 + 品牌可信度</w:t>
            </w:r>
          </w:p>
        </w:tc>
        <w:tc>
          <w:tcPr>
            <w:tcW w:w="227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32F084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MOU 优先</w:t>
            </w: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（公共机构通常不入股）</w:t>
            </w:r>
          </w:p>
        </w:tc>
      </w:tr>
      <w:tr w14:paraId="4D662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8CA103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持牌金融机构</w:t>
            </w:r>
          </w:p>
        </w:tc>
        <w:tc>
          <w:tcPr>
            <w:tcW w:w="2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75C111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香港券商 / 资管、泰国大型银行</w:t>
            </w:r>
          </w:p>
        </w:tc>
        <w:tc>
          <w:tcPr>
            <w:tcW w:w="2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95C09C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客户 + 资本 + FA 通道</w:t>
            </w:r>
          </w:p>
        </w:tc>
        <w:tc>
          <w:tcPr>
            <w:tcW w:w="227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729E80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战略股东（小比例）+ 合资业务</w:t>
            </w:r>
          </w:p>
        </w:tc>
      </w:tr>
      <w:tr w14:paraId="625DE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EBC7E4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专业服务机构</w:t>
            </w:r>
          </w:p>
        </w:tc>
        <w:tc>
          <w:tcPr>
            <w:tcW w:w="2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94ACC3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香港律所 / 会计所</w:t>
            </w:r>
          </w:p>
        </w:tc>
        <w:tc>
          <w:tcPr>
            <w:tcW w:w="2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2AFEEC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交付能力补齐 + 转介</w:t>
            </w:r>
          </w:p>
        </w:tc>
        <w:tc>
          <w:tcPr>
            <w:tcW w:w="227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51E978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合作联盟，不入股</w:t>
            </w:r>
          </w:p>
        </w:tc>
      </w:tr>
      <w:tr w14:paraId="32801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0DF3D9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本地产业伙伴</w:t>
            </w:r>
          </w:p>
        </w:tc>
        <w:tc>
          <w:tcPr>
            <w:tcW w:w="2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B9B384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泰国 / 马来 / 澳洲本地财团或上市公司</w:t>
            </w:r>
          </w:p>
        </w:tc>
        <w:tc>
          <w:tcPr>
            <w:tcW w:w="2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993F3F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落地执行 + 本地政商关系</w:t>
            </w:r>
          </w:p>
        </w:tc>
        <w:tc>
          <w:tcPr>
            <w:tcW w:w="227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E37DC8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关键资源方给 5–10% 股权</w:t>
            </w:r>
          </w:p>
        </w:tc>
      </w:tr>
    </w:tbl>
    <w:p w14:paraId="6B80760E">
      <w:pPr>
        <w:spacing w:before="0" w:after="60"/>
      </w:pPr>
    </w:p>
    <w:p w14:paraId="669E888B">
      <w:pPr>
        <w:pStyle w:val="3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6.3　股东结构设计原则</w:t>
      </w:r>
    </w:p>
    <w:p w14:paraId="554F855B">
      <w:pPr>
        <w:pStyle w:val="16"/>
        <w:numPr>
          <w:ilvl w:val="0"/>
          <w:numId w:val="2"/>
        </w:numPr>
        <w:spacing w:before="40" w:after="40" w:line="30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初期维持港深两地 50:50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，后续视贡献与关键资源方引入调整；</w:t>
      </w:r>
    </w:p>
    <w:p w14:paraId="6C5FD4EA">
      <w:pPr>
        <w:pStyle w:val="16"/>
        <w:numPr>
          <w:ilvl w:val="0"/>
          <w:numId w:val="2"/>
        </w:numPr>
        <w:spacing w:before="40" w:after="40" w:line="300" w:lineRule="auto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 xml:space="preserve">预留 </w:t>
      </w:r>
      <w:r>
        <w:rPr>
          <w:rFonts w:ascii="微软雅黑" w:hAnsi="微软雅黑" w:eastAsia="微软雅黑" w:cs="微软雅黑"/>
          <w:b/>
          <w:bCs/>
          <w:sz w:val="21"/>
          <w:szCs w:val="21"/>
        </w:rPr>
        <w:t>10–20% 期权池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，专门给“关键资源方”（本地伙伴、持牌机构、产业资本）；</w:t>
      </w:r>
    </w:p>
    <w:p w14:paraId="7ECA4054">
      <w:pPr>
        <w:pStyle w:val="16"/>
        <w:numPr>
          <w:ilvl w:val="0"/>
          <w:numId w:val="2"/>
        </w:numPr>
        <w:spacing w:before="40" w:after="40" w:line="300" w:lineRule="auto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区分</w:t>
      </w:r>
      <w:r>
        <w:rPr>
          <w:rFonts w:ascii="微软雅黑" w:hAnsi="微软雅黑" w:eastAsia="微软雅黑" w:cs="微软雅黑"/>
          <w:b/>
          <w:bCs/>
          <w:sz w:val="21"/>
          <w:szCs w:val="21"/>
        </w:rPr>
        <w:t>战略资源股东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（小额、强背书、带资源）与</w:t>
      </w:r>
      <w:r>
        <w:rPr>
          <w:rFonts w:ascii="微软雅黑" w:hAnsi="微软雅黑" w:eastAsia="微软雅黑" w:cs="微软雅黑"/>
          <w:b/>
          <w:bCs/>
          <w:sz w:val="21"/>
          <w:szCs w:val="21"/>
        </w:rPr>
        <w:t>财务股东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（真实出资），避免“股权稀释了却换不来资源”；</w:t>
      </w:r>
    </w:p>
    <w:p w14:paraId="72BD1FE9">
      <w:pPr>
        <w:pStyle w:val="16"/>
        <w:numPr>
          <w:ilvl w:val="0"/>
          <w:numId w:val="2"/>
        </w:numPr>
        <w:spacing w:before="40" w:after="40" w:line="30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风控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：政府 / 国资类伙伴直接入股涉及审批，易拖慢节奏——</w:t>
      </w:r>
      <w:r>
        <w:rPr>
          <w:rFonts w:ascii="微软雅黑" w:hAnsi="微软雅黑" w:eastAsia="微软雅黑" w:cs="微软雅黑"/>
          <w:b/>
          <w:bCs/>
          <w:sz w:val="21"/>
          <w:szCs w:val="21"/>
        </w:rPr>
        <w:t>一律优先用 MOU + 顾问委员会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处理。</w:t>
      </w:r>
    </w:p>
    <w:p w14:paraId="67E12C2A">
      <w:pPr>
        <w:pBdr>
          <w:bottom w:val="single" w:color="D0D7E5" w:sz="6" w:space="1"/>
        </w:pBdr>
        <w:spacing w:before="120" w:after="120"/>
      </w:pPr>
    </w:p>
    <w:p w14:paraId="43EF4A63">
      <w:pPr>
        <w:pStyle w:val="2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七、资质与合规要点（业务架构中前置解决）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3100"/>
        <w:gridCol w:w="4026"/>
      </w:tblGrid>
      <w:tr w14:paraId="57C8F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B19568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事项</w:t>
            </w:r>
          </w:p>
        </w:tc>
        <w:tc>
          <w:tcPr>
            <w:tcW w:w="3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28E832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要求</w:t>
            </w:r>
          </w:p>
        </w:tc>
        <w:tc>
          <w:tcPr>
            <w:tcW w:w="40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3E27F4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建议处理方式</w:t>
            </w:r>
          </w:p>
        </w:tc>
      </w:tr>
      <w:tr w14:paraId="058AF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492636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FA 业务</w:t>
            </w:r>
          </w:p>
        </w:tc>
        <w:tc>
          <w:tcPr>
            <w:tcW w:w="3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2681CE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香港从事证券相关顾问需 SFC 1 / 4 / 6 号牌照</w:t>
            </w:r>
          </w:p>
        </w:tc>
        <w:tc>
          <w:tcPr>
            <w:tcW w:w="40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13F9C1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前期</w:t>
            </w: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与持牌机构合作分成</w:t>
            </w: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，或直接申请牌照</w:t>
            </w:r>
          </w:p>
        </w:tc>
      </w:tr>
      <w:tr w14:paraId="40FDC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B379F6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境内募资 / 基金管理</w:t>
            </w:r>
          </w:p>
        </w:tc>
        <w:tc>
          <w:tcPr>
            <w:tcW w:w="3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03367C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需私募基金管理人备案</w:t>
            </w:r>
          </w:p>
        </w:tc>
        <w:tc>
          <w:tcPr>
            <w:tcW w:w="40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E88AF8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由境外持牌主体承接</w:t>
            </w:r>
          </w:p>
        </w:tc>
      </w:tr>
      <w:tr w14:paraId="21456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FA1855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公司服务类业务（注册、秘书）</w:t>
            </w:r>
          </w:p>
        </w:tc>
        <w:tc>
          <w:tcPr>
            <w:tcW w:w="3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ED9F92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需香港 TCSP 牌照</w:t>
            </w:r>
          </w:p>
        </w:tc>
        <w:tc>
          <w:tcPr>
            <w:tcW w:w="40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7D50FF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自建或与持牌秘书公司合作</w:t>
            </w:r>
          </w:p>
        </w:tc>
      </w:tr>
      <w:tr w14:paraId="37FFC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27A4ED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数据合规（AI / 医药）</w:t>
            </w:r>
          </w:p>
        </w:tc>
        <w:tc>
          <w:tcPr>
            <w:tcW w:w="3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752B44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跨境数据传输合规</w:t>
            </w:r>
          </w:p>
        </w:tc>
        <w:tc>
          <w:tcPr>
            <w:tcW w:w="40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9026C0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靠生态律所支撑，不自建</w:t>
            </w:r>
          </w:p>
        </w:tc>
      </w:tr>
      <w:tr w14:paraId="71342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591F14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出口管制</w:t>
            </w:r>
          </w:p>
        </w:tc>
        <w:tc>
          <w:tcPr>
            <w:tcW w:w="3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EB09B7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部分技术 / 设备受限</w:t>
            </w:r>
          </w:p>
        </w:tc>
        <w:tc>
          <w:tcPr>
            <w:tcW w:w="40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8E05A5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靠生态律所支撑，不自建</w:t>
            </w:r>
          </w:p>
        </w:tc>
      </w:tr>
    </w:tbl>
    <w:p w14:paraId="59D8B09C">
      <w:pPr>
        <w:pBdr>
          <w:bottom w:val="single" w:color="D0D7E5" w:sz="6" w:space="1"/>
        </w:pBdr>
        <w:spacing w:before="120" w:after="120"/>
      </w:pPr>
    </w:p>
    <w:p w14:paraId="56688F9F">
      <w:pPr>
        <w:pStyle w:val="2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八、总结与下一步</w:t>
      </w:r>
    </w:p>
    <w:p w14:paraId="2566ED8F">
      <w:pPr>
        <w:spacing w:before="60" w:after="60" w:line="30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一句话总结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：</w:t>
      </w:r>
    </w:p>
    <w:p w14:paraId="070690BD">
      <w:pPr>
        <w:pBdr>
          <w:left w:val="single" w:color="2E75B6" w:sz="12" w:space="8"/>
        </w:pBdr>
        <w:shd w:val="clear" w:fill="F2F6FC"/>
        <w:spacing w:before="100" w:after="140" w:line="280" w:lineRule="auto"/>
        <w:ind w:left="240" w:right="120"/>
      </w:pPr>
      <w:r>
        <w:rPr>
          <w:rFonts w:ascii="微软雅黑" w:hAnsi="微软雅黑" w:eastAsia="微软雅黑" w:cs="微软雅黑"/>
          <w:b w:val="0"/>
          <w:bCs w:val="0"/>
          <w:sz w:val="19"/>
          <w:szCs w:val="19"/>
        </w:rPr>
        <w:t>T 用“香港持牌 + 公共机构背书 + 本地产业伙伴”解决</w:t>
      </w:r>
      <w:r>
        <w:rPr>
          <w:rFonts w:ascii="微软雅黑" w:hAnsi="微软雅黑" w:eastAsia="微软雅黑" w:cs="微软雅黑"/>
          <w:b/>
          <w:bCs/>
          <w:sz w:val="19"/>
          <w:szCs w:val="19"/>
        </w:rPr>
        <w:t>资质与落地</w:t>
      </w:r>
      <w:r>
        <w:rPr>
          <w:rFonts w:ascii="微软雅黑" w:hAnsi="微软雅黑" w:eastAsia="微软雅黑" w:cs="微软雅黑"/>
          <w:b w:val="0"/>
          <w:bCs w:val="0"/>
          <w:sz w:val="19"/>
          <w:szCs w:val="19"/>
        </w:rPr>
        <w:t>；A 用“政府 / 园区 + 银行 + 产业资本”解决</w:t>
      </w:r>
      <w:r>
        <w:rPr>
          <w:rFonts w:ascii="微软雅黑" w:hAnsi="微软雅黑" w:eastAsia="微软雅黑" w:cs="微软雅黑"/>
          <w:b/>
          <w:bCs/>
          <w:sz w:val="19"/>
          <w:szCs w:val="19"/>
        </w:rPr>
        <w:t>客户与项目源</w:t>
      </w:r>
      <w:r>
        <w:rPr>
          <w:rFonts w:ascii="微软雅黑" w:hAnsi="微软雅黑" w:eastAsia="微软雅黑" w:cs="微软雅黑"/>
          <w:b w:val="0"/>
          <w:bCs w:val="0"/>
          <w:sz w:val="19"/>
          <w:szCs w:val="19"/>
        </w:rPr>
        <w:t>；股东层只让“能持续带资源的伙伴”进来，纯背书关系用 MOU 处理。</w:t>
      </w:r>
    </w:p>
    <w:p w14:paraId="09B29B36">
      <w:pPr>
        <w:spacing w:before="100" w:after="4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下周沟通会待确认事项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：</w:t>
      </w:r>
    </w:p>
    <w:p w14:paraId="67D21F88">
      <w:pPr>
        <w:pStyle w:val="16"/>
        <w:numPr>
          <w:ilvl w:val="0"/>
          <w:numId w:val="3"/>
        </w:numPr>
        <w:spacing w:before="40" w:after="40" w:line="300" w:lineRule="auto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五大赛道的</w:t>
      </w:r>
      <w:r>
        <w:rPr>
          <w:rFonts w:ascii="微软雅黑" w:hAnsi="微软雅黑" w:eastAsia="微软雅黑" w:cs="微软雅黑"/>
          <w:b/>
          <w:bCs/>
          <w:sz w:val="21"/>
          <w:szCs w:val="21"/>
        </w:rPr>
        <w:t>优先级排序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（建议先切工业自动化与机器人 / AI 应用，再补创新药与新能源）；</w:t>
      </w:r>
    </w:p>
    <w:p w14:paraId="5FF44DE1">
      <w:pPr>
        <w:pStyle w:val="16"/>
        <w:numPr>
          <w:ilvl w:val="0"/>
          <w:numId w:val="3"/>
        </w:numPr>
        <w:spacing w:before="40" w:after="40" w:line="300" w:lineRule="auto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泰国银行合作案例的</w:t>
      </w:r>
      <w:r>
        <w:rPr>
          <w:rFonts w:ascii="微软雅黑" w:hAnsi="微软雅黑" w:eastAsia="微软雅黑" w:cs="微软雅黑"/>
          <w:b/>
          <w:bCs/>
          <w:sz w:val="21"/>
          <w:szCs w:val="21"/>
        </w:rPr>
        <w:t>商业化包装方案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由 T 主笔；</w:t>
      </w:r>
    </w:p>
    <w:p w14:paraId="225E83B6">
      <w:pPr>
        <w:pStyle w:val="16"/>
        <w:numPr>
          <w:ilvl w:val="0"/>
          <w:numId w:val="3"/>
        </w:numPr>
        <w:spacing w:before="40" w:after="40" w:line="300" w:lineRule="auto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首批</w:t>
      </w:r>
      <w:r>
        <w:rPr>
          <w:rFonts w:ascii="微软雅黑" w:hAnsi="微软雅黑" w:eastAsia="微软雅黑" w:cs="微软雅黑"/>
          <w:b/>
          <w:bCs/>
          <w:sz w:val="21"/>
          <w:szCs w:val="21"/>
        </w:rPr>
        <w:t>试点企业名单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与 T / A 各自的推进节奏；</w:t>
      </w:r>
    </w:p>
    <w:p w14:paraId="600B55E9">
      <w:pPr>
        <w:pStyle w:val="16"/>
        <w:numPr>
          <w:ilvl w:val="0"/>
          <w:numId w:val="3"/>
        </w:numPr>
        <w:spacing w:before="40" w:after="40" w:line="300" w:lineRule="auto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股东结构、期权池比例与关键资源方的绑定原则；</w:t>
      </w:r>
    </w:p>
    <w:p w14:paraId="15711690">
      <w:pPr>
        <w:pStyle w:val="16"/>
        <w:numPr>
          <w:ilvl w:val="0"/>
          <w:numId w:val="3"/>
        </w:numPr>
        <w:spacing w:before="40" w:after="40" w:line="300" w:lineRule="auto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下次碰头前需整合的</w:t>
      </w:r>
      <w:r>
        <w:rPr>
          <w:rFonts w:ascii="微软雅黑" w:hAnsi="微软雅黑" w:eastAsia="微软雅黑" w:cs="微软雅黑"/>
          <w:b/>
          <w:bCs/>
          <w:sz w:val="21"/>
          <w:szCs w:val="21"/>
        </w:rPr>
        <w:t>双方调研成果 + 业务框架 PPT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 xml:space="preserve"> 分工与截止时间。</w:t>
      </w:r>
    </w:p>
    <w:p w14:paraId="497C00D8">
      <w:pPr>
        <w:pStyle w:val="2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附录：关键分析</w:t>
      </w:r>
    </w:p>
    <w:p w14:paraId="60F43E73">
      <w:pPr>
        <w:spacing w:before="60" w:after="60" w:line="300" w:lineRule="auto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 xml:space="preserve">下面是本框架本轮深入沟通中的 </w:t>
      </w:r>
      <w:r>
        <w:rPr>
          <w:rFonts w:ascii="微软雅黑" w:hAnsi="微软雅黑" w:eastAsia="微软雅黑" w:cs="微软雅黑"/>
          <w:b/>
          <w:bCs/>
          <w:sz w:val="21"/>
          <w:szCs w:val="21"/>
        </w:rPr>
        <w:t>五项关键决策分析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，供下周沟通会作为决策补充与错位提醒。</w:t>
      </w:r>
    </w:p>
    <w:p w14:paraId="7BBDC694">
      <w:pPr>
        <w:pStyle w:val="3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附录 2　FA 业务的战略定位与香港 6 号牌</w:t>
      </w:r>
    </w:p>
    <w:p w14:paraId="52590AEB">
      <w:pPr>
        <w:spacing w:before="60" w:after="60" w:line="30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T 的 AEF 资产利用率最高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：其他四个方向都用不上 T 的 AEF 背景，只有 FA 能把它直接变现。</w:t>
      </w:r>
    </w:p>
    <w:p w14:paraId="31A39D5D">
      <w:pPr>
        <w:spacing w:before="60" w:after="60" w:line="30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从获客入口而不仅变现手段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：对创业者来说“帮你融资 + 帮你出海落地”是一个难以拒绝的一站式故事，可以从 FA 入口获客，再导流到咨询包、订单撮合、生态分包。</w:t>
      </w:r>
    </w:p>
    <w:p w14:paraId="07B7A212">
      <w:pPr>
        <w:spacing w:before="60" w:after="60" w:line="30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不是资管，是服务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：FA 不需要 AUM；香港需 SFC 6 号牌（Advising on Corporate Finance），机构需 2 名 RO + 缴足股本 500 万港元 + 速动资金 300 万港元；个人亦需挂牌。Day1 不可能自建牌。</w:t>
      </w:r>
    </w:p>
    <w:p w14:paraId="4B77BB37">
      <w:pPr>
        <w:spacing w:before="60" w:after="60" w:line="30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Day1 推荐组合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：① 与香港一间有 6 号牌的小型投行/证券商签“联合顾问”合作，分成 60/40 或 60/30/10，1–2 个月跑通；② 纯境外交易（开曼/BVI）在香港之外设 Overseas Advisors 实体，不需牌。</w:t>
      </w:r>
    </w:p>
    <w:p w14:paraId="7C16070D">
      <w:pPr>
        <w:spacing w:before="60" w:after="60" w:line="30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三条必处理红线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：AEF 离职合同的保密/竞业条款先查清；所有步骤走合作方合规流程；认股权事项在 Day1 第一单让律师出意见。</w:t>
      </w:r>
    </w:p>
    <w:p w14:paraId="3E0F06E6">
      <w:pPr>
        <w:pStyle w:val="3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附录 3　工业自动化与机器人 Day1 修正</w:t>
      </w:r>
    </w:p>
    <w:p w14:paraId="3D893193">
      <w:pPr>
        <w:spacing w:before="60" w:after="60" w:line="300" w:lineRule="auto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 xml:space="preserve">原案中“灯塔场景 POC + 集成商渠道”需要 Industry Lead + PM + Local BD，与 </w:t>
      </w:r>
      <w:r>
        <w:rPr>
          <w:rFonts w:ascii="微软雅黑" w:hAnsi="微软雅黑" w:eastAsia="微软雅黑" w:cs="微软雅黑"/>
          <w:b/>
          <w:bCs/>
          <w:sz w:val="21"/>
          <w:szCs w:val="21"/>
        </w:rPr>
        <w:t>“属地第一笔订单前不招人”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 xml:space="preserve"> 直接冲突，均不可行。</w:t>
      </w:r>
    </w:p>
    <w:p w14:paraId="37273087">
      <w:pPr>
        <w:spacing w:before="60" w:after="60" w:line="30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适合 Day1 的四个可卖产品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：</w:t>
      </w:r>
    </w:p>
    <w:p w14:paraId="600C598C">
      <w:pPr>
        <w:pStyle w:val="6"/>
        <w:numPr>
          <w:ilvl w:val="0"/>
          <w:numId w:val="3"/>
        </w:numPr>
        <w:spacing w:before="40" w:after="40" w:line="300" w:lineRule="auto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跨境撮合（仅牵线不做 PMO）：把客户与集成商拉到一张桌上，促成 POC 合同，收一次性撮合费。</w:t>
      </w:r>
    </w:p>
    <w:p w14:paraId="76D9D7BC">
      <w:pPr>
        <w:pStyle w:val="6"/>
        <w:numPr>
          <w:ilvl w:val="0"/>
          <w:numId w:val="3"/>
        </w:numPr>
        <w:spacing w:before="40" w:after="40" w:line="300" w:lineRule="auto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出海落地标准包：架构 + 合规 + 认证路径 + 目标市场进入策略，远程可交付，固定价 15–30 万/单。</w:t>
      </w:r>
    </w:p>
    <w:p w14:paraId="347020C3">
      <w:pPr>
        <w:pStyle w:val="6"/>
        <w:numPr>
          <w:ilvl w:val="0"/>
          <w:numId w:val="3"/>
        </w:numPr>
        <w:spacing w:before="40" w:after="40" w:line="300" w:lineRule="auto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订单融资撮合：不出资金，做方案 + 对接，以顾问费 + 方案费取代。</w:t>
      </w:r>
    </w:p>
    <w:p w14:paraId="69322DD3">
      <w:pPr>
        <w:pStyle w:val="6"/>
        <w:numPr>
          <w:ilvl w:val="0"/>
          <w:numId w:val="3"/>
        </w:numPr>
        <w:spacing w:before="40" w:after="40" w:line="300" w:lineRule="auto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售后网络搭建包：只卖 SLA 标准 + 授权服务商名录 + 工单派发流程，不自建工程师池不建备件仓。</w:t>
      </w:r>
    </w:p>
    <w:p w14:paraId="13252FE2">
      <w:pPr>
        <w:pStyle w:val="3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附录 4　Digital AI 为什么比工业自动化与机器人更适合 Day1</w:t>
      </w:r>
    </w:p>
    <w:p w14:paraId="4E312C98">
      <w:pPr>
        <w:pStyle w:val="6"/>
        <w:numPr>
          <w:ilvl w:val="0"/>
          <w:numId w:val="3"/>
        </w:numPr>
        <w:spacing w:before="40" w:after="40" w:line="300" w:lineRule="auto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客户是本地大企业/政府，决策层直接可见，不需要地推团队。</w:t>
      </w:r>
    </w:p>
    <w:p w14:paraId="4BE91CB3">
      <w:pPr>
        <w:pStyle w:val="6"/>
        <w:numPr>
          <w:ilvl w:val="0"/>
          <w:numId w:val="3"/>
        </w:numPr>
        <w:spacing w:before="40" w:after="40" w:line="300" w:lineRule="auto"/>
      </w:pPr>
      <w:r>
        <w:rPr>
          <w:rFonts w:ascii="微软雅黑" w:hAnsi="微软雅黑" w:eastAsia="微软雅黑" w:cs="微软雅黑"/>
          <w:b w:val="0"/>
          <w:bCs w:val="0"/>
          <w:color w:val="FF0000"/>
          <w:sz w:val="21"/>
          <w:szCs w:val="21"/>
        </w:rPr>
        <w:t>交付以软件为主，但 POC/共创阶段仍需 FDE（前线部署工程师）与客户团队一起工作落地，不是纯远程。</w:t>
      </w:r>
    </w:p>
    <w:p w14:paraId="1F9D80E2">
      <w:pPr>
        <w:pStyle w:val="6"/>
        <w:numPr>
          <w:ilvl w:val="0"/>
          <w:numId w:val="3"/>
        </w:numPr>
        <w:spacing w:before="40" w:after="40" w:line="300" w:lineRule="auto"/>
      </w:pPr>
      <w:r>
        <w:rPr>
          <w:rFonts w:ascii="微软雅黑" w:hAnsi="微软雅黑" w:eastAsia="微软雅黑" w:cs="微软雅黑"/>
          <w:b w:val="0"/>
          <w:bCs w:val="0"/>
          <w:color w:val="FF0000"/>
          <w:sz w:val="21"/>
          <w:szCs w:val="21"/>
        </w:rPr>
        <w:t>合规与算力大部分可远程 + 生态律所/云厂商完成；数据集成与系统对接（POC 到生产）通常需短周期现场配合。</w:t>
      </w:r>
    </w:p>
    <w:p w14:paraId="0EBCE11E">
      <w:pPr>
        <w:pStyle w:val="6"/>
        <w:numPr>
          <w:ilvl w:val="0"/>
          <w:numId w:val="3"/>
        </w:numPr>
        <w:spacing w:before="40" w:after="40" w:line="300" w:lineRule="auto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单笔金额可以很大，一个银行 AI 项目就够撑起第一年的收入。</w:t>
      </w:r>
    </w:p>
    <w:p w14:paraId="2BA81251">
      <w:pPr>
        <w:spacing w:before="60" w:after="60" w:line="30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Day1 实战三件套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：灯塔客户共创计划 + 出海落地标准包 + 算力与合规轻顾问</w:t>
      </w:r>
      <w:r>
        <w:rPr>
          <w:rFonts w:ascii="微软雅黑" w:hAnsi="微软雅黑" w:eastAsia="微软雅黑" w:cs="微软雅黑"/>
          <w:b w:val="0"/>
          <w:bCs w:val="0"/>
          <w:color w:val="FF0000"/>
          <w:sz w:val="21"/>
          <w:szCs w:val="21"/>
        </w:rPr>
        <w:t> + FDE 协调（必要时借助当地工程伙伴）。</w:t>
      </w:r>
    </w:p>
    <w:p w14:paraId="6C0F1B01">
      <w:pPr>
        <w:spacing w:before="60" w:after="60" w:line="300" w:lineRule="auto"/>
      </w:pPr>
      <w:r>
        <w:rPr>
          <w:rFonts w:ascii="微软雅黑" w:hAnsi="微软雅黑" w:eastAsia="微软雅黑" w:cs="微软雅黑"/>
          <w:b w:val="0"/>
          <w:bCs w:val="0"/>
          <w:color w:val="FF0000"/>
          <w:sz w:val="21"/>
          <w:szCs w:val="21"/>
        </w:rPr>
        <w:t>Day1 优势仍成立的判断依据（FDE 修正后）：FDE 是软件工程师，签证、语言、成本门槛均低于工业自动化所需的电气/机械装配与调试技师；FDE 配套以“境内工程师短周期出差 + 当地工程伙伴”即可补齐；而工业自动化的售后网络（SLA 标准、备件仓、长期本地工程师）是资产型投入，Day1 难以承受。Digital AI 的 Day1 门槛从“几乎零现场”上调为“短周期现场”，仍显著低于工业自动化与机器人。</w:t>
      </w:r>
    </w:p>
    <w:p w14:paraId="6C0F1B02">
      <w:pPr>
        <w:spacing w:before="60" w:after="60" w:line="300" w:lineRule="auto"/>
      </w:pPr>
      <w:r>
        <w:rPr>
          <w:rFonts w:ascii="微软雅黑" w:hAnsi="微软雅黑" w:eastAsia="微软雅黑" w:cs="微软雅黑"/>
          <w:b w:val="0"/>
          <w:bCs w:val="0"/>
          <w:color w:val="FF0000"/>
          <w:sz w:val="21"/>
          <w:szCs w:val="21"/>
        </w:rPr>
        <w:t>FDE 配套生态（新增服务产品，对标“授权集成服务商池”）：FDE 主力 base 境内——中国 AI 厂商自带的部署/解决方案工程师随项目短中期出差，成本可控、技术理解深；海外仅配“现场配合层”，由本地双语工程师 / IT 服务商承接长期驻场与语言需求。分工：境内 FDE 池的联络与触达是 A 的任务，海外现场伙伴池的搭建是 T 的任务。</w:t>
      </w:r>
    </w:p>
    <w:p w14:paraId="53DC315B">
      <w:pPr>
        <w:pStyle w:val="3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附录 5　售后网络：Day1 只卖“规则”不卖“运营”</w:t>
      </w:r>
    </w:p>
    <w:p w14:paraId="12B7F13F">
      <w:pPr>
        <w:spacing w:before="60" w:after="60" w:line="30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拆两层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：规则层（Overseas 卖）包括 SLA 标准 + 授权服务商名录 + 工单流程 + 客户对接模板；运营层（本地服务商/集成商承接）包括现场工程师、备件仓、售后中心。</w:t>
      </w:r>
    </w:p>
    <w:p w14:paraId="4879382D">
      <w:pPr>
        <w:spacing w:before="60" w:after="60" w:line="30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Day1 收费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：一次性搭建费 10–20 万/家厂商 + 工单抽成 10–20%。客户从“产品卖出去了谁来售后”问题，达到“第 4 周能接工单”的质变，这个价值点十足。</w:t>
      </w:r>
    </w:p>
    <w:p w14:paraId="6F15ED4A">
      <w:pPr>
        <w:spacing w:before="60" w:after="60" w:line="30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工具化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：飞书多维表格 + 微信群 + 共享 Google Sheet 即可跑，不花钱建系统。与集成商渠道是同一张网——被招成渠道的集成商顺带成为授权服务商，能额外提供售后服务质量。</w:t>
      </w:r>
    </w:p>
    <w:p w14:paraId="311BDC9A">
      <w:pPr>
        <w:spacing w:before="60" w:after="60" w:line="30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招人临界点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：客户 ≥ 3–5 家 / 月工单 ≥ 100 / 需实体备件仓 / 出现质量事故需现场介入。</w:t>
      </w:r>
    </w:p>
    <w:p w14:paraId="7C3ADE51">
      <w:pPr>
        <w:pStyle w:val="3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附录 6　订单融资：Day1 本质是“咨询包 + 撮合”</w:t>
      </w:r>
    </w:p>
    <w:p w14:paraId="3E8B8A58">
      <w:pPr>
        <w:spacing w:before="60" w:after="60" w:line="30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不出资金不担信用风险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：Overseas 只出方案 + 对接 + 跟进。运作路径：选方案（保理 / 内保外贷 / 订单贷 / 中信保）→准备材料→对接银行/保理商/中信保→跟进审批与放款。全部远程。</w:t>
      </w:r>
    </w:p>
    <w:p w14:paraId="772BA966">
      <w:pPr>
        <w:spacing w:before="60" w:after="60" w:line="30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Day1 收费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：方案设计费 5–15 万 + 成功融资顾问费·按额 0.5–1.5% + 年度顾问 5–10 万/年。</w:t>
      </w:r>
    </w:p>
    <w:p w14:paraId="0B6F2C2D">
      <w:pPr>
        <w:spacing w:before="60" w:after="60" w:line="30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定位重调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：价值不在收费，在客户粘性 + 数据入口 + 阶段③ 入口——让客户离不开 Overseas，为后期 FA 与股权置换产生追加。</w:t>
      </w:r>
    </w:p>
    <w:p w14:paraId="28E09500">
      <w:pPr>
        <w:spacing w:before="60" w:after="60" w:line="30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招人临界点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：年单量 ≥ 10 / 累计融资额 ≥ 5 亿 / 客户要求长期稳定的“备付资金池” / 团队具备金融产品设计能力。</w:t>
      </w:r>
    </w:p>
    <w:p w14:paraId="191F787E">
      <w:pPr>
        <w:spacing w:before="60" w:after="60" w:line="300" w:lineRule="auto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上述五项中</w:t>
      </w:r>
      <w:r>
        <w:rPr>
          <w:rFonts w:ascii="微软雅黑" w:hAnsi="微软雅黑" w:eastAsia="微软雅黑" w:cs="微软雅黑"/>
          <w:b/>
          <w:bCs/>
          <w:sz w:val="21"/>
          <w:szCs w:val="21"/>
        </w:rPr>
        <w:t>附录 2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 xml:space="preserve"> 是对“业务边界”的决策；附录 3、4、5、6 是对“产品定义”的取舍；</w:t>
      </w:r>
      <w:r>
        <w:rPr>
          <w:rFonts w:ascii="微软雅黑" w:hAnsi="微软雅黑" w:eastAsia="微软雅黑" w:cs="微软雅黑"/>
          <w:b/>
          <w:bCs/>
          <w:sz w:val="21"/>
          <w:szCs w:val="21"/>
        </w:rPr>
        <w:t>Day1 全部依据在 “资源整合”与 “生态分包” 两个能力上，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任何一项跨过临界点的都是资产而不是负担。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E77544">
    <w:pPr>
      <w:jc w:val="center"/>
    </w:pPr>
    <w:r>
      <w:rPr>
        <w:rFonts w:ascii="微软雅黑" w:hAnsi="微软雅黑" w:eastAsia="微软雅黑" w:cs="微软雅黑"/>
        <w:color w:val="808080"/>
        <w:sz w:val="16"/>
        <w:szCs w:val="16"/>
      </w:rPr>
      <w:t xml:space="preserve">第 </w:t>
    </w:r>
    <w:r>
      <w:rPr>
        <w:rFonts w:ascii="微软雅黑" w:hAnsi="微软雅黑" w:eastAsia="微软雅黑" w:cs="微软雅黑"/>
        <w:color w:val="808080"/>
        <w:sz w:val="16"/>
        <w:szCs w:val="16"/>
      </w:rPr>
      <w:fldChar w:fldCharType="begin"/>
    </w:r>
    <w:r>
      <w:rPr>
        <w:rFonts w:ascii="微软雅黑" w:hAnsi="微软雅黑" w:eastAsia="微软雅黑" w:cs="微软雅黑"/>
        <w:color w:val="808080"/>
        <w:sz w:val="16"/>
        <w:szCs w:val="16"/>
      </w:rPr>
      <w:instrText xml:space="preserve">PAGE</w:instrText>
    </w:r>
    <w:r>
      <w:rPr>
        <w:rFonts w:ascii="微软雅黑" w:hAnsi="微软雅黑" w:eastAsia="微软雅黑" w:cs="微软雅黑"/>
        <w:color w:val="808080"/>
        <w:sz w:val="16"/>
        <w:szCs w:val="16"/>
      </w:rPr>
      <w:fldChar w:fldCharType="separate"/>
    </w:r>
    <w:r>
      <w:rPr>
        <w:rFonts w:ascii="微软雅黑" w:hAnsi="微软雅黑" w:eastAsia="微软雅黑" w:cs="微软雅黑"/>
        <w:color w:val="808080"/>
        <w:sz w:val="16"/>
        <w:szCs w:val="16"/>
      </w:rPr>
      <w:fldChar w:fldCharType="end"/>
    </w:r>
    <w:r>
      <w:rPr>
        <w:rFonts w:ascii="微软雅黑" w:hAnsi="微软雅黑" w:eastAsia="微软雅黑" w:cs="微软雅黑"/>
        <w:color w:val="808080"/>
        <w:sz w:val="16"/>
        <w:szCs w:val="16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9E9BB6">
    <w:pPr>
      <w:pBdr>
        <w:bottom w:val="single" w:color="D0D7E5" w:sz="4" w:space="2"/>
      </w:pBdr>
      <w:jc w:val="right"/>
    </w:pPr>
    <w:r>
      <w:rPr>
        <w:rFonts w:ascii="微软雅黑" w:hAnsi="微软雅黑" w:eastAsia="微软雅黑" w:cs="微软雅黑"/>
        <w:color w:val="808080"/>
        <w:sz w:val="16"/>
        <w:szCs w:val="16"/>
      </w:rPr>
      <w:t>Overseas 出海服务平台 · 业务框架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decimal"/>
      <w:lvlText w:val="%1."/>
      <w:lvlJc w:val="left"/>
      <w:pPr>
        <w:ind w:left="520" w:hanging="300"/>
      </w:pPr>
    </w:lvl>
  </w:abstractNum>
  <w:abstractNum w:abstractNumId="1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500" w:hanging="260"/>
      </w:pPr>
    </w:lvl>
  </w:abstractNum>
  <w:abstractNum w:abstractNumId="2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5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67793861"/>
    <w:rsid w:val="7E5A3C2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pPr>
      <w:spacing w:before="280" w:after="140" w:line="300" w:lineRule="auto"/>
      <w:outlineLvl w:val="0"/>
    </w:pPr>
    <w:rPr>
      <w:rFonts w:ascii="微软雅黑" w:hAnsi="微软雅黑" w:eastAsia="微软雅黑" w:cs="微软雅黑"/>
      <w:b/>
      <w:bCs/>
      <w:color w:val="1F3864"/>
      <w:sz w:val="28"/>
      <w:szCs w:val="28"/>
    </w:rPr>
  </w:style>
  <w:style w:type="paragraph" w:styleId="3">
    <w:name w:val="heading 2"/>
    <w:next w:val="1"/>
    <w:qFormat/>
    <w:uiPriority w:val="0"/>
    <w:pPr>
      <w:spacing w:before="200" w:after="100" w:line="300" w:lineRule="auto"/>
      <w:outlineLvl w:val="1"/>
    </w:pPr>
    <w:rPr>
      <w:rFonts w:ascii="微软雅黑" w:hAnsi="微软雅黑" w:eastAsia="微软雅黑" w:cs="微软雅黑"/>
      <w:b/>
      <w:bCs/>
      <w:color w:val="2E75B6"/>
      <w:sz w:val="23"/>
      <w:szCs w:val="23"/>
    </w:rPr>
  </w:style>
  <w:style w:type="paragraph" w:styleId="4">
    <w:name w:val="heading 3"/>
    <w:next w:val="1"/>
    <w:qFormat/>
    <w:uiPriority w:val="0"/>
    <w:pPr>
      <w:spacing w:line="300" w:lineRule="auto"/>
    </w:pPr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line="300" w:lineRule="auto"/>
    </w:pPr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pPr>
      <w:spacing w:line="300" w:lineRule="auto"/>
    </w:pPr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pPr>
      <w:spacing w:line="300" w:lineRule="auto"/>
    </w:pPr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pPr>
      <w:spacing w:line="300" w:lineRule="auto"/>
    </w:pPr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pPr>
      <w:spacing w:line="300" w:lineRule="auto"/>
    </w:pPr>
    <w:rPr>
      <w:rFonts w:ascii="微软雅黑" w:hAnsi="微软雅黑" w:eastAsia="微软雅黑" w:cs="微软雅黑"/>
      <w:sz w:val="21"/>
      <w:szCs w:val="21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1202</Words>
  <Characters>1351</Characters>
  <TotalTime>7</TotalTime>
  <ScaleCrop>false</ScaleCrop>
  <LinksUpToDate>false</LinksUpToDate>
  <CharactersWithSpaces>1484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2026-09-13T11:28:00Z</dcterms:created>
  <dc:creator>Overseas</dc:creator>
  <cp:lastModifiedBy>Anson</cp:lastModifiedBy>
  <dcterms:modified xsi:type="dcterms:W3CDTF">2026-09-14T09:16:02Z</dcterms:modified>
  <dc:title>Overseas 出海服务平台 · 业务框架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eyJoZGlkIjoiMDljYzUzMWQ4OWI0YzBkYjYzMDRhZTY5ZjZkYmFmYTgiLCJ1c2VySWQiOiI0MzU1NzQ3NTQifQ==</vt:lpwstr>
  </property>
  <property fmtid="{D5CDD505-2E9C-101B-9397-08002B2CF9AE}" pid="3" name="KSOProductBuildVer">
    <vt:lpwstr>2052-12.1.0.28043</vt:lpwstr>
  </property>
  <property fmtid="{D5CDD505-2E9C-101B-9397-08002B2CF9AE}" pid="4" name="ICV">
    <vt:lpwstr>4CE09EB44555451E97252C7BE72C13E6_12</vt:lpwstr>
  </property>
</Properties>
</file>