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52"/>
          <w:rFonts w:eastAsia="Heiti SC" w:ascii="Heiti SC"/>
        </w:rPr>
        <w:t>诺辉投资</w:t>
      </w:r>
    </w:p>
    <w:p>
      <w:pPr>
        <w:spacing w:line="360" w:lineRule="auto"/>
        <w:ind w:firstLine="0"/>
        <w:jc w:val="center"/>
      </w:pPr>
      <w:r>
        <w:rPr>
          <w:b w:val="0"/>
          <w:color w:val="1F3A68"/>
          <w:sz w:val="28"/>
        </w:rPr>
        <w:t>公司介绍 · 完整版</w:t>
      </w:r>
    </w:p>
    <w:p>
      <w:pPr>
        <w:spacing w:line="360" w:lineRule="auto"/>
        <w:ind w:firstLine="0"/>
        <w:jc w:val="center"/>
      </w:pPr>
      <w:r>
        <w:rPr>
          <w:b w:val="0"/>
          <w:color w:val="C08A2E"/>
          <w:sz w:val="24"/>
        </w:rPr>
        <w:t>懂产业的硬科技投资人</w:t>
      </w:r>
    </w:p>
    <w:p/>
    <w:p>
      <w:r>
        <w:rPr>
          <w:b/>
          <w:color w:val="1F3A68"/>
          <w:sz w:val="28"/>
          <w:rFonts w:eastAsia="Heiti SC" w:ascii="Heiti SC"/>
        </w:rPr>
        <w:t>一、公司概况</w:t>
      </w:r>
    </w:p>
    <w:p>
      <w:pPr>
        <w:spacing w:line="360" w:lineRule="auto"/>
        <w:ind w:firstLine="420"/>
      </w:pPr>
      <w:r>
        <w:rPr>
          <w:b w:val="0"/>
          <w:sz w:val="22"/>
        </w:rPr>
        <w:t>诺辉投资 2011 年进入私募股权投资行业，深耕国内成长期企业投资超过 15 年。我们见证了中国科技产业从追赶到引领的完整周期，也在这个过程中形成了自己的判断体系。</w:t>
      </w:r>
    </w:p>
    <w:p>
      <w:pPr>
        <w:spacing w:line="360" w:lineRule="auto"/>
        <w:ind w:firstLine="420"/>
      </w:pPr>
      <w:r>
        <w:rPr>
          <w:b w:val="0"/>
          <w:sz w:val="22"/>
        </w:rPr>
        <w:t>团队核心成员来自华为、英特尔、意法半导体、LG 等全球顶级科技企业，合伙人团队覆盖研发、市场、供应链、财务等多个核心业务板块。懂产业的人做投资，是我们最大的优势——我们清楚一项技术从实验室到量产线再到全球客户之间的距离，也清楚一家硬科技企业从 A 轮走到上市需要哪些能力补齐。</w:t>
      </w:r>
    </w:p>
    <w:p>
      <w:pPr>
        <w:spacing w:line="360" w:lineRule="auto"/>
        <w:ind w:firstLine="420"/>
      </w:pPr>
      <w:r>
        <w:rPr>
          <w:b w:val="0"/>
          <w:sz w:val="22"/>
        </w:rPr>
        <w:t>我们聚焦战略性新兴产业，重点布局半导体、新能源及新材料、5G 通信电子、人工智能、新能源汽车等硬科技领域。我们不追风口，只投那些十年后还会更值钱的方向。</w:t>
      </w:r>
    </w:p>
    <w:p>
      <w:pPr>
        <w:spacing w:line="360" w:lineRule="auto"/>
        <w:ind w:firstLine="420"/>
      </w:pPr>
      <w:r>
        <w:rPr>
          <w:b/>
          <w:sz w:val="22"/>
        </w:rPr>
        <w:t>累计投资项目 70 家，基金管理规模逾 30 亿元，多家被投企业成功实现 IPO 或并购退出。</w:t>
      </w:r>
    </w:p>
    <w:p>
      <w:r>
        <w:rPr>
          <w:b/>
          <w:color w:val="1F3A68"/>
          <w:sz w:val="28"/>
          <w:rFonts w:eastAsia="Heiti SC" w:ascii="Heiti SC"/>
        </w:rPr>
        <w:t>二、发展历程与基金管理平台</w:t>
      </w:r>
    </w:p>
    <w:p>
      <w:pPr>
        <w:spacing w:line="360" w:lineRule="auto"/>
        <w:ind w:firstLine="420"/>
      </w:pPr>
      <w:r>
        <w:rPr>
          <w:b w:val="0"/>
          <w:sz w:val="22"/>
        </w:rPr>
        <w:t>我们以两家基金管理公司为核心运作平台，分工互补、协同覆盖科技企业的全生命周期：</w:t>
      </w:r>
    </w:p>
    <w:p>
      <w:pPr>
        <w:pStyle w:val="ListBullet"/>
        <w:spacing w:line="312" w:lineRule="auto"/>
      </w:pPr>
      <w:r>
        <w:rPr>
          <w:b/>
          <w:sz w:val="22"/>
        </w:rPr>
        <w:t>深圳诺辉岭南私募创业投资基金管理有限公司：</w:t>
      </w:r>
      <w:r>
        <w:rPr>
          <w:sz w:val="22"/>
        </w:rPr>
        <w:t>成立于 2015 年，登记编号 P1032386。聚焦早期和成长期硬科技企业，为创业团队提供从天使到 B/C 轮的接力投资与产业赋能。</w:t>
      </w:r>
    </w:p>
    <w:p>
      <w:pPr>
        <w:pStyle w:val="ListBullet"/>
        <w:spacing w:line="312" w:lineRule="auto"/>
      </w:pPr>
      <w:r>
        <w:rPr>
          <w:b/>
          <w:sz w:val="22"/>
        </w:rPr>
        <w:t>深圳亚商诺辉股权投资管理有限公司：</w:t>
      </w:r>
      <w:r>
        <w:rPr>
          <w:sz w:val="22"/>
        </w:rPr>
        <w:t>成立于 2017 年，登记编号 P1064412。专注深圳区域成长期与成熟期企业，结合大湾区产业资源，为成熟项目提供资本运作与产业整合支持。</w:t>
      </w:r>
    </w:p>
    <w:p>
      <w:pPr>
        <w:spacing w:line="360" w:lineRule="auto"/>
        <w:ind w:firstLine="420"/>
      </w:pPr>
      <w:r>
        <w:rPr>
          <w:b w:val="0"/>
          <w:sz w:val="22"/>
        </w:rPr>
        <w:t>两家管理人均经中国证券投资基金业协会登记备案，已发起设立股权投资基金 20 余支，并在深圳、甘肃、浙江等地与地方政府合作发起多支产业引导基金，形成了「政府引导 + 市场化 + 产业资本」三方协同的稳定 LP 结构。</w:t>
      </w:r>
    </w:p>
    <w:p>
      <w:r>
        <w:rPr>
          <w:b/>
          <w:color w:val="1F3A68"/>
          <w:sz w:val="28"/>
          <w:rFonts w:eastAsia="Heiti SC" w:ascii="Heiti SC"/>
        </w:rPr>
        <w:t>三、投资赛道</w:t>
      </w:r>
    </w:p>
    <w:p>
      <w:pPr>
        <w:spacing w:line="360" w:lineRule="auto"/>
        <w:ind w:firstLine="420"/>
      </w:pPr>
      <w:r>
        <w:rPr>
          <w:b w:val="0"/>
          <w:sz w:val="22"/>
        </w:rPr>
        <w:t>我们将主要资源投入到五条核心产业链，每条产业链都对应明确的国家战略方向、清晰的国产替代窗口以及可见的全球竞争格局：</w:t>
      </w:r>
    </w:p>
    <w:p>
      <w:pPr>
        <w:pStyle w:val="ListBullet"/>
        <w:spacing w:line="312" w:lineRule="auto"/>
      </w:pPr>
      <w:r>
        <w:rPr>
          <w:b/>
          <w:sz w:val="22"/>
        </w:rPr>
        <w:t xml:space="preserve">① 半导体产业链 —— </w:t>
      </w:r>
      <w:r>
        <w:rPr>
          <w:sz w:val="22"/>
        </w:rPr>
        <w:t>覆盖芯片设计、半导体测试、第三代半导体材料、芯片开发软件等关键环节，重点支持具备核心 IP 自研能力的国产化替代标的。</w:t>
      </w:r>
    </w:p>
    <w:p>
      <w:pPr>
        <w:pStyle w:val="ListBullet"/>
        <w:spacing w:line="312" w:lineRule="auto"/>
      </w:pPr>
      <w:r>
        <w:rPr>
          <w:b/>
          <w:sz w:val="22"/>
        </w:rPr>
        <w:t xml:space="preserve">② 人工智能产业链 —— </w:t>
      </w:r>
      <w:r>
        <w:rPr>
          <w:sz w:val="22"/>
        </w:rPr>
        <w:t>覆盖大模型基础设施、企业级 AI 应用、具身智能、世界模型、AI 视频与多模态等方向，围绕「模型 + 应用 + 算力」三层结构系统布局。</w:t>
      </w:r>
    </w:p>
    <w:p>
      <w:pPr>
        <w:pStyle w:val="ListBullet"/>
        <w:spacing w:line="312" w:lineRule="auto"/>
      </w:pPr>
      <w:r>
        <w:rPr>
          <w:b/>
          <w:sz w:val="22"/>
        </w:rPr>
        <w:t xml:space="preserve">③ 5G 及通信电子产业链 —— </w:t>
      </w:r>
      <w:r>
        <w:rPr>
          <w:sz w:val="22"/>
        </w:rPr>
        <w:t>覆盖射频处理器、智能融合通信、声学器件、智能终端等环节，把握 5G/6G 与 AIoT 长期红利。</w:t>
      </w:r>
    </w:p>
    <w:p>
      <w:pPr>
        <w:pStyle w:val="ListBullet"/>
        <w:spacing w:line="312" w:lineRule="auto"/>
      </w:pPr>
      <w:r>
        <w:rPr>
          <w:b/>
          <w:sz w:val="22"/>
        </w:rPr>
        <w:t xml:space="preserve">④ 新能源及汽车产业链 —— </w:t>
      </w:r>
      <w:r>
        <w:rPr>
          <w:sz w:val="22"/>
        </w:rPr>
        <w:t>覆盖动力电池、储能电源、锂电材料、汽车零部件等方向，受益于电动化与能源转型的双重驱动。</w:t>
      </w:r>
    </w:p>
    <w:p>
      <w:pPr>
        <w:pStyle w:val="ListBullet"/>
        <w:spacing w:line="312" w:lineRule="auto"/>
      </w:pPr>
      <w:r>
        <w:rPr>
          <w:b/>
          <w:sz w:val="22"/>
        </w:rPr>
        <w:t xml:space="preserve">⑤ 其他硬科技方向 —— </w:t>
      </w:r>
      <w:r>
        <w:rPr>
          <w:sz w:val="22"/>
        </w:rPr>
        <w:t>包括高性能新材料、商业航天、光量子计算、智能制造等前沿方向，在确定性赛道之外保留对未来 10 年颠覆性机会的布局窗口。</w:t>
      </w:r>
    </w:p>
    <w:p>
      <w:r>
        <w:rPr>
          <w:b/>
          <w:color w:val="1F3A68"/>
          <w:sz w:val="28"/>
          <w:rFonts w:eastAsia="Heiti SC" w:ascii="Heiti SC"/>
        </w:rPr>
        <w:t>四、基金管理团队</w:t>
      </w:r>
    </w:p>
    <w:p>
      <w:pPr>
        <w:spacing w:line="360" w:lineRule="auto"/>
        <w:ind w:firstLine="420"/>
      </w:pPr>
      <w:r>
        <w:rPr>
          <w:b w:val="0"/>
          <w:sz w:val="22"/>
        </w:rPr>
        <w:t>诺辉投资由 9 位合伙人组成产业 + 资本复合型团队，关键人为创始合伙人董博欣先生。团队成员普遍具备一线科技公司核心岗位经历与一线投资机构操盘经验，可在战略规划、财务规划、营销规划、人力资源、风险管理等维度为被投企业提供深度赋能。</w:t>
      </w:r>
    </w:p>
    <w:p>
      <w:pPr>
        <w:spacing w:before="80"/>
        <w:ind w:left="283"/>
      </w:pPr>
      <w:r>
        <w:rPr>
          <w:b/>
          <w:color w:val="1F3A68"/>
          <w:sz w:val="23"/>
        </w:rPr>
        <w:t xml:space="preserve">董博欣  创始合伙人  </w:t>
      </w:r>
      <w:r>
        <w:rPr>
          <w:sz w:val="22"/>
        </w:rPr>
        <w:t>澳大利亚莫那什大学硕士、清华经管 EMBA。曾任职华为技术、南方航空。上海财经大学、人民大学等院校兼职讲师，香港 CFA 协会会员，著有《企业资金管理》。</w:t>
      </w:r>
    </w:p>
    <w:p>
      <w:pPr>
        <w:spacing w:before="80"/>
        <w:ind w:left="283"/>
      </w:pPr>
      <w:r>
        <w:rPr>
          <w:b/>
          <w:color w:val="1F3A68"/>
          <w:sz w:val="23"/>
        </w:rPr>
        <w:t xml:space="preserve">程仁田  合伙人  </w:t>
      </w:r>
      <w:r>
        <w:rPr>
          <w:sz w:val="22"/>
        </w:rPr>
        <w:t>吉林大学硕士、英国威尔士大学 MBA、中国人民大学 EMBA。曾任职中兴通讯、华为技术、达晨创投、招银国际、国风投、兼固资本。</w:t>
      </w:r>
    </w:p>
    <w:p>
      <w:pPr>
        <w:spacing w:before="80"/>
        <w:ind w:left="283"/>
      </w:pPr>
      <w:r>
        <w:rPr>
          <w:b/>
          <w:color w:val="1F3A68"/>
          <w:sz w:val="23"/>
        </w:rPr>
        <w:t xml:space="preserve">伍  疆  合伙人  </w:t>
      </w:r>
      <w:r>
        <w:rPr>
          <w:sz w:val="22"/>
        </w:rPr>
        <w:t>澳大利亚墨尔本大学双硕士、北京理工大学硕士、清华经管 EMBA。曾任职意法半导体、恒达微波。</w:t>
      </w:r>
    </w:p>
    <w:p>
      <w:pPr>
        <w:spacing w:before="80"/>
        <w:ind w:left="283"/>
      </w:pPr>
      <w:r>
        <w:rPr>
          <w:b/>
          <w:color w:val="1F3A68"/>
          <w:sz w:val="23"/>
        </w:rPr>
        <w:t xml:space="preserve">陈顺发  合伙人  </w:t>
      </w:r>
      <w:r>
        <w:rPr>
          <w:sz w:val="22"/>
        </w:rPr>
        <w:t>香港中文大学荣誉学士、北京大学 EMBA。曾任职建设银行、汇丰银行和 China Fund，专长于企业融资及并购重组。</w:t>
      </w:r>
    </w:p>
    <w:p>
      <w:pPr>
        <w:spacing w:before="80"/>
        <w:ind w:left="283"/>
      </w:pPr>
      <w:r>
        <w:rPr>
          <w:b/>
          <w:color w:val="1F3A68"/>
          <w:sz w:val="23"/>
        </w:rPr>
        <w:t xml:space="preserve">林少斌  合伙人  </w:t>
      </w:r>
      <w:r>
        <w:rPr>
          <w:sz w:val="22"/>
        </w:rPr>
        <w:t>北京邮电大学学士、密苏里州立大学 EMBA。曾任职中国电信、华为技术。</w:t>
      </w:r>
    </w:p>
    <w:p>
      <w:pPr>
        <w:spacing w:before="80"/>
        <w:ind w:left="283"/>
      </w:pPr>
      <w:r>
        <w:rPr>
          <w:b/>
          <w:color w:val="1F3A68"/>
          <w:sz w:val="23"/>
        </w:rPr>
        <w:t xml:space="preserve">蓝晓玲  合伙人  </w:t>
      </w:r>
      <w:r>
        <w:rPr>
          <w:sz w:val="22"/>
        </w:rPr>
        <w:t>福州大学工商管理学士。曾任职仁汇和投资、聚恒投资。</w:t>
      </w:r>
    </w:p>
    <w:p>
      <w:pPr>
        <w:spacing w:before="80"/>
        <w:ind w:left="283"/>
      </w:pPr>
      <w:r>
        <w:rPr>
          <w:b/>
          <w:color w:val="1F3A68"/>
          <w:sz w:val="23"/>
        </w:rPr>
        <w:t xml:space="preserve">Johnson Chen  合伙人  </w:t>
      </w:r>
      <w:r>
        <w:rPr>
          <w:sz w:val="22"/>
        </w:rPr>
        <w:t>墨尔本大学学士。曾任职埃森哲、JP 摩根、毕马威和普华永道。</w:t>
      </w:r>
    </w:p>
    <w:p>
      <w:pPr>
        <w:spacing w:before="80"/>
        <w:ind w:left="283"/>
      </w:pPr>
      <w:r>
        <w:rPr>
          <w:b/>
          <w:color w:val="1F3A68"/>
          <w:sz w:val="23"/>
        </w:rPr>
        <w:t xml:space="preserve">常  硕  合伙人  </w:t>
      </w:r>
      <w:r>
        <w:rPr>
          <w:sz w:val="22"/>
        </w:rPr>
        <w:t>中国人民大学财政金融硕士。曾任职摩根斯坦利、东方基金。</w:t>
      </w:r>
    </w:p>
    <w:p>
      <w:pPr>
        <w:spacing w:before="80"/>
        <w:ind w:left="283"/>
      </w:pPr>
      <w:r>
        <w:rPr>
          <w:b/>
          <w:color w:val="1F3A68"/>
          <w:sz w:val="23"/>
        </w:rPr>
        <w:t xml:space="preserve">刘晓宁  合伙人  </w:t>
      </w:r>
      <w:r>
        <w:rPr>
          <w:sz w:val="22"/>
        </w:rPr>
        <w:t>上海财经大学硕士、上海交通大学 EMBA。曾任职华曜投资。</w:t>
      </w:r>
    </w:p>
    <w:p>
      <w:r>
        <w:rPr>
          <w:b/>
          <w:color w:val="1F3A68"/>
          <w:sz w:val="28"/>
          <w:rFonts w:eastAsia="Heiti SC" w:ascii="Heiti SC"/>
        </w:rPr>
        <w:t>五、投后赋能体系</w:t>
      </w:r>
    </w:p>
    <w:p>
      <w:pPr>
        <w:spacing w:line="360" w:lineRule="auto"/>
        <w:ind w:firstLine="420"/>
      </w:pPr>
      <w:r>
        <w:rPr>
          <w:b w:val="0"/>
          <w:sz w:val="22"/>
        </w:rPr>
        <w:t>我们以「赋能型投资」为核心理念，用高效的投后管理保障投资项目的业绩增长，围绕被投企业的实际需求提供五类服务：</w:t>
      </w:r>
    </w:p>
    <w:p>
      <w:pPr>
        <w:pStyle w:val="ListBullet"/>
        <w:spacing w:line="312" w:lineRule="auto"/>
      </w:pPr>
      <w:r>
        <w:rPr>
          <w:b/>
          <w:sz w:val="22"/>
        </w:rPr>
        <w:t xml:space="preserve">资源整合服务 —— </w:t>
      </w:r>
      <w:r>
        <w:rPr>
          <w:sz w:val="22"/>
        </w:rPr>
        <w:t>依托团队的产业背景与股东资源，为企业提供上下游对接与产业链协同。</w:t>
      </w:r>
    </w:p>
    <w:p>
      <w:pPr>
        <w:pStyle w:val="ListBullet"/>
        <w:spacing w:line="312" w:lineRule="auto"/>
      </w:pPr>
      <w:r>
        <w:rPr>
          <w:b/>
          <w:sz w:val="22"/>
        </w:rPr>
        <w:t xml:space="preserve">战略发展服务 —— </w:t>
      </w:r>
      <w:r>
        <w:rPr>
          <w:sz w:val="22"/>
        </w:rPr>
        <w:t>结合行业研究能力，帮助企业把握战略方向与未来增长点。</w:t>
      </w:r>
    </w:p>
    <w:p>
      <w:pPr>
        <w:pStyle w:val="ListBullet"/>
        <w:spacing w:line="312" w:lineRule="auto"/>
      </w:pPr>
      <w:r>
        <w:rPr>
          <w:b/>
          <w:sz w:val="22"/>
        </w:rPr>
        <w:t xml:space="preserve">资本运作服务 —— </w:t>
      </w:r>
      <w:r>
        <w:rPr>
          <w:sz w:val="22"/>
        </w:rPr>
        <w:t>对接银行、券商、会计师、律所、投资机构资源，为企业设计个性化资本运作方案。</w:t>
      </w:r>
    </w:p>
    <w:p>
      <w:pPr>
        <w:pStyle w:val="ListBullet"/>
        <w:spacing w:line="312" w:lineRule="auto"/>
      </w:pPr>
      <w:r>
        <w:rPr>
          <w:b/>
          <w:sz w:val="22"/>
        </w:rPr>
        <w:t xml:space="preserve">上市辅导服务 —— </w:t>
      </w:r>
      <w:r>
        <w:rPr>
          <w:sz w:val="22"/>
        </w:rPr>
        <w:t>制定专业稳健的上市计划，成立专门项目组跟进辅导，保障申报过程中各环节畅通。</w:t>
      </w:r>
    </w:p>
    <w:p>
      <w:pPr>
        <w:pStyle w:val="ListBullet"/>
        <w:spacing w:line="312" w:lineRule="auto"/>
      </w:pPr>
      <w:r>
        <w:rPr>
          <w:b/>
          <w:sz w:val="22"/>
        </w:rPr>
        <w:t xml:space="preserve">管理提升服务 —— </w:t>
      </w:r>
      <w:r>
        <w:rPr>
          <w:sz w:val="22"/>
        </w:rPr>
        <w:t>通过培训与管理咨询，帮助企业在研发、人力、营销、供应链、企业文化等方面持续升级。</w:t>
      </w:r>
    </w:p>
    <w:p>
      <w:r>
        <w:rPr>
          <w:b/>
          <w:color w:val="1F3A68"/>
          <w:sz w:val="28"/>
          <w:rFonts w:eastAsia="Heiti SC" w:ascii="Heiti SC"/>
        </w:rPr>
        <w:t>六、代表已投企业</w:t>
      </w:r>
    </w:p>
    <w:p>
      <w:pPr>
        <w:spacing w:line="336" w:lineRule="auto"/>
        <w:ind w:left="170"/>
      </w:pPr>
      <w:r>
        <w:rPr>
          <w:b/>
          <w:color w:val="1F3A68"/>
          <w:sz w:val="23"/>
        </w:rPr>
        <w:t>▎ 半导体产业链：</w:t>
      </w:r>
      <w:r>
        <w:rPr>
          <w:sz w:val="22"/>
        </w:rPr>
        <w:t>紫光展锐、飞骧科技、爱普特微电子、芯和半导体、氮矽科技、思朗科技、法特迪 等。</w:t>
      </w:r>
    </w:p>
    <w:p>
      <w:pPr>
        <w:spacing w:line="336" w:lineRule="auto"/>
        <w:ind w:left="170"/>
      </w:pPr>
      <w:r>
        <w:rPr>
          <w:b/>
          <w:color w:val="1F3A68"/>
          <w:sz w:val="23"/>
        </w:rPr>
        <w:t>▎ 人工智能产业链：</w:t>
      </w:r>
      <w:r>
        <w:rPr>
          <w:sz w:val="22"/>
        </w:rPr>
        <w:t>浪潮云、联汇科技、九科信息、若思人工智能、灵初智能、零一万物、极佳视界 等。</w:t>
      </w:r>
    </w:p>
    <w:p>
      <w:pPr>
        <w:spacing w:line="336" w:lineRule="auto"/>
        <w:ind w:left="170"/>
      </w:pPr>
      <w:r>
        <w:rPr>
          <w:b/>
          <w:color w:val="1F3A68"/>
          <w:sz w:val="23"/>
        </w:rPr>
        <w:t>▎ 5G 及通信电子产业链：</w:t>
      </w:r>
      <w:r>
        <w:rPr>
          <w:sz w:val="22"/>
        </w:rPr>
        <w:t>阳光凯讯、得翼通信、米笛声学、戴尔蒙德 等。</w:t>
      </w:r>
    </w:p>
    <w:p>
      <w:pPr>
        <w:spacing w:line="336" w:lineRule="auto"/>
        <w:ind w:left="170"/>
      </w:pPr>
      <w:r>
        <w:rPr>
          <w:b/>
          <w:color w:val="1F3A68"/>
          <w:sz w:val="23"/>
        </w:rPr>
        <w:t>▎ 新能源及汽车产业链：</w:t>
      </w:r>
      <w:r>
        <w:rPr>
          <w:sz w:val="22"/>
        </w:rPr>
        <w:t>欣旺达汽车电池、德兰明海、金禧新材料、卡特新能源、优彩科技 等。</w:t>
      </w:r>
    </w:p>
    <w:p>
      <w:pPr>
        <w:spacing w:line="336" w:lineRule="auto"/>
        <w:ind w:left="170"/>
      </w:pPr>
      <w:r>
        <w:rPr>
          <w:b/>
          <w:color w:val="1F3A68"/>
          <w:sz w:val="23"/>
        </w:rPr>
        <w:t>▎ 其他硬科技方向：</w:t>
      </w:r>
      <w:r>
        <w:rPr>
          <w:sz w:val="22"/>
        </w:rPr>
        <w:t>望尘科技（02458）、零重力飞机、图灵量子、安健科技、华筑人居、幸福西饼 等。</w:t>
      </w:r>
    </w:p>
    <w:p>
      <w:r>
        <w:rPr>
          <w:b/>
          <w:color w:val="1F3A68"/>
          <w:sz w:val="28"/>
          <w:rFonts w:eastAsia="Heiti SC" w:ascii="Heiti SC"/>
        </w:rPr>
        <w:t>七、近期重点投资项目</w:t>
      </w:r>
    </w:p>
    <w:p>
      <w:pPr>
        <w:spacing w:line="360" w:lineRule="auto"/>
        <w:ind w:firstLine="420"/>
      </w:pPr>
      <w:r>
        <w:rPr>
          <w:b w:val="0"/>
          <w:sz w:val="22"/>
        </w:rPr>
        <w:t>近期我们围绕人工智能、半导体、商业航天与新材料等方向加大布局，新一批代表性投资包括：</w:t>
      </w:r>
    </w:p>
    <w:p>
      <w:pPr>
        <w:pStyle w:val="ListBullet"/>
        <w:spacing w:line="312" w:lineRule="auto"/>
      </w:pPr>
      <w:r>
        <w:rPr>
          <w:b/>
          <w:sz w:val="22"/>
        </w:rPr>
        <w:t xml:space="preserve">九科信息（深圳） —— </w:t>
      </w:r>
      <w:r>
        <w:rPr>
          <w:sz w:val="22"/>
        </w:rPr>
        <w:t>AI 数字员工 / RPA 自动化平台</w:t>
      </w:r>
    </w:p>
    <w:p>
      <w:pPr>
        <w:pStyle w:val="ListBullet"/>
        <w:spacing w:line="312" w:lineRule="auto"/>
      </w:pPr>
      <w:r>
        <w:rPr>
          <w:b/>
          <w:sz w:val="22"/>
        </w:rPr>
        <w:t xml:space="preserve">得翼通信（深圳） —— </w:t>
      </w:r>
      <w:r>
        <w:rPr>
          <w:sz w:val="22"/>
        </w:rPr>
        <w:t>RPU AI 射频增强处理器与数字射频解决方案</w:t>
      </w:r>
    </w:p>
    <w:p>
      <w:pPr>
        <w:pStyle w:val="ListBullet"/>
        <w:spacing w:line="312" w:lineRule="auto"/>
      </w:pPr>
      <w:r>
        <w:rPr>
          <w:b/>
          <w:sz w:val="22"/>
        </w:rPr>
        <w:t xml:space="preserve">法特迪科技（苏州） —— </w:t>
      </w:r>
      <w:r>
        <w:rPr>
          <w:sz w:val="22"/>
        </w:rPr>
        <w:t>半导体测试接口领先供应商</w:t>
      </w:r>
    </w:p>
    <w:p>
      <w:pPr>
        <w:pStyle w:val="ListBullet"/>
        <w:spacing w:line="312" w:lineRule="auto"/>
      </w:pPr>
      <w:r>
        <w:rPr>
          <w:b/>
          <w:sz w:val="22"/>
        </w:rPr>
        <w:t xml:space="preserve">思朗科技（上海） —— </w:t>
      </w:r>
      <w:r>
        <w:rPr>
          <w:sz w:val="22"/>
        </w:rPr>
        <w:t>科学计算芯片与通信芯片设计</w:t>
      </w:r>
    </w:p>
    <w:p>
      <w:pPr>
        <w:pStyle w:val="ListBullet"/>
        <w:spacing w:line="312" w:lineRule="auto"/>
      </w:pPr>
      <w:r>
        <w:rPr>
          <w:b/>
          <w:sz w:val="22"/>
        </w:rPr>
        <w:t xml:space="preserve">若思人工智能（杭州） —— </w:t>
      </w:r>
      <w:r>
        <w:rPr>
          <w:sz w:val="22"/>
        </w:rPr>
        <w:t>企业级 AI 解决方案与系统集成</w:t>
      </w:r>
    </w:p>
    <w:p>
      <w:pPr>
        <w:pStyle w:val="ListBullet"/>
        <w:spacing w:line="312" w:lineRule="auto"/>
      </w:pPr>
      <w:r>
        <w:rPr>
          <w:b/>
          <w:sz w:val="22"/>
        </w:rPr>
        <w:t xml:space="preserve">零重力飞机工业（合肥） —— </w:t>
      </w:r>
      <w:r>
        <w:rPr>
          <w:sz w:val="22"/>
        </w:rPr>
        <w:t>eCTOL/eVTOL 新能源航空器整机</w:t>
      </w:r>
    </w:p>
    <w:p>
      <w:pPr>
        <w:pStyle w:val="ListBullet"/>
        <w:spacing w:line="312" w:lineRule="auto"/>
      </w:pPr>
      <w:r>
        <w:rPr>
          <w:b/>
          <w:sz w:val="22"/>
        </w:rPr>
        <w:t xml:space="preserve">金禧特种新材料（深圳） —— </w:t>
      </w:r>
      <w:r>
        <w:rPr>
          <w:sz w:val="22"/>
        </w:rPr>
        <w:t>高性能聚酰亚胺纤维</w:t>
      </w:r>
    </w:p>
    <w:p>
      <w:pPr>
        <w:pStyle w:val="ListBullet"/>
        <w:spacing w:line="312" w:lineRule="auto"/>
      </w:pPr>
      <w:r>
        <w:rPr>
          <w:b/>
          <w:sz w:val="22"/>
        </w:rPr>
        <w:t xml:space="preserve">极佳视界（北京） —— </w:t>
      </w:r>
      <w:r>
        <w:rPr>
          <w:sz w:val="22"/>
        </w:rPr>
        <w:t>世界模型平台与具身智能大脑模型</w:t>
      </w:r>
    </w:p>
    <w:p>
      <w:pPr>
        <w:pStyle w:val="ListBullet"/>
        <w:spacing w:line="312" w:lineRule="auto"/>
      </w:pPr>
      <w:r>
        <w:rPr>
          <w:b/>
          <w:sz w:val="22"/>
        </w:rPr>
        <w:t xml:space="preserve">图灵智算量子（上海） —— </w:t>
      </w:r>
      <w:r>
        <w:rPr>
          <w:sz w:val="22"/>
        </w:rPr>
        <w:t>光量子芯片与量子计算系统</w:t>
      </w:r>
    </w:p>
    <w:p>
      <w:pPr>
        <w:pStyle w:val="ListBullet"/>
        <w:spacing w:line="312" w:lineRule="auto"/>
      </w:pPr>
      <w:r>
        <w:rPr>
          <w:b/>
          <w:sz w:val="22"/>
        </w:rPr>
        <w:t xml:space="preserve">灵初智能（北京） —— </w:t>
      </w:r>
      <w:r>
        <w:rPr>
          <w:sz w:val="22"/>
        </w:rPr>
        <w:t>通用具身智能 / VLA 大模型 / 灵巧操作</w:t>
      </w:r>
    </w:p>
    <w:p>
      <w:pPr>
        <w:pStyle w:val="ListBullet"/>
        <w:spacing w:line="312" w:lineRule="auto"/>
      </w:pPr>
      <w:r>
        <w:rPr>
          <w:b/>
          <w:sz w:val="22"/>
        </w:rPr>
        <w:t xml:space="preserve">零一万物（北京） —— </w:t>
      </w:r>
      <w:r>
        <w:rPr>
          <w:sz w:val="22"/>
        </w:rPr>
        <w:t>Yi 系列大模型与企业大模型平台</w:t>
      </w:r>
    </w:p>
    <w:p>
      <w:r>
        <w:rPr>
          <w:b/>
          <w:color w:val="1F3A68"/>
          <w:sz w:val="28"/>
          <w:rFonts w:eastAsia="Heiti SC" w:ascii="Heiti SC"/>
        </w:rPr>
        <w:t>八、价值观</w:t>
      </w:r>
    </w:p>
    <w:p>
      <w:pPr>
        <w:jc w:val="center"/>
      </w:pPr>
      <w:r>
        <w:rPr>
          <w:b/>
          <w:color w:val="C08A2E"/>
          <w:sz w:val="36"/>
        </w:rPr>
        <w:t>理想  ·  行动  ·  坚持</w:t>
      </w:r>
    </w:p>
    <w:p>
      <w:pPr>
        <w:spacing w:line="360" w:lineRule="auto"/>
        <w:ind w:firstLine="0"/>
        <w:jc w:val="center"/>
      </w:pPr>
      <w:r>
        <w:rPr>
          <w:b w:val="0"/>
          <w:color w:val="555555"/>
          <w:sz w:val="22"/>
        </w:rPr>
        <w:t>理想决定方向，行动决定距离，坚持决定结果。</w:t>
      </w:r>
    </w:p>
    <w:p>
      <w:pPr>
        <w:spacing w:line="360" w:lineRule="auto"/>
        <w:ind w:firstLine="0"/>
        <w:jc w:val="center"/>
      </w:pPr>
      <w:r>
        <w:rPr>
          <w:b w:val="0"/>
          <w:sz w:val="22"/>
        </w:rPr>
        <w:t>我们相信，与最优秀的企业家在最重要的产业方向上长期同行，是创造价值最确定的方式。</w:t>
      </w:r>
    </w:p>
    <w:sectPr w:rsidR="00FC693F" w:rsidRPr="0006063C" w:rsidSect="00034616">
      <w:pgSz w:w="12240" w:h="15840"/>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