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2C9CDD">
      <w:pPr>
        <w:spacing w:after="80"/>
        <w:jc w:val="center"/>
      </w:pPr>
      <w:r>
        <w:rPr>
          <w:rFonts w:ascii="微软雅黑" w:hAnsi="微软雅黑" w:eastAsia="微软雅黑"/>
          <w:b/>
          <w:i w:val="0"/>
          <w:color w:val="1F4E79"/>
          <w:sz w:val="36"/>
        </w:rPr>
        <w:t>2026 深圳 FDE 企业 AI 落地班活动方案</w:t>
      </w:r>
    </w:p>
    <w:p w14:paraId="2086FAEB">
      <w:pPr>
        <w:pBdr>
          <w:bottom w:val="single" w:color="1F4E79" w:sz="8" w:space="1"/>
        </w:pBdr>
        <w:spacing w:before="280" w:after="100"/>
      </w:pPr>
      <w:r>
        <w:rPr>
          <w:rFonts w:ascii="微软雅黑" w:hAnsi="微软雅黑" w:eastAsia="微软雅黑"/>
          <w:b/>
          <w:i w:val="0"/>
          <w:color w:val="1F4E79"/>
          <w:sz w:val="26"/>
        </w:rPr>
        <w:t>一、活动概述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257"/>
      </w:tblGrid>
      <w:tr w14:paraId="7E373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DE8F2"/>
          </w:tcPr>
          <w:p w14:paraId="22254FE6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19"/>
              </w:rPr>
              <w:t>项目</w:t>
            </w:r>
          </w:p>
        </w:tc>
        <w:tc>
          <w:tcPr>
            <w:tcW w:w="7257" w:type="dxa"/>
            <w:shd w:val="clear" w:color="auto" w:fill="DDE8F2"/>
          </w:tcPr>
          <w:p w14:paraId="2F4B8883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19"/>
              </w:rPr>
              <w:t>内容</w:t>
            </w:r>
          </w:p>
        </w:tc>
      </w:tr>
      <w:tr w14:paraId="7AC4E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5F8FB"/>
          </w:tcPr>
          <w:p w14:paraId="2E410C94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活动名称</w:t>
            </w:r>
          </w:p>
        </w:tc>
        <w:tc>
          <w:tcPr>
            <w:tcW w:w="7257" w:type="dxa"/>
            <w:shd w:val="clear" w:color="auto" w:fill="F5F8FB"/>
          </w:tcPr>
          <w:p w14:paraId="4CBA7D18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2026 深圳 FDE 企业 AI 落地班（FDE 落地班首次进入粤港澳大湾区）</w:t>
            </w:r>
          </w:p>
        </w:tc>
      </w:tr>
      <w:tr w14:paraId="46C37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5F8FB"/>
          </w:tcPr>
          <w:p w14:paraId="603FAEF1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活动时间</w:t>
            </w:r>
          </w:p>
        </w:tc>
        <w:tc>
          <w:tcPr>
            <w:tcW w:w="7257" w:type="dxa"/>
            <w:shd w:val="clear" w:color="auto" w:fill="F5F8FB"/>
          </w:tcPr>
          <w:p w14:paraId="05D661FD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2026 年 11 月 25 日（周三）　建议 14:00–18:00（半天闭门，具体时段随场地确认后锁定）</w:t>
            </w:r>
          </w:p>
        </w:tc>
      </w:tr>
      <w:tr w14:paraId="3A45E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5F8FB"/>
          </w:tcPr>
          <w:p w14:paraId="1CE8683B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活动地点</w:t>
            </w:r>
          </w:p>
        </w:tc>
        <w:tc>
          <w:tcPr>
            <w:tcW w:w="7257" w:type="dxa"/>
            <w:shd w:val="clear" w:color="auto" w:fill="F5F8FB"/>
          </w:tcPr>
          <w:p w14:paraId="07EBC201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待定（建议 XX产业园 会议中心 / 路演厅；一对一解题环节需可分组的中型空间）</w:t>
            </w:r>
          </w:p>
        </w:tc>
      </w:tr>
      <w:tr w14:paraId="1214E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5F8FB"/>
          </w:tcPr>
          <w:p w14:paraId="469DB599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主办方</w:t>
            </w:r>
          </w:p>
        </w:tc>
        <w:tc>
          <w:tcPr>
            <w:tcW w:w="7257" w:type="dxa"/>
            <w:shd w:val="clear" w:color="auto" w:fill="F5F8FB"/>
          </w:tcPr>
          <w:p w14:paraId="4819D792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Datawhale</w:t>
            </w:r>
          </w:p>
        </w:tc>
      </w:tr>
      <w:tr w14:paraId="53880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5F8FB"/>
          </w:tcPr>
          <w:p w14:paraId="45651832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联合支持方</w:t>
            </w:r>
          </w:p>
        </w:tc>
        <w:tc>
          <w:tcPr>
            <w:tcW w:w="7257" w:type="dxa"/>
            <w:shd w:val="clear" w:color="auto" w:fill="F5F8FB"/>
          </w:tcPr>
          <w:p w14:paraId="3C1EEE7A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南山区政府（指导单位）、XX产业园（待定）、深圳大学、南方科技大学</w:t>
            </w:r>
          </w:p>
        </w:tc>
      </w:tr>
      <w:tr w14:paraId="02C79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5F8FB"/>
          </w:tcPr>
          <w:p w14:paraId="3033DF47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活动形式</w:t>
            </w:r>
          </w:p>
        </w:tc>
        <w:tc>
          <w:tcPr>
            <w:tcW w:w="7257" w:type="dxa"/>
            <w:shd w:val="clear" w:color="auto" w:fill="F5F8FB"/>
          </w:tcPr>
          <w:p w14:paraId="32B389B0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企业出题 · FDE 一对一解题（闭门）——企业负责人讲清楚卡在哪儿，FDE 当场诊断场景、判断价值，一起找到值得验证的第一步；免费、闭门</w:t>
            </w:r>
          </w:p>
        </w:tc>
      </w:tr>
      <w:tr w14:paraId="4FF82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5F8FB"/>
          </w:tcPr>
          <w:p w14:paraId="48EBDD80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活动规模</w:t>
            </w:r>
          </w:p>
        </w:tc>
        <w:tc>
          <w:tcPr>
            <w:tcW w:w="7257" w:type="dxa"/>
            <w:shd w:val="clear" w:color="auto" w:fill="F5F8FB"/>
          </w:tcPr>
          <w:p w14:paraId="54DC3ABC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精选 20 家企业（决策人带队优先）× 20 位 FDE 专家一对一；另设高校师生观摩席（限额 30–50 人，分批观摩）</w:t>
            </w:r>
          </w:p>
        </w:tc>
      </w:tr>
      <w:tr w14:paraId="3272C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5F8FB"/>
          </w:tcPr>
          <w:p w14:paraId="1DE44ACA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关键产出</w:t>
            </w:r>
          </w:p>
        </w:tc>
        <w:tc>
          <w:tcPr>
            <w:tcW w:w="7257" w:type="dxa"/>
            <w:shd w:val="clear" w:color="auto" w:fill="F5F8FB"/>
          </w:tcPr>
          <w:p w14:paraId="7983DD93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企业侧：每家带走"值得验证的第一步"；FDE 侧：真实需求入口与订单线索；高校侧：FDE 人才共育合作意向；会后一周回访对接完成度目标 ≥80%</w:t>
            </w:r>
          </w:p>
        </w:tc>
      </w:tr>
    </w:tbl>
    <w:p w14:paraId="4A1F7085">
      <w:pPr>
        <w:spacing w:after="0"/>
      </w:pPr>
    </w:p>
    <w:p w14:paraId="58793253">
      <w:pPr>
        <w:pBdr>
          <w:bottom w:val="single" w:color="1F4E79" w:sz="8" w:space="1"/>
        </w:pBdr>
        <w:spacing w:before="280" w:after="100"/>
      </w:pPr>
      <w:r>
        <w:rPr>
          <w:rFonts w:ascii="微软雅黑" w:hAnsi="微软雅黑" w:eastAsia="微软雅黑"/>
          <w:b/>
          <w:i w:val="0"/>
          <w:color w:val="1F4E79"/>
          <w:sz w:val="26"/>
        </w:rPr>
        <w:t>二、背景与政策依据</w:t>
      </w:r>
    </w:p>
    <w:p w14:paraId="6A76ECB0">
      <w:pPr>
        <w:spacing w:before="160" w:after="40"/>
      </w:pPr>
      <w:r>
        <w:rPr>
          <w:rFonts w:ascii="微软雅黑" w:hAnsi="微软雅黑" w:eastAsia="微软雅黑"/>
          <w:b/>
          <w:i w:val="0"/>
          <w:color w:val="333333"/>
          <w:sz w:val="22"/>
        </w:rPr>
        <w:t>政策依据（国家级）</w:t>
      </w:r>
    </w:p>
    <w:p w14:paraId="25E3EB8A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1"/>
        </w:rPr>
        <w:t>· 国务院《关于深入实施"人工智能+"行动的意见》：促进开源生态繁荣</w:t>
      </w:r>
    </w:p>
    <w:p w14:paraId="20F78BC3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1"/>
        </w:rPr>
        <w:t>· 2026 年政府工作报告：支持人工智能开源社区建设，促进开源生态繁荣</w:t>
      </w:r>
    </w:p>
    <w:p w14:paraId="738C03EB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1"/>
        </w:rPr>
        <w:t>· "十五五"规划：推进开源体系建设，完善开源运行机制</w:t>
      </w:r>
    </w:p>
    <w:p w14:paraId="0A234455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1"/>
        </w:rPr>
        <w:t>· 工信部《关于开展人工智能应用服务商培育专项行动的通知》（414 号文）：鼓励服务商搭建 FDE 团队，扎根用户现场、保障场景落地——FDE 首次进入部委文件；文件提出到 2027 年底全国人工智能应用服务商不少于 3000 家</w:t>
      </w:r>
    </w:p>
    <w:p w14:paraId="3DC94FD4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1"/>
        </w:rPr>
        <w:t>例（覆盖 12 个行业）、22 位先锋人物、6+4 门精选课程、fde100.datawhale.cn 官网上线</w:t>
      </w:r>
    </w:p>
    <w:p w14:paraId="3C4BD293">
      <w:pPr>
        <w:spacing w:after="60"/>
      </w:pPr>
      <w:r>
        <w:rPr>
          <w:rFonts w:ascii="微软雅黑" w:hAnsi="微软雅黑" w:eastAsia="微软雅黑"/>
          <w:b/>
          <w:i w:val="0"/>
          <w:color w:val="1F4E79"/>
          <w:sz w:val="21"/>
        </w:rPr>
        <w:t>深圳是 FDE 落地班</w:t>
      </w:r>
      <w:r>
        <w:rPr>
          <w:rFonts w:hint="eastAsia"/>
          <w:b/>
          <w:i w:val="0"/>
          <w:color w:val="1F4E79"/>
          <w:sz w:val="21"/>
          <w:lang w:val="en-US" w:eastAsia="zh-CN"/>
        </w:rPr>
        <w:t>是</w:t>
      </w:r>
      <w:r>
        <w:rPr>
          <w:rFonts w:ascii="微软雅黑" w:hAnsi="微软雅黑" w:eastAsia="微软雅黑"/>
          <w:b/>
          <w:i w:val="0"/>
          <w:color w:val="1F4E79"/>
          <w:sz w:val="21"/>
        </w:rPr>
        <w:t>继长三角三城后的下一站，也是首次进入粤港澳大湾区。深圳经营主体以民营企业为主，AI 应用需求密集、决策链路短。</w:t>
      </w:r>
    </w:p>
    <w:p w14:paraId="16289B58">
      <w:pPr>
        <w:pBdr>
          <w:bottom w:val="single" w:color="1F4E79" w:sz="8" w:space="1"/>
        </w:pBdr>
        <w:spacing w:before="280" w:after="100"/>
      </w:pPr>
      <w:r>
        <w:rPr>
          <w:rFonts w:ascii="微软雅黑" w:hAnsi="微软雅黑" w:eastAsia="微软雅黑"/>
          <w:b/>
          <w:i w:val="0"/>
          <w:color w:val="1F4E79"/>
          <w:sz w:val="26"/>
        </w:rPr>
        <w:t>三、活动目标（先企业与人才的获得感，再园区与政府的价值）</w:t>
      </w:r>
    </w:p>
    <w:p w14:paraId="49784FFD">
      <w:pPr>
        <w:spacing w:before="160" w:after="40"/>
      </w:pPr>
      <w:r>
        <w:rPr>
          <w:rFonts w:ascii="微软雅黑" w:hAnsi="微软雅黑" w:eastAsia="微软雅黑"/>
          <w:b/>
          <w:i w:val="0"/>
          <w:color w:val="333333"/>
          <w:sz w:val="22"/>
        </w:rPr>
        <w:t>到场企业获得什么</w:t>
      </w:r>
    </w:p>
    <w:p w14:paraId="5D3C05B5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1"/>
        </w:rPr>
        <w:t>· 免费闭门"问诊"，不卖课、不推销：企业负责人讲清楚自己卡在哪儿，FDE 当场诊断场景、判断价值</w:t>
      </w:r>
    </w:p>
    <w:p w14:paraId="584B1095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1"/>
        </w:rPr>
        <w:t>· 带走"值得验证的第一步"——不是泛泛的 AI 认知，而是针对自己业务的落地路径</w:t>
      </w:r>
    </w:p>
    <w:p w14:paraId="1A87BBBF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1"/>
        </w:rPr>
        <w:t>· 会后一周内的跟进机制：对接完成度目标 ≥80%（对标三城），部分企业直接进入商务洽谈</w:t>
      </w:r>
    </w:p>
    <w:p w14:paraId="1091801F">
      <w:pPr>
        <w:spacing w:before="160" w:after="40"/>
      </w:pPr>
      <w:r>
        <w:rPr>
          <w:rFonts w:ascii="微软雅黑" w:hAnsi="微软雅黑" w:eastAsia="微软雅黑"/>
          <w:b/>
          <w:i w:val="0"/>
          <w:color w:val="333333"/>
          <w:sz w:val="22"/>
        </w:rPr>
        <w:t>FDE 专家与 AI 原生企业获得什么</w:t>
      </w:r>
    </w:p>
    <w:p w14:paraId="21F641E3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1"/>
        </w:rPr>
        <w:t>· 20 家深圳企业的真实需求入口（决策人带队优先，参考杭州站近七成为决策人）</w:t>
      </w:r>
    </w:p>
    <w:p w14:paraId="58C51BE8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1"/>
        </w:rPr>
        <w:t>· 订单线索：参考南京站，会后即有企业约定下一轮合作</w:t>
      </w:r>
    </w:p>
    <w:p w14:paraId="0375E8FA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1"/>
        </w:rPr>
        <w:t>· FDE 100 生态背书与长期官网入口：案例沉淀、以案例识人、以结果认证</w:t>
      </w:r>
    </w:p>
    <w:p w14:paraId="08C80FF6">
      <w:pPr>
        <w:spacing w:before="160" w:after="40"/>
      </w:pPr>
      <w:r>
        <w:rPr>
          <w:rFonts w:ascii="微软雅黑" w:hAnsi="微软雅黑" w:eastAsia="微软雅黑"/>
          <w:b/>
          <w:i w:val="0"/>
          <w:color w:val="333333"/>
          <w:sz w:val="22"/>
        </w:rPr>
        <w:t>高校师生获得什么</w:t>
      </w:r>
    </w:p>
    <w:p w14:paraId="064713D9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1"/>
        </w:rPr>
        <w:t>· 真实企业 AI 落地诊断现场进课堂：观摩席分批进入核心环节，看到"卡点—诊断—第一步"全过程</w:t>
      </w:r>
    </w:p>
    <w:p w14:paraId="70B53D67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1"/>
        </w:rPr>
        <w:t>· 校企圆桌：教师代表与 FDE 专家、企业代表共议人才共育</w:t>
      </w:r>
    </w:p>
    <w:p w14:paraId="03AEBA95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1"/>
        </w:rPr>
        <w:t>· FDE 人才共育通道：实习推荐、OPC 认证、FDE 先锋人物校内分享等机制在签约意向中落地</w:t>
      </w:r>
    </w:p>
    <w:p w14:paraId="51240404">
      <w:pPr>
        <w:spacing w:before="160" w:after="40"/>
      </w:pPr>
      <w:r>
        <w:rPr>
          <w:rFonts w:ascii="微软雅黑" w:hAnsi="微软雅黑" w:eastAsia="微软雅黑"/>
          <w:b/>
          <w:i w:val="0"/>
          <w:color w:val="333333"/>
          <w:sz w:val="22"/>
        </w:rPr>
        <w:t>由此，园区与政府得到什么</w:t>
      </w:r>
    </w:p>
    <w:p w14:paraId="5BA3A172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1"/>
        </w:rPr>
        <w:t>· 生态建设：南山区政府、园区、深大、南科大、Datawhale 五方首次在同一活动同台，形成可展示、可复制的政企校社协同样板</w:t>
      </w:r>
    </w:p>
    <w:p w14:paraId="4966E321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1"/>
        </w:rPr>
        <w:t>· 产业导入：20 家精选企业被精准组织起来，围绕真实 AI 需求与 FDE 资源对接，企业由此与园区建立持续连接</w:t>
      </w:r>
    </w:p>
    <w:p w14:paraId="7A0DF9BF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1"/>
        </w:rPr>
        <w:t>· 人才汇聚：FDE 人才与高校人才通过共育机制在本地沉淀，形成园区可用的人才库与常态化对接入口</w:t>
      </w:r>
    </w:p>
    <w:p w14:paraId="57E68D28">
      <w:pPr>
        <w:pBdr>
          <w:bottom w:val="single" w:color="1F4E79" w:sz="8" w:space="1"/>
        </w:pBdr>
        <w:spacing w:before="280" w:after="100"/>
      </w:pPr>
      <w:r>
        <w:rPr>
          <w:rFonts w:ascii="微软雅黑" w:hAnsi="微软雅黑" w:eastAsia="微软雅黑"/>
          <w:b/>
          <w:i w:val="0"/>
          <w:color w:val="1F4E79"/>
          <w:sz w:val="26"/>
        </w:rPr>
        <w:t>四、活动议程（半天闭门，建议时段）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1928"/>
        <w:gridCol w:w="3969"/>
        <w:gridCol w:w="1701"/>
      </w:tblGrid>
      <w:tr w14:paraId="55F95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DDE8F2"/>
          </w:tcPr>
          <w:p w14:paraId="4B75E74A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19"/>
              </w:rPr>
              <w:t>时间</w:t>
            </w:r>
          </w:p>
        </w:tc>
        <w:tc>
          <w:tcPr>
            <w:tcW w:w="1928" w:type="dxa"/>
            <w:shd w:val="clear" w:color="auto" w:fill="DDE8F2"/>
          </w:tcPr>
          <w:p w14:paraId="071A903D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19"/>
              </w:rPr>
              <w:t>环节</w:t>
            </w:r>
          </w:p>
        </w:tc>
        <w:tc>
          <w:tcPr>
            <w:tcW w:w="3969" w:type="dxa"/>
            <w:shd w:val="clear" w:color="auto" w:fill="DDE8F2"/>
          </w:tcPr>
          <w:p w14:paraId="094285A6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19"/>
              </w:rPr>
              <w:t>内容</w:t>
            </w:r>
          </w:p>
        </w:tc>
        <w:tc>
          <w:tcPr>
            <w:tcW w:w="1701" w:type="dxa"/>
            <w:shd w:val="clear" w:color="auto" w:fill="DDE8F2"/>
          </w:tcPr>
          <w:p w14:paraId="0DA615A0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19"/>
              </w:rPr>
              <w:t>负责方</w:t>
            </w:r>
          </w:p>
        </w:tc>
      </w:tr>
      <w:tr w14:paraId="6194C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5F8FB"/>
          </w:tcPr>
          <w:p w14:paraId="2B2EF812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13:30–14:00</w:t>
            </w:r>
          </w:p>
        </w:tc>
        <w:tc>
          <w:tcPr>
            <w:tcW w:w="1928" w:type="dxa"/>
            <w:shd w:val="clear" w:color="auto" w:fill="F5F8FB"/>
          </w:tcPr>
          <w:p w14:paraId="4CF6C859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签到入场</w:t>
            </w:r>
          </w:p>
        </w:tc>
        <w:tc>
          <w:tcPr>
            <w:tcW w:w="3969" w:type="dxa"/>
            <w:shd w:val="clear" w:color="auto" w:fill="F5F8FB"/>
          </w:tcPr>
          <w:p w14:paraId="2D9F0DD8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企业签到并提交《企业需求表》最终版；观摩团分批入场</w:t>
            </w:r>
          </w:p>
        </w:tc>
        <w:tc>
          <w:tcPr>
            <w:tcW w:w="1701" w:type="dxa"/>
            <w:shd w:val="clear" w:color="auto" w:fill="F5F8FB"/>
          </w:tcPr>
          <w:p w14:paraId="10D4BC49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Datawhale · 园区</w:t>
            </w:r>
          </w:p>
        </w:tc>
      </w:tr>
      <w:tr w14:paraId="42A32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5F8FB"/>
          </w:tcPr>
          <w:p w14:paraId="37DF896B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14:00–14:20</w:t>
            </w:r>
          </w:p>
        </w:tc>
        <w:tc>
          <w:tcPr>
            <w:tcW w:w="1928" w:type="dxa"/>
            <w:shd w:val="clear" w:color="auto" w:fill="F5F8FB"/>
          </w:tcPr>
          <w:p w14:paraId="3A4F55A8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开场与致辞</w:t>
            </w:r>
          </w:p>
        </w:tc>
        <w:tc>
          <w:tcPr>
            <w:tcW w:w="3969" w:type="dxa"/>
            <w:shd w:val="clear" w:color="auto" w:fill="F5F8FB"/>
          </w:tcPr>
          <w:p w14:paraId="02CEA678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南山区政府、园区、Datawhale 代表致辞（各约 5 分钟）</w:t>
            </w:r>
          </w:p>
        </w:tc>
        <w:tc>
          <w:tcPr>
            <w:tcW w:w="1701" w:type="dxa"/>
            <w:shd w:val="clear" w:color="auto" w:fill="F5F8FB"/>
          </w:tcPr>
          <w:p w14:paraId="3CC58F79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各方</w:t>
            </w:r>
          </w:p>
        </w:tc>
      </w:tr>
      <w:tr w14:paraId="0FC87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5F8FB"/>
          </w:tcPr>
          <w:p w14:paraId="0EE84765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14:20–14:50</w:t>
            </w:r>
          </w:p>
        </w:tc>
        <w:tc>
          <w:tcPr>
            <w:tcW w:w="1928" w:type="dxa"/>
            <w:shd w:val="clear" w:color="auto" w:fill="F5F8FB"/>
          </w:tcPr>
          <w:p w14:paraId="74C17AFB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FDE 方法论与案例分享</w:t>
            </w:r>
          </w:p>
        </w:tc>
        <w:tc>
          <w:tcPr>
            <w:tcW w:w="3969" w:type="dxa"/>
            <w:shd w:val="clear" w:color="auto" w:fill="F5F8FB"/>
          </w:tcPr>
          <w:p w14:paraId="442B465F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FDE 100 案例与方法介绍；FDE 先锋人物代表分享真实落地案例</w:t>
            </w:r>
          </w:p>
        </w:tc>
        <w:tc>
          <w:tcPr>
            <w:tcW w:w="1701" w:type="dxa"/>
            <w:shd w:val="clear" w:color="auto" w:fill="F5F8FB"/>
          </w:tcPr>
          <w:p w14:paraId="06D3F058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Datawhale · FDE 代表</w:t>
            </w:r>
          </w:p>
        </w:tc>
      </w:tr>
      <w:tr w14:paraId="315D8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5F8FB"/>
          </w:tcPr>
          <w:p w14:paraId="208BD3DB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14:50–15:00</w:t>
            </w:r>
          </w:p>
        </w:tc>
        <w:tc>
          <w:tcPr>
            <w:tcW w:w="1928" w:type="dxa"/>
            <w:shd w:val="clear" w:color="auto" w:fill="F5F8FB"/>
          </w:tcPr>
          <w:p w14:paraId="5EE72E6F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匹配规则说明</w:t>
            </w:r>
          </w:p>
        </w:tc>
        <w:tc>
          <w:tcPr>
            <w:tcW w:w="3969" w:type="dxa"/>
            <w:shd w:val="clear" w:color="auto" w:fill="F5F8FB"/>
          </w:tcPr>
          <w:p w14:paraId="14007E06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一对一解题流程、分组与场地动线说明</w:t>
            </w:r>
          </w:p>
        </w:tc>
        <w:tc>
          <w:tcPr>
            <w:tcW w:w="1701" w:type="dxa"/>
            <w:shd w:val="clear" w:color="auto" w:fill="F5F8FB"/>
          </w:tcPr>
          <w:p w14:paraId="544E2751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Datawhale</w:t>
            </w:r>
          </w:p>
        </w:tc>
      </w:tr>
      <w:tr w14:paraId="12C2A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5F8FB"/>
          </w:tcPr>
          <w:p w14:paraId="6C5234F9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15:00–16:30</w:t>
            </w:r>
          </w:p>
        </w:tc>
        <w:tc>
          <w:tcPr>
            <w:tcW w:w="1928" w:type="dxa"/>
            <w:shd w:val="clear" w:color="auto" w:fill="F5F8FB"/>
          </w:tcPr>
          <w:p w14:paraId="425C7851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核心环节：企业出题 · FDE 一对一解题</w:t>
            </w:r>
          </w:p>
        </w:tc>
        <w:tc>
          <w:tcPr>
            <w:tcW w:w="3969" w:type="dxa"/>
            <w:shd w:val="clear" w:color="auto" w:fill="F5F8FB"/>
          </w:tcPr>
          <w:p w14:paraId="79037AE4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每家企业与匹配的 FDE 专家深度诊断（每轮约 40 分钟，可并行分组轮转）；高校学生观摩团分批进入观摩</w:t>
            </w:r>
          </w:p>
        </w:tc>
        <w:tc>
          <w:tcPr>
            <w:tcW w:w="1701" w:type="dxa"/>
            <w:shd w:val="clear" w:color="auto" w:fill="F5F8FB"/>
          </w:tcPr>
          <w:p w14:paraId="244C4AED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Datawhale 控场</w:t>
            </w:r>
          </w:p>
        </w:tc>
      </w:tr>
      <w:tr w14:paraId="2FD64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5F8FB"/>
          </w:tcPr>
          <w:p w14:paraId="62A54302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16:30–17:00</w:t>
            </w:r>
          </w:p>
        </w:tc>
        <w:tc>
          <w:tcPr>
            <w:tcW w:w="1928" w:type="dxa"/>
            <w:shd w:val="clear" w:color="auto" w:fill="F5F8FB"/>
          </w:tcPr>
          <w:p w14:paraId="203D13C8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校企圆桌：FDE 人才共育</w:t>
            </w:r>
          </w:p>
        </w:tc>
        <w:tc>
          <w:tcPr>
            <w:tcW w:w="3969" w:type="dxa"/>
            <w:shd w:val="clear" w:color="auto" w:fill="F5F8FB"/>
          </w:tcPr>
          <w:p w14:paraId="011CB4EA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深大/南科大教师代表 × FDE 专家 × 企业代表，围绕"懂业务、通模型、能交付"人才共育展开</w:t>
            </w:r>
          </w:p>
        </w:tc>
        <w:tc>
          <w:tcPr>
            <w:tcW w:w="1701" w:type="dxa"/>
            <w:shd w:val="clear" w:color="auto" w:fill="F5F8FB"/>
          </w:tcPr>
          <w:p w14:paraId="23C89CB7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高校 · Datawhale</w:t>
            </w:r>
          </w:p>
        </w:tc>
      </w:tr>
      <w:tr w14:paraId="34203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5F8FB"/>
          </w:tcPr>
          <w:p w14:paraId="4C5528B3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17:00–17:20</w:t>
            </w:r>
          </w:p>
        </w:tc>
        <w:tc>
          <w:tcPr>
            <w:tcW w:w="1928" w:type="dxa"/>
            <w:shd w:val="clear" w:color="auto" w:fill="F5F8FB"/>
          </w:tcPr>
          <w:p w14:paraId="5B3F404A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FDE 人才共育合作意向签署</w:t>
            </w:r>
          </w:p>
        </w:tc>
        <w:tc>
          <w:tcPr>
            <w:tcW w:w="3969" w:type="dxa"/>
            <w:shd w:val="clear" w:color="auto" w:fill="F5F8FB"/>
          </w:tcPr>
          <w:p w14:paraId="5A86F53B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Datawhale × 深圳大学、南方科技大学签署合作意向（意向性，不涉金额）</w:t>
            </w:r>
          </w:p>
        </w:tc>
        <w:tc>
          <w:tcPr>
            <w:tcW w:w="1701" w:type="dxa"/>
            <w:shd w:val="clear" w:color="auto" w:fill="F5F8FB"/>
          </w:tcPr>
          <w:p w14:paraId="47125D3D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Datawhale · 高校</w:t>
            </w:r>
          </w:p>
        </w:tc>
      </w:tr>
      <w:tr w14:paraId="0D795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5F8FB"/>
          </w:tcPr>
          <w:p w14:paraId="4F0D2004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17:20–17:40</w:t>
            </w:r>
          </w:p>
        </w:tc>
        <w:tc>
          <w:tcPr>
            <w:tcW w:w="1928" w:type="dxa"/>
            <w:shd w:val="clear" w:color="auto" w:fill="F5F8FB"/>
          </w:tcPr>
          <w:p w14:paraId="4084AB4A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闭门复盘与跟进机制说明</w:t>
            </w:r>
          </w:p>
        </w:tc>
        <w:tc>
          <w:tcPr>
            <w:tcW w:w="3969" w:type="dxa"/>
            <w:shd w:val="clear" w:color="auto" w:fill="F5F8FB"/>
          </w:tcPr>
          <w:p w14:paraId="286B8E5E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当日诊断要点归集；会后一周回访安排说明</w:t>
            </w:r>
          </w:p>
        </w:tc>
        <w:tc>
          <w:tcPr>
            <w:tcW w:w="1701" w:type="dxa"/>
            <w:shd w:val="clear" w:color="auto" w:fill="F5F8FB"/>
          </w:tcPr>
          <w:p w14:paraId="105A4152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Datawhale</w:t>
            </w:r>
          </w:p>
        </w:tc>
      </w:tr>
      <w:tr w14:paraId="211F5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5F8FB"/>
          </w:tcPr>
          <w:p w14:paraId="70DD7DCA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17:40–18:00</w:t>
            </w:r>
          </w:p>
        </w:tc>
        <w:tc>
          <w:tcPr>
            <w:tcW w:w="1928" w:type="dxa"/>
            <w:shd w:val="clear" w:color="auto" w:fill="F5F8FB"/>
          </w:tcPr>
          <w:p w14:paraId="1A8AB367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自由交流与合影</w:t>
            </w:r>
          </w:p>
        </w:tc>
        <w:tc>
          <w:tcPr>
            <w:tcW w:w="3969" w:type="dxa"/>
            <w:shd w:val="clear" w:color="auto" w:fill="F5F8FB"/>
          </w:tcPr>
          <w:p w14:paraId="20D110B4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企业与 FDE 专家自由对接；合影</w:t>
            </w:r>
          </w:p>
        </w:tc>
        <w:tc>
          <w:tcPr>
            <w:tcW w:w="1701" w:type="dxa"/>
            <w:shd w:val="clear" w:color="auto" w:fill="F5F8FB"/>
          </w:tcPr>
          <w:p w14:paraId="07BB8A39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各方</w:t>
            </w:r>
          </w:p>
        </w:tc>
      </w:tr>
    </w:tbl>
    <w:p w14:paraId="2EF187B5">
      <w:pPr>
        <w:spacing w:after="0"/>
      </w:pPr>
    </w:p>
    <w:p w14:paraId="666F9CFF">
      <w:pPr>
        <w:spacing w:after="60"/>
      </w:pPr>
      <w:r>
        <w:rPr>
          <w:rFonts w:ascii="微软雅黑" w:hAnsi="微软雅黑" w:eastAsia="微软雅黑"/>
          <w:b w:val="0"/>
          <w:i w:val="0"/>
          <w:color w:val="808080"/>
          <w:sz w:val="18"/>
        </w:rPr>
        <w:t>注：一对一解题环节可视企业数量并行 3–4 组轮转；观摩团按 15–20 人一批分批进入，避免干扰诊断。</w:t>
      </w:r>
    </w:p>
    <w:p w14:paraId="63C0935C">
      <w:pPr>
        <w:pBdr>
          <w:bottom w:val="single" w:color="1F4E79" w:sz="8" w:space="1"/>
        </w:pBdr>
        <w:spacing w:before="280" w:after="100"/>
      </w:pPr>
      <w:r>
        <w:rPr>
          <w:rFonts w:ascii="微软雅黑" w:hAnsi="微软雅黑" w:eastAsia="微软雅黑"/>
          <w:b/>
          <w:i w:val="0"/>
          <w:color w:val="1F4E79"/>
          <w:sz w:val="26"/>
        </w:rPr>
        <w:t>五、组织分工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587"/>
        <w:gridCol w:w="5669"/>
      </w:tblGrid>
      <w:tr w14:paraId="299EF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DE8F2"/>
          </w:tcPr>
          <w:p w14:paraId="04FE57EB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19"/>
              </w:rPr>
              <w:t>单位</w:t>
            </w:r>
          </w:p>
        </w:tc>
        <w:tc>
          <w:tcPr>
            <w:tcW w:w="1587" w:type="dxa"/>
            <w:shd w:val="clear" w:color="auto" w:fill="DDE8F2"/>
          </w:tcPr>
          <w:p w14:paraId="5FB5C052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19"/>
              </w:rPr>
              <w:t>角色</w:t>
            </w:r>
          </w:p>
        </w:tc>
        <w:tc>
          <w:tcPr>
            <w:tcW w:w="5669" w:type="dxa"/>
            <w:shd w:val="clear" w:color="auto" w:fill="DDE8F2"/>
          </w:tcPr>
          <w:p w14:paraId="084DAB62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19"/>
              </w:rPr>
              <w:t>职责</w:t>
            </w:r>
          </w:p>
        </w:tc>
      </w:tr>
      <w:tr w14:paraId="62F86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5F8FB"/>
          </w:tcPr>
          <w:p w14:paraId="652F2B9D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Datawhale</w:t>
            </w:r>
          </w:p>
        </w:tc>
        <w:tc>
          <w:tcPr>
            <w:tcW w:w="1587" w:type="dxa"/>
            <w:shd w:val="clear" w:color="auto" w:fill="F5F8FB"/>
          </w:tcPr>
          <w:p w14:paraId="6C7A440B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主办 · 总执行</w:t>
            </w:r>
          </w:p>
        </w:tc>
        <w:tc>
          <w:tcPr>
            <w:tcW w:w="5669" w:type="dxa"/>
            <w:shd w:val="clear" w:color="auto" w:fill="F5F8FB"/>
          </w:tcPr>
          <w:p w14:paraId="2703240A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总体统筹与议程设计；企业招募与筛选；FDE 专家邀约与预匹配；现场运营与控场；会后回访与成果沉淀</w:t>
            </w:r>
          </w:p>
        </w:tc>
      </w:tr>
      <w:tr w14:paraId="54C8E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5F8FB"/>
          </w:tcPr>
          <w:p w14:paraId="2551DFC5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南山区政府</w:t>
            </w:r>
          </w:p>
        </w:tc>
        <w:tc>
          <w:tcPr>
            <w:tcW w:w="1587" w:type="dxa"/>
            <w:shd w:val="clear" w:color="auto" w:fill="F5F8FB"/>
          </w:tcPr>
          <w:p w14:paraId="05F9727E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指导单位</w:t>
            </w:r>
          </w:p>
        </w:tc>
        <w:tc>
          <w:tcPr>
            <w:tcW w:w="5669" w:type="dxa"/>
            <w:shd w:val="clear" w:color="auto" w:fill="F5F8FB"/>
          </w:tcPr>
          <w:p w14:paraId="1A0A7FDC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政策指导与背书；区内企业动员与推荐；领导出席与致辞</w:t>
            </w:r>
          </w:p>
        </w:tc>
      </w:tr>
      <w:tr w14:paraId="7BABC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5F8FB"/>
          </w:tcPr>
          <w:p w14:paraId="7E5E7B37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XX产业园（待定）</w:t>
            </w:r>
          </w:p>
        </w:tc>
        <w:tc>
          <w:tcPr>
            <w:tcW w:w="1587" w:type="dxa"/>
            <w:shd w:val="clear" w:color="auto" w:fill="F5F8FB"/>
          </w:tcPr>
          <w:p w14:paraId="037A246E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联合支持</w:t>
            </w:r>
          </w:p>
        </w:tc>
        <w:tc>
          <w:tcPr>
            <w:tcW w:w="5669" w:type="dxa"/>
            <w:shd w:val="clear" w:color="auto" w:fill="F5F8FB"/>
          </w:tcPr>
          <w:p w14:paraId="5473D9A9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提供场地（会议中心/路演厅及分组讨论空间）；会务保障（签到、布置、设备）；园区企业动员</w:t>
            </w:r>
          </w:p>
        </w:tc>
      </w:tr>
      <w:tr w14:paraId="5A613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5F8FB"/>
          </w:tcPr>
          <w:p w14:paraId="418292A0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深圳大学</w:t>
            </w:r>
          </w:p>
        </w:tc>
        <w:tc>
          <w:tcPr>
            <w:tcW w:w="1587" w:type="dxa"/>
            <w:shd w:val="clear" w:color="auto" w:fill="F5F8FB"/>
          </w:tcPr>
          <w:p w14:paraId="37C63EF0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联合支持</w:t>
            </w:r>
          </w:p>
        </w:tc>
        <w:tc>
          <w:tcPr>
            <w:tcW w:w="5669" w:type="dxa"/>
            <w:shd w:val="clear" w:color="auto" w:fill="F5F8FB"/>
          </w:tcPr>
          <w:p w14:paraId="01A28330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组织师生观摩团；推荐校内 AI 人才参与 FDE 认证与共育；教师代表出席校企圆桌</w:t>
            </w:r>
          </w:p>
        </w:tc>
      </w:tr>
      <w:tr w14:paraId="75196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5F8FB"/>
          </w:tcPr>
          <w:p w14:paraId="55C09E1A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南方科技大学</w:t>
            </w:r>
          </w:p>
        </w:tc>
        <w:tc>
          <w:tcPr>
            <w:tcW w:w="1587" w:type="dxa"/>
            <w:shd w:val="clear" w:color="auto" w:fill="F5F8FB"/>
          </w:tcPr>
          <w:p w14:paraId="09982604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联合支持</w:t>
            </w:r>
          </w:p>
        </w:tc>
        <w:tc>
          <w:tcPr>
            <w:tcW w:w="5669" w:type="dxa"/>
            <w:shd w:val="clear" w:color="auto" w:fill="F5F8FB"/>
          </w:tcPr>
          <w:p w14:paraId="2806B14B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组织师生观摩团；侧重科研合作与真实场景进课堂；教师代表出席校企圆桌</w:t>
            </w:r>
          </w:p>
        </w:tc>
      </w:tr>
    </w:tbl>
    <w:p w14:paraId="2C426C1E">
      <w:pPr>
        <w:spacing w:after="0"/>
      </w:pPr>
    </w:p>
    <w:p w14:paraId="63E62093">
      <w:pPr>
        <w:pBdr>
          <w:bottom w:val="single" w:color="1F4E79" w:sz="8" w:space="1"/>
        </w:pBdr>
        <w:spacing w:before="280" w:after="100"/>
      </w:pPr>
      <w:r>
        <w:rPr>
          <w:rFonts w:ascii="微软雅黑" w:hAnsi="微软雅黑" w:eastAsia="微软雅黑"/>
          <w:b/>
          <w:i w:val="0"/>
          <w:color w:val="1F4E79"/>
          <w:sz w:val="26"/>
        </w:rPr>
        <w:t>六、执行排期（倒排）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3628"/>
        <w:gridCol w:w="1928"/>
        <w:gridCol w:w="1474"/>
      </w:tblGrid>
      <w:tr w14:paraId="19D93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928" w:type="dxa"/>
            <w:shd w:val="clear" w:color="auto" w:fill="DDE8F2"/>
          </w:tcPr>
          <w:p w14:paraId="6651CBE2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19"/>
              </w:rPr>
              <w:t>时间</w:t>
            </w:r>
          </w:p>
        </w:tc>
        <w:tc>
          <w:tcPr>
            <w:tcW w:w="3628" w:type="dxa"/>
            <w:shd w:val="clear" w:color="auto" w:fill="DDE8F2"/>
          </w:tcPr>
          <w:p w14:paraId="1A736DCC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19"/>
              </w:rPr>
              <w:t>事项</w:t>
            </w:r>
          </w:p>
        </w:tc>
        <w:tc>
          <w:tcPr>
            <w:tcW w:w="1928" w:type="dxa"/>
            <w:shd w:val="clear" w:color="auto" w:fill="DDE8F2"/>
          </w:tcPr>
          <w:p w14:paraId="4E1E6E83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19"/>
              </w:rPr>
              <w:t>负责方</w:t>
            </w:r>
          </w:p>
        </w:tc>
        <w:tc>
          <w:tcPr>
            <w:tcW w:w="1474" w:type="dxa"/>
            <w:shd w:val="clear" w:color="auto" w:fill="DDE8F2"/>
          </w:tcPr>
          <w:p w14:paraId="7834BCAD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19"/>
              </w:rPr>
              <w:t>产出</w:t>
            </w:r>
          </w:p>
        </w:tc>
      </w:tr>
      <w:tr w14:paraId="07FF7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5F8FB"/>
          </w:tcPr>
          <w:p w14:paraId="0A30AFF7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10 月上旬（10.9–10.15）</w:t>
            </w:r>
          </w:p>
        </w:tc>
        <w:tc>
          <w:tcPr>
            <w:tcW w:w="3628" w:type="dxa"/>
            <w:shd w:val="clear" w:color="auto" w:fill="F5F8FB"/>
          </w:tcPr>
          <w:p w14:paraId="2A159F7D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方案定稿，各方书面确认；成立筹备组与联络群</w:t>
            </w:r>
          </w:p>
        </w:tc>
        <w:tc>
          <w:tcPr>
            <w:tcW w:w="1928" w:type="dxa"/>
            <w:shd w:val="clear" w:color="auto" w:fill="F5F8FB"/>
          </w:tcPr>
          <w:p w14:paraId="18794F24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Datawhale 牵头</w:t>
            </w:r>
          </w:p>
        </w:tc>
        <w:tc>
          <w:tcPr>
            <w:tcW w:w="1474" w:type="dxa"/>
            <w:shd w:val="clear" w:color="auto" w:fill="F5F8FB"/>
          </w:tcPr>
          <w:p w14:paraId="24E06CFA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筹备组名单与联络表</w:t>
            </w:r>
          </w:p>
        </w:tc>
      </w:tr>
      <w:tr w14:paraId="15D7C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5F8FB"/>
          </w:tcPr>
          <w:p w14:paraId="07A3BA65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10 月中旬（10.16–10.22）</w:t>
            </w:r>
          </w:p>
        </w:tc>
        <w:tc>
          <w:tcPr>
            <w:tcW w:w="3628" w:type="dxa"/>
            <w:shd w:val="clear" w:color="auto" w:fill="F5F8FB"/>
          </w:tcPr>
          <w:p w14:paraId="2791C8BB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企业招募启动（报名表发布，目标报名 80 家以上）；FDE 专家邀约启动</w:t>
            </w:r>
          </w:p>
        </w:tc>
        <w:tc>
          <w:tcPr>
            <w:tcW w:w="1928" w:type="dxa"/>
            <w:shd w:val="clear" w:color="auto" w:fill="F5F8FB"/>
          </w:tcPr>
          <w:p w14:paraId="0D6155C4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Datawhale · 区政府 · 园区</w:t>
            </w:r>
          </w:p>
        </w:tc>
        <w:tc>
          <w:tcPr>
            <w:tcW w:w="1474" w:type="dxa"/>
            <w:shd w:val="clear" w:color="auto" w:fill="F5F8FB"/>
          </w:tcPr>
          <w:p w14:paraId="3F801138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报名渠道上线</w:t>
            </w:r>
          </w:p>
        </w:tc>
      </w:tr>
      <w:tr w14:paraId="30435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5F8FB"/>
          </w:tcPr>
          <w:p w14:paraId="2EA8076A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10 月下旬（10.23–10.31）</w:t>
            </w:r>
          </w:p>
        </w:tc>
        <w:tc>
          <w:tcPr>
            <w:tcW w:w="3628" w:type="dxa"/>
            <w:shd w:val="clear" w:color="auto" w:fill="F5F8FB"/>
          </w:tcPr>
          <w:p w14:paraId="14A159CB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企业筛选与需求初筛（精选 20 家）；FDE 专家人选确认（20 位，以案例识人）</w:t>
            </w:r>
          </w:p>
        </w:tc>
        <w:tc>
          <w:tcPr>
            <w:tcW w:w="1928" w:type="dxa"/>
            <w:shd w:val="clear" w:color="auto" w:fill="F5F8FB"/>
          </w:tcPr>
          <w:p w14:paraId="2E8B543D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Datawhale</w:t>
            </w:r>
          </w:p>
        </w:tc>
        <w:tc>
          <w:tcPr>
            <w:tcW w:w="1474" w:type="dxa"/>
            <w:shd w:val="clear" w:color="auto" w:fill="F5F8FB"/>
          </w:tcPr>
          <w:p w14:paraId="5F9C26C1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初选名单</w:t>
            </w:r>
          </w:p>
        </w:tc>
      </w:tr>
      <w:tr w14:paraId="1FD83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5F8FB"/>
          </w:tcPr>
          <w:p w14:paraId="09E019B5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11 月上旬（11.2–11.8）</w:t>
            </w:r>
          </w:p>
        </w:tc>
        <w:tc>
          <w:tcPr>
            <w:tcW w:w="3628" w:type="dxa"/>
            <w:shd w:val="clear" w:color="auto" w:fill="F5F8FB"/>
          </w:tcPr>
          <w:p w14:paraId="6A32D311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场地锁定与物料设计定稿；高校观摩团与圆桌嘉宾确认；签约意向文本沟通</w:t>
            </w:r>
          </w:p>
        </w:tc>
        <w:tc>
          <w:tcPr>
            <w:tcW w:w="1928" w:type="dxa"/>
            <w:shd w:val="clear" w:color="auto" w:fill="F5F8FB"/>
          </w:tcPr>
          <w:p w14:paraId="6B756641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园区 · Datawhale · 高校</w:t>
            </w:r>
          </w:p>
        </w:tc>
        <w:tc>
          <w:tcPr>
            <w:tcW w:w="1474" w:type="dxa"/>
            <w:shd w:val="clear" w:color="auto" w:fill="F5F8FB"/>
          </w:tcPr>
          <w:p w14:paraId="5803D265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场地/物料确认单</w:t>
            </w:r>
          </w:p>
        </w:tc>
      </w:tr>
      <w:tr w14:paraId="43566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5F8FB"/>
          </w:tcPr>
          <w:p w14:paraId="770C5DBF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11 月中旬（11.9–11.15）</w:t>
            </w:r>
          </w:p>
        </w:tc>
        <w:tc>
          <w:tcPr>
            <w:tcW w:w="3628" w:type="dxa"/>
            <w:shd w:val="clear" w:color="auto" w:fill="F5F8FB"/>
          </w:tcPr>
          <w:p w14:paraId="72F5A9C7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企业-FDE 预匹配；议程终稿；出席嘉宾与致辞安排确认</w:t>
            </w:r>
          </w:p>
        </w:tc>
        <w:tc>
          <w:tcPr>
            <w:tcW w:w="1928" w:type="dxa"/>
            <w:shd w:val="clear" w:color="auto" w:fill="F5F8FB"/>
          </w:tcPr>
          <w:p w14:paraId="672E4328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Datawhale</w:t>
            </w:r>
          </w:p>
        </w:tc>
        <w:tc>
          <w:tcPr>
            <w:tcW w:w="1474" w:type="dxa"/>
            <w:shd w:val="clear" w:color="auto" w:fill="F5F8FB"/>
          </w:tcPr>
          <w:p w14:paraId="6450D228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匹配表 · 议程册</w:t>
            </w:r>
          </w:p>
        </w:tc>
      </w:tr>
      <w:tr w14:paraId="244E6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5F8FB"/>
          </w:tcPr>
          <w:p w14:paraId="3142C376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11.16–11.24</w:t>
            </w:r>
          </w:p>
        </w:tc>
        <w:tc>
          <w:tcPr>
            <w:tcW w:w="3628" w:type="dxa"/>
            <w:shd w:val="clear" w:color="auto" w:fill="F5F8FB"/>
          </w:tcPr>
          <w:p w14:paraId="6633D43B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确认通知（企业二次确认为止）；全要素彩排；物料进场；媒体沟通</w:t>
            </w:r>
          </w:p>
        </w:tc>
        <w:tc>
          <w:tcPr>
            <w:tcW w:w="1928" w:type="dxa"/>
            <w:shd w:val="clear" w:color="auto" w:fill="F5F8FB"/>
          </w:tcPr>
          <w:p w14:paraId="0948AA7B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Datawhale · 园区</w:t>
            </w:r>
          </w:p>
        </w:tc>
        <w:tc>
          <w:tcPr>
            <w:tcW w:w="1474" w:type="dxa"/>
            <w:shd w:val="clear" w:color="auto" w:fill="F5F8FB"/>
          </w:tcPr>
          <w:p w14:paraId="241338F9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彩排完成</w:t>
            </w:r>
          </w:p>
        </w:tc>
      </w:tr>
      <w:tr w14:paraId="71588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5F8FB"/>
          </w:tcPr>
          <w:p w14:paraId="4EC1B878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11.25</w:t>
            </w:r>
          </w:p>
        </w:tc>
        <w:tc>
          <w:tcPr>
            <w:tcW w:w="3628" w:type="dxa"/>
            <w:shd w:val="clear" w:color="auto" w:fill="F5F8FB"/>
          </w:tcPr>
          <w:p w14:paraId="7871914D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活动执行</w:t>
            </w:r>
          </w:p>
        </w:tc>
        <w:tc>
          <w:tcPr>
            <w:tcW w:w="1928" w:type="dxa"/>
            <w:shd w:val="clear" w:color="auto" w:fill="F5F8FB"/>
          </w:tcPr>
          <w:p w14:paraId="18095E9C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全体</w:t>
            </w:r>
          </w:p>
        </w:tc>
        <w:tc>
          <w:tcPr>
            <w:tcW w:w="1474" w:type="dxa"/>
            <w:shd w:val="clear" w:color="auto" w:fill="F5F8FB"/>
          </w:tcPr>
          <w:p w14:paraId="66B34A51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活动如期举办</w:t>
            </w:r>
          </w:p>
        </w:tc>
      </w:tr>
      <w:tr w14:paraId="08A78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5F8FB"/>
          </w:tcPr>
          <w:p w14:paraId="33DA7638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会后一周（11.26–12.2）</w:t>
            </w:r>
          </w:p>
        </w:tc>
        <w:tc>
          <w:tcPr>
            <w:tcW w:w="3628" w:type="dxa"/>
            <w:shd w:val="clear" w:color="auto" w:fill="F5F8FB"/>
          </w:tcPr>
          <w:p w14:paraId="76E1B475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企业回访（回访完成率 100%）；复盘会；通稿发布</w:t>
            </w:r>
          </w:p>
        </w:tc>
        <w:tc>
          <w:tcPr>
            <w:tcW w:w="1928" w:type="dxa"/>
            <w:shd w:val="clear" w:color="auto" w:fill="F5F8FB"/>
          </w:tcPr>
          <w:p w14:paraId="2A14B818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Datawhale</w:t>
            </w:r>
          </w:p>
        </w:tc>
        <w:tc>
          <w:tcPr>
            <w:tcW w:w="1474" w:type="dxa"/>
            <w:shd w:val="clear" w:color="auto" w:fill="F5F8FB"/>
          </w:tcPr>
          <w:p w14:paraId="52261977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回访记录 · 复盘报告</w:t>
            </w:r>
          </w:p>
        </w:tc>
      </w:tr>
      <w:tr w14:paraId="4032F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5F8FB"/>
          </w:tcPr>
          <w:p w14:paraId="7A349CC4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12 月起</w:t>
            </w:r>
          </w:p>
        </w:tc>
        <w:tc>
          <w:tcPr>
            <w:tcW w:w="3628" w:type="dxa"/>
            <w:shd w:val="clear" w:color="auto" w:fill="F5F8FB"/>
          </w:tcPr>
          <w:p w14:paraId="460A4D30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案例沉淀（目标 ≥3 个进入 FDE 100）；与园区后续合作衔接探讨</w:t>
            </w:r>
          </w:p>
        </w:tc>
        <w:tc>
          <w:tcPr>
            <w:tcW w:w="1928" w:type="dxa"/>
            <w:shd w:val="clear" w:color="auto" w:fill="F5F8FB"/>
          </w:tcPr>
          <w:p w14:paraId="6E82D3CE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Datawhale</w:t>
            </w:r>
          </w:p>
        </w:tc>
        <w:tc>
          <w:tcPr>
            <w:tcW w:w="1474" w:type="dxa"/>
            <w:shd w:val="clear" w:color="auto" w:fill="F5F8FB"/>
          </w:tcPr>
          <w:p w14:paraId="5485DDA0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深圳案例集</w:t>
            </w:r>
          </w:p>
        </w:tc>
      </w:tr>
    </w:tbl>
    <w:p w14:paraId="470D90F4">
      <w:pPr>
        <w:spacing w:after="0"/>
      </w:pPr>
    </w:p>
    <w:p w14:paraId="2DDD8391">
      <w:pPr>
        <w:pBdr>
          <w:bottom w:val="single" w:color="1F4E79" w:sz="8" w:space="1"/>
        </w:pBdr>
        <w:spacing w:before="280" w:after="100"/>
      </w:pPr>
      <w:r>
        <w:rPr>
          <w:rFonts w:ascii="微软雅黑" w:hAnsi="微软雅黑" w:eastAsia="微软雅黑"/>
          <w:b/>
          <w:i w:val="0"/>
          <w:color w:val="1F4E79"/>
          <w:sz w:val="26"/>
        </w:rPr>
        <w:t>七、招募与筛选标准</w:t>
      </w:r>
    </w:p>
    <w:p w14:paraId="7C0B8A0D">
      <w:pPr>
        <w:spacing w:before="160" w:after="40"/>
      </w:pPr>
      <w:r>
        <w:rPr>
          <w:rFonts w:ascii="微软雅黑" w:hAnsi="微软雅黑" w:eastAsia="微软雅黑"/>
          <w:b/>
          <w:i w:val="0"/>
          <w:color w:val="333333"/>
          <w:sz w:val="22"/>
        </w:rPr>
        <w:t>企业（精选 20 家）</w:t>
      </w:r>
    </w:p>
    <w:p w14:paraId="16A03E92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1"/>
        </w:rPr>
        <w:t>· 南山区及深圳本地规上或高成长企业，行业覆盖</w:t>
      </w:r>
      <w:r>
        <w:rPr>
          <w:rFonts w:hint="eastAsia"/>
          <w:b w:val="0"/>
          <w:i w:val="0"/>
          <w:sz w:val="21"/>
          <w:lang w:val="en-US" w:eastAsia="zh-CN"/>
        </w:rPr>
        <w:t>文化创意、国际教育、</w:t>
      </w:r>
      <w:r>
        <w:rPr>
          <w:rFonts w:ascii="微软雅黑" w:hAnsi="微软雅黑" w:eastAsia="微软雅黑"/>
          <w:b w:val="0"/>
          <w:i w:val="0"/>
          <w:sz w:val="21"/>
        </w:rPr>
        <w:t>制造业、外贸、零售、专业服务等</w:t>
      </w:r>
      <w:bookmarkStart w:id="0" w:name="_GoBack"/>
      <w:bookmarkEnd w:id="0"/>
    </w:p>
    <w:p w14:paraId="3DEB3632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1"/>
        </w:rPr>
        <w:t>· 有真实 AI 落地需求：《企业需求表》须具体描述业务卡点，不接受泛泛学习型报名</w:t>
      </w:r>
    </w:p>
    <w:p w14:paraId="764C5D80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1"/>
        </w:rPr>
        <w:t>· 决策人（创始人/董事长/CEO/总经理）带队优先——参考杭州站近七成为决策人带队；每家限 1–2 人出席</w:t>
      </w:r>
    </w:p>
    <w:p w14:paraId="64CBCEFB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1"/>
        </w:rPr>
        <w:t>· 筛选流程：报名（目标 80 家以上）→ 需求初筛 → 电话确认 → 精选 20 家</w:t>
      </w:r>
    </w:p>
    <w:p w14:paraId="25805EB3">
      <w:pPr>
        <w:spacing w:before="160" w:after="40"/>
      </w:pPr>
      <w:r>
        <w:rPr>
          <w:rFonts w:ascii="微软雅黑" w:hAnsi="微软雅黑" w:eastAsia="微软雅黑"/>
          <w:b/>
          <w:i w:val="0"/>
          <w:color w:val="333333"/>
          <w:sz w:val="22"/>
        </w:rPr>
        <w:t>FDE 专家（20 位）</w:t>
      </w:r>
    </w:p>
    <w:p w14:paraId="4C702D6A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1"/>
        </w:rPr>
        <w:t>· 标准沿用 FDE 100：以案例识人、以结果认证——须有交付过的真实项目</w:t>
      </w:r>
    </w:p>
    <w:p w14:paraId="7037ED3A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1"/>
        </w:rPr>
        <w:t>· 行业方向覆盖到场企业需求（报名截止后按需求分布补齐专家）</w:t>
      </w:r>
    </w:p>
    <w:p w14:paraId="4DE70640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1"/>
        </w:rPr>
        <w:t>· 现场另设 2–3 位机动 FDE，应对匹配调整</w:t>
      </w:r>
    </w:p>
    <w:p w14:paraId="64248A7E">
      <w:pPr>
        <w:spacing w:before="160" w:after="40"/>
      </w:pPr>
      <w:r>
        <w:rPr>
          <w:rFonts w:ascii="微软雅黑" w:hAnsi="微软雅黑" w:eastAsia="微软雅黑"/>
          <w:b/>
          <w:i w:val="0"/>
          <w:color w:val="333333"/>
          <w:sz w:val="22"/>
        </w:rPr>
        <w:t>高校观摩团（限额 30–50 人）</w:t>
      </w:r>
    </w:p>
    <w:p w14:paraId="64ED48DD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1"/>
        </w:rPr>
        <w:t>· 深大/南科大各组织 15–25 名学生（AI 相关专业优先），分批观摩核心环节</w:t>
      </w:r>
    </w:p>
    <w:p w14:paraId="1E201C25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1"/>
        </w:rPr>
        <w:t>· 每校派 2–3 名教师代表出席校企圆桌；观摩学生签署保密承诺（详见风险预案）</w:t>
      </w:r>
    </w:p>
    <w:p w14:paraId="4AF1568D">
      <w:pPr>
        <w:pBdr>
          <w:bottom w:val="single" w:color="1F4E79" w:sz="8" w:space="1"/>
        </w:pBdr>
        <w:spacing w:before="280" w:after="100"/>
      </w:pPr>
      <w:r>
        <w:rPr>
          <w:rFonts w:ascii="微软雅黑" w:hAnsi="微软雅黑" w:eastAsia="微软雅黑"/>
          <w:b/>
          <w:i w:val="0"/>
          <w:color w:val="1F4E79"/>
          <w:sz w:val="26"/>
        </w:rPr>
        <w:t>八、物料清单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5669"/>
        <w:gridCol w:w="1587"/>
      </w:tblGrid>
      <w:tr w14:paraId="52181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DE8F2"/>
          </w:tcPr>
          <w:p w14:paraId="58233BC6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19"/>
              </w:rPr>
              <w:t>类别</w:t>
            </w:r>
          </w:p>
        </w:tc>
        <w:tc>
          <w:tcPr>
            <w:tcW w:w="5669" w:type="dxa"/>
            <w:shd w:val="clear" w:color="auto" w:fill="DDE8F2"/>
          </w:tcPr>
          <w:p w14:paraId="3458DA80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19"/>
              </w:rPr>
              <w:t>物料</w:t>
            </w:r>
          </w:p>
        </w:tc>
        <w:tc>
          <w:tcPr>
            <w:tcW w:w="1587" w:type="dxa"/>
            <w:shd w:val="clear" w:color="auto" w:fill="DDE8F2"/>
          </w:tcPr>
          <w:p w14:paraId="70E885C5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19"/>
              </w:rPr>
              <w:t>负责方</w:t>
            </w:r>
          </w:p>
        </w:tc>
      </w:tr>
      <w:tr w14:paraId="1D4F3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5F8FB"/>
          </w:tcPr>
          <w:p w14:paraId="01CBAC83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主视觉与印刷</w:t>
            </w:r>
          </w:p>
        </w:tc>
        <w:tc>
          <w:tcPr>
            <w:tcW w:w="5669" w:type="dxa"/>
            <w:shd w:val="clear" w:color="auto" w:fill="F5F8FB"/>
          </w:tcPr>
          <w:p w14:paraId="00737C03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背景板、签到板、议程册、桌牌、胸牌（企业/FDE/嘉宾/观摩四色区分）</w:t>
            </w:r>
          </w:p>
        </w:tc>
        <w:tc>
          <w:tcPr>
            <w:tcW w:w="1587" w:type="dxa"/>
            <w:shd w:val="clear" w:color="auto" w:fill="F5F8FB"/>
          </w:tcPr>
          <w:p w14:paraId="71137689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Datawhale · 园区</w:t>
            </w:r>
          </w:p>
        </w:tc>
      </w:tr>
      <w:tr w14:paraId="4AE51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5F8FB"/>
          </w:tcPr>
          <w:p w14:paraId="0F65244C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表单</w:t>
            </w:r>
          </w:p>
        </w:tc>
        <w:tc>
          <w:tcPr>
            <w:tcW w:w="5669" w:type="dxa"/>
            <w:shd w:val="clear" w:color="auto" w:fill="F5F8FB"/>
          </w:tcPr>
          <w:p w14:paraId="7C43AC6A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《企业需求表》（报名版 + 现场版）、企业-FDE 匹配表、回访记录表</w:t>
            </w:r>
          </w:p>
        </w:tc>
        <w:tc>
          <w:tcPr>
            <w:tcW w:w="1587" w:type="dxa"/>
            <w:shd w:val="clear" w:color="auto" w:fill="F5F8FB"/>
          </w:tcPr>
          <w:p w14:paraId="1CB0B836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Datawhale</w:t>
            </w:r>
          </w:p>
        </w:tc>
      </w:tr>
      <w:tr w14:paraId="7A524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5F8FB"/>
          </w:tcPr>
          <w:p w14:paraId="2DD2E87E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签约</w:t>
            </w:r>
          </w:p>
        </w:tc>
        <w:tc>
          <w:tcPr>
            <w:tcW w:w="5669" w:type="dxa"/>
            <w:shd w:val="clear" w:color="auto" w:fill="F5F8FB"/>
          </w:tcPr>
          <w:p w14:paraId="3523F3C5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FDE 人才共育合作意向书文本（意向性）、签约背板</w:t>
            </w:r>
          </w:p>
        </w:tc>
        <w:tc>
          <w:tcPr>
            <w:tcW w:w="1587" w:type="dxa"/>
            <w:shd w:val="clear" w:color="auto" w:fill="F5F8FB"/>
          </w:tcPr>
          <w:p w14:paraId="06B1FBD6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Datawhale · 高校</w:t>
            </w:r>
          </w:p>
        </w:tc>
      </w:tr>
      <w:tr w14:paraId="7E7E4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5F8FB"/>
          </w:tcPr>
          <w:p w14:paraId="315B8CA8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现场设备</w:t>
            </w:r>
          </w:p>
        </w:tc>
        <w:tc>
          <w:tcPr>
            <w:tcW w:w="5669" w:type="dxa"/>
            <w:shd w:val="clear" w:color="auto" w:fill="F5F8FB"/>
          </w:tcPr>
          <w:p w14:paraId="1DBE8A84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麦克风、投影、计时器、分组讨论用白板与桌椅</w:t>
            </w:r>
          </w:p>
        </w:tc>
        <w:tc>
          <w:tcPr>
            <w:tcW w:w="1587" w:type="dxa"/>
            <w:shd w:val="clear" w:color="auto" w:fill="F5F8FB"/>
          </w:tcPr>
          <w:p w14:paraId="40429E41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园区</w:t>
            </w:r>
          </w:p>
        </w:tc>
      </w:tr>
      <w:tr w14:paraId="4DB15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5F8FB"/>
          </w:tcPr>
          <w:p w14:paraId="5CA38E37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传播</w:t>
            </w:r>
          </w:p>
        </w:tc>
        <w:tc>
          <w:tcPr>
            <w:tcW w:w="5669" w:type="dxa"/>
            <w:shd w:val="clear" w:color="auto" w:fill="F5F8FB"/>
          </w:tcPr>
          <w:p w14:paraId="27A9C8C0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现场摄影摄像、活动通稿素材（会后一周内出稿）、社交媒体素材</w:t>
            </w:r>
          </w:p>
        </w:tc>
        <w:tc>
          <w:tcPr>
            <w:tcW w:w="1587" w:type="dxa"/>
            <w:shd w:val="clear" w:color="auto" w:fill="F5F8FB"/>
          </w:tcPr>
          <w:p w14:paraId="1A3A3F48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Datawhale</w:t>
            </w:r>
          </w:p>
        </w:tc>
      </w:tr>
      <w:tr w14:paraId="4E486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5F8FB"/>
          </w:tcPr>
          <w:p w14:paraId="7ED13DA4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展示</w:t>
            </w:r>
          </w:p>
        </w:tc>
        <w:tc>
          <w:tcPr>
            <w:tcW w:w="5669" w:type="dxa"/>
            <w:shd w:val="clear" w:color="auto" w:fill="F5F8FB"/>
          </w:tcPr>
          <w:p w14:paraId="5A7AA5B6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FDE 100 案例集样书、fde100.datawhale.cn 官网二维码展架</w:t>
            </w:r>
          </w:p>
        </w:tc>
        <w:tc>
          <w:tcPr>
            <w:tcW w:w="1587" w:type="dxa"/>
            <w:shd w:val="clear" w:color="auto" w:fill="F5F8FB"/>
          </w:tcPr>
          <w:p w14:paraId="07EAF3CD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Datawhale</w:t>
            </w:r>
          </w:p>
        </w:tc>
      </w:tr>
    </w:tbl>
    <w:p w14:paraId="60D722DF">
      <w:pPr>
        <w:spacing w:after="0"/>
      </w:pPr>
    </w:p>
    <w:p w14:paraId="540A721C">
      <w:pPr>
        <w:pBdr>
          <w:bottom w:val="single" w:color="1F4E79" w:sz="8" w:space="1"/>
        </w:pBdr>
        <w:spacing w:before="280" w:after="100"/>
      </w:pPr>
      <w:r>
        <w:rPr>
          <w:rFonts w:ascii="微软雅黑" w:hAnsi="微软雅黑" w:eastAsia="微软雅黑"/>
          <w:b/>
          <w:i w:val="0"/>
          <w:color w:val="1F4E79"/>
          <w:sz w:val="26"/>
        </w:rPr>
        <w:t>九、风险预案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1701"/>
        <w:gridCol w:w="4535"/>
        <w:gridCol w:w="1521"/>
      </w:tblGrid>
      <w:tr w14:paraId="43F4B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DDE8F2"/>
          </w:tcPr>
          <w:p w14:paraId="392435F9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19"/>
              </w:rPr>
              <w:t>风险</w:t>
            </w:r>
          </w:p>
        </w:tc>
        <w:tc>
          <w:tcPr>
            <w:tcW w:w="1701" w:type="dxa"/>
            <w:shd w:val="clear" w:color="auto" w:fill="DDE8F2"/>
          </w:tcPr>
          <w:p w14:paraId="2FD4D115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19"/>
              </w:rPr>
              <w:t>影响</w:t>
            </w:r>
          </w:p>
        </w:tc>
        <w:tc>
          <w:tcPr>
            <w:tcW w:w="4535" w:type="dxa"/>
            <w:shd w:val="clear" w:color="auto" w:fill="DDE8F2"/>
          </w:tcPr>
          <w:p w14:paraId="21C787E1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19"/>
              </w:rPr>
              <w:t>对策</w:t>
            </w:r>
          </w:p>
        </w:tc>
        <w:tc>
          <w:tcPr>
            <w:tcW w:w="1247" w:type="dxa"/>
            <w:shd w:val="clear" w:color="auto" w:fill="DDE8F2"/>
          </w:tcPr>
          <w:p w14:paraId="26E87F06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19"/>
              </w:rPr>
              <w:t>责任方</w:t>
            </w:r>
          </w:p>
        </w:tc>
      </w:tr>
      <w:tr w14:paraId="21553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F5F8FB"/>
          </w:tcPr>
          <w:p w14:paraId="4C9B24F4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企业报名不足</w:t>
            </w:r>
          </w:p>
        </w:tc>
        <w:tc>
          <w:tcPr>
            <w:tcW w:w="1701" w:type="dxa"/>
            <w:shd w:val="clear" w:color="auto" w:fill="F5F8FB"/>
          </w:tcPr>
          <w:p w14:paraId="758B259F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匹配基数不够，精选质量下降</w:t>
            </w:r>
          </w:p>
        </w:tc>
        <w:tc>
          <w:tcPr>
            <w:tcW w:w="4535" w:type="dxa"/>
            <w:shd w:val="clear" w:color="auto" w:fill="F5F8FB"/>
          </w:tcPr>
          <w:p w14:paraId="681FEF19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提前两周设预警线（报名少于 60 家即启动扩渠）；区政府、园区、高校三方渠道动员；建立候补名单</w:t>
            </w:r>
          </w:p>
        </w:tc>
        <w:tc>
          <w:tcPr>
            <w:tcW w:w="1247" w:type="dxa"/>
            <w:shd w:val="clear" w:color="auto" w:fill="F5F8FB"/>
          </w:tcPr>
          <w:p w14:paraId="38D0F036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Datawhale · 区政府 · 园区</w:t>
            </w:r>
          </w:p>
        </w:tc>
      </w:tr>
      <w:tr w14:paraId="38006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F5F8FB"/>
          </w:tcPr>
          <w:p w14:paraId="6D87970D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企业-FDE 匹配错位</w:t>
            </w:r>
          </w:p>
        </w:tc>
        <w:tc>
          <w:tcPr>
            <w:tcW w:w="1701" w:type="dxa"/>
            <w:shd w:val="clear" w:color="auto" w:fill="F5F8FB"/>
          </w:tcPr>
          <w:p w14:paraId="7A922A7B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诊断质量下降，企业获得感受损</w:t>
            </w:r>
          </w:p>
        </w:tc>
        <w:tc>
          <w:tcPr>
            <w:tcW w:w="4535" w:type="dxa"/>
            <w:shd w:val="clear" w:color="auto" w:fill="F5F8FB"/>
          </w:tcPr>
          <w:p w14:paraId="2268A0B9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需求表提前一周回收完成预匹配；现场设 2–3 位机动 FDE 随时调配；控场人巡场调组</w:t>
            </w:r>
          </w:p>
        </w:tc>
        <w:tc>
          <w:tcPr>
            <w:tcW w:w="1247" w:type="dxa"/>
            <w:shd w:val="clear" w:color="auto" w:fill="F5F8FB"/>
          </w:tcPr>
          <w:p w14:paraId="474F5A62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Datawhale</w:t>
            </w:r>
          </w:p>
        </w:tc>
      </w:tr>
      <w:tr w14:paraId="45892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F5F8FB"/>
          </w:tcPr>
          <w:p w14:paraId="0DAFCA71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决策人临时缺席</w:t>
            </w:r>
          </w:p>
        </w:tc>
        <w:tc>
          <w:tcPr>
            <w:tcW w:w="1701" w:type="dxa"/>
            <w:shd w:val="clear" w:color="auto" w:fill="F5F8FB"/>
          </w:tcPr>
          <w:p w14:paraId="22099716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出题深度不足</w:t>
            </w:r>
          </w:p>
        </w:tc>
        <w:tc>
          <w:tcPr>
            <w:tcW w:w="4535" w:type="dxa"/>
            <w:shd w:val="clear" w:color="auto" w:fill="F5F8FB"/>
          </w:tcPr>
          <w:p w14:paraId="6F04EA40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报名时确认出席层级；会前 48 小时二次确认；允许授权高管代表出席但须提前报备</w:t>
            </w:r>
          </w:p>
        </w:tc>
        <w:tc>
          <w:tcPr>
            <w:tcW w:w="1247" w:type="dxa"/>
            <w:shd w:val="clear" w:color="auto" w:fill="F5F8FB"/>
          </w:tcPr>
          <w:p w14:paraId="25D727BF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Datawhale</w:t>
            </w:r>
          </w:p>
        </w:tc>
      </w:tr>
      <w:tr w14:paraId="18ABF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F5F8FB"/>
          </w:tcPr>
          <w:p w14:paraId="06695305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场地变动</w:t>
            </w:r>
          </w:p>
        </w:tc>
        <w:tc>
          <w:tcPr>
            <w:tcW w:w="1701" w:type="dxa"/>
            <w:shd w:val="clear" w:color="auto" w:fill="F5F8FB"/>
          </w:tcPr>
          <w:p w14:paraId="3D102F51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时间与布置冲突</w:t>
            </w:r>
          </w:p>
        </w:tc>
        <w:tc>
          <w:tcPr>
            <w:tcW w:w="4535" w:type="dxa"/>
            <w:shd w:val="clear" w:color="auto" w:fill="F5F8FB"/>
          </w:tcPr>
          <w:p w14:paraId="77A70BEC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11 月上旬锁定场地并确认备选场地 1 处；园区与 Datawhale 各指定 1 名现场负责人</w:t>
            </w:r>
          </w:p>
        </w:tc>
        <w:tc>
          <w:tcPr>
            <w:tcW w:w="1247" w:type="dxa"/>
            <w:shd w:val="clear" w:color="auto" w:fill="F5F8FB"/>
          </w:tcPr>
          <w:p w14:paraId="44D37D59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园区</w:t>
            </w:r>
          </w:p>
        </w:tc>
      </w:tr>
      <w:tr w14:paraId="6F3B7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F5F8FB"/>
          </w:tcPr>
          <w:p w14:paraId="6F191FB6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保密与合规</w:t>
            </w:r>
          </w:p>
        </w:tc>
        <w:tc>
          <w:tcPr>
            <w:tcW w:w="1701" w:type="dxa"/>
            <w:shd w:val="clear" w:color="auto" w:fill="F5F8FB"/>
          </w:tcPr>
          <w:p w14:paraId="3745FC0A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企业商业信息外泄</w:t>
            </w:r>
          </w:p>
        </w:tc>
        <w:tc>
          <w:tcPr>
            <w:tcW w:w="4535" w:type="dxa"/>
            <w:shd w:val="clear" w:color="auto" w:fill="F5F8FB"/>
          </w:tcPr>
          <w:p w14:paraId="2C15411C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核心环节闭门、不直播不外拍；观摩学生签署保密承诺；媒体仅采访授权对象</w:t>
            </w:r>
          </w:p>
        </w:tc>
        <w:tc>
          <w:tcPr>
            <w:tcW w:w="1247" w:type="dxa"/>
            <w:shd w:val="clear" w:color="auto" w:fill="F5F8FB"/>
          </w:tcPr>
          <w:p w14:paraId="50A8648D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Datawhale</w:t>
            </w:r>
          </w:p>
        </w:tc>
      </w:tr>
      <w:tr w14:paraId="084B5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F5F8FB"/>
          </w:tcPr>
          <w:p w14:paraId="10C1E21C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高校环节影响主线</w:t>
            </w:r>
          </w:p>
        </w:tc>
        <w:tc>
          <w:tcPr>
            <w:tcW w:w="1701" w:type="dxa"/>
            <w:shd w:val="clear" w:color="auto" w:fill="F5F8FB"/>
          </w:tcPr>
          <w:p w14:paraId="7BEF5832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一对一解题时间被压缩</w:t>
            </w:r>
          </w:p>
        </w:tc>
        <w:tc>
          <w:tcPr>
            <w:tcW w:w="4535" w:type="dxa"/>
            <w:shd w:val="clear" w:color="auto" w:fill="F5F8FB"/>
          </w:tcPr>
          <w:p w14:paraId="5BD15105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观摩分批限时；圆桌严格控时 30 分钟；议程控场人统一计时</w:t>
            </w:r>
          </w:p>
        </w:tc>
        <w:tc>
          <w:tcPr>
            <w:tcW w:w="1247" w:type="dxa"/>
            <w:shd w:val="clear" w:color="auto" w:fill="F5F8FB"/>
          </w:tcPr>
          <w:p w14:paraId="288F4387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Datawhale</w:t>
            </w:r>
          </w:p>
        </w:tc>
      </w:tr>
    </w:tbl>
    <w:p w14:paraId="4A51FDDB">
      <w:pPr>
        <w:spacing w:after="0"/>
      </w:pPr>
    </w:p>
    <w:p w14:paraId="00E1001F">
      <w:pPr>
        <w:pBdr>
          <w:bottom w:val="single" w:color="1F4E79" w:sz="8" w:space="1"/>
        </w:pBdr>
        <w:spacing w:before="280" w:after="100"/>
      </w:pPr>
      <w:r>
        <w:rPr>
          <w:rFonts w:ascii="微软雅黑" w:hAnsi="微软雅黑" w:eastAsia="微软雅黑"/>
          <w:b/>
          <w:i w:val="0"/>
          <w:color w:val="1F4E79"/>
          <w:sz w:val="26"/>
        </w:rPr>
        <w:t>十、预期成果与后续跟进</w:t>
      </w:r>
    </w:p>
    <w:p w14:paraId="18565042">
      <w:pPr>
        <w:spacing w:before="160" w:after="40"/>
      </w:pPr>
      <w:r>
        <w:rPr>
          <w:rFonts w:ascii="微软雅黑" w:hAnsi="微软雅黑" w:eastAsia="微软雅黑"/>
          <w:b/>
          <w:i w:val="0"/>
          <w:color w:val="333333"/>
          <w:sz w:val="22"/>
        </w:rPr>
        <w:t>当日成果</w:t>
      </w:r>
    </w:p>
    <w:p w14:paraId="6A1F8E29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1"/>
        </w:rPr>
        <w:t>· 20 家企业 × 20 位 FDE 专家完成一对一诊断，每家企业带走"值得验证的第一步"</w:t>
      </w:r>
    </w:p>
    <w:p w14:paraId="42481C2A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1"/>
        </w:rPr>
        <w:t>· FDE 人才共育合作意向：Datawhale × 深圳大学、南方科技大学</w:t>
      </w:r>
    </w:p>
    <w:p w14:paraId="7E6E7CE1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1"/>
        </w:rPr>
        <w:t>· 校企圆桌形成人才共育初步共识（实习推荐、OPC 认证、案例进课堂）</w:t>
      </w:r>
    </w:p>
    <w:p w14:paraId="052003F6">
      <w:pPr>
        <w:spacing w:before="160" w:after="40"/>
      </w:pPr>
      <w:r>
        <w:rPr>
          <w:rFonts w:ascii="微软雅黑" w:hAnsi="微软雅黑" w:eastAsia="微软雅黑"/>
          <w:b/>
          <w:i w:val="0"/>
          <w:color w:val="333333"/>
          <w:sz w:val="22"/>
        </w:rPr>
        <w:t>会后一周</w:t>
      </w:r>
    </w:p>
    <w:p w14:paraId="18FE03A3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1"/>
        </w:rPr>
        <w:t>· 回访完成率 100%，企业-FDE 对接完成度目标 ≥80%（对标三城超 80% 的实际水平）</w:t>
      </w:r>
    </w:p>
    <w:p w14:paraId="7A6B0593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1"/>
        </w:rPr>
        <w:t>· 部分企业进入下一轮合作洽谈（对标南京站 9 家当场约定下轮合作）</w:t>
      </w:r>
    </w:p>
    <w:p w14:paraId="7F7B4CB1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1"/>
        </w:rPr>
        <w:t>· 活动通稿与素材发布（对标南京站"花钱没解决的，这场免费班搞定了"的传播效果）</w:t>
      </w:r>
    </w:p>
    <w:p w14:paraId="5C403B6F">
      <w:pPr>
        <w:spacing w:before="160" w:after="40"/>
      </w:pPr>
      <w:r>
        <w:rPr>
          <w:rFonts w:ascii="微软雅黑" w:hAnsi="微软雅黑" w:eastAsia="微软雅黑"/>
          <w:b/>
          <w:i w:val="0"/>
          <w:color w:val="333333"/>
          <w:sz w:val="22"/>
        </w:rPr>
        <w:t>会后一个月及以后</w:t>
      </w:r>
    </w:p>
    <w:p w14:paraId="2C83E0DA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1"/>
        </w:rPr>
        <w:t>· 至少 3 个深圳企业案例启动沉淀，目标进入 FDE 100 案例集</w:t>
      </w:r>
    </w:p>
    <w:p w14:paraId="3F2C0525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1"/>
        </w:rPr>
        <w:t>· 以本场活动为起点，与园区探讨常态化合作（学习中心、实训基地等形态，参考南京 Open College 模式）——具体合作方式另案推进，不在本方案展开</w:t>
      </w:r>
    </w:p>
    <w:p w14:paraId="1D125FDF">
      <w:pPr>
        <w:spacing w:after="60"/>
      </w:pPr>
    </w:p>
    <w:sectPr>
      <w:pgSz w:w="12240" w:h="15840"/>
      <w:pgMar w:top="1247" w:right="1474" w:bottom="1247" w:left="14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36" w:lineRule="auto"/>
      </w:pPr>
      <w:r>
        <w:separator/>
      </w:r>
    </w:p>
  </w:footnote>
  <w:footnote w:type="continuationSeparator" w:id="1">
    <w:p>
      <w:pPr>
        <w:spacing w:before="0" w:after="0" w:line="33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F07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3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649</Words>
  <Characters>744</Characters>
  <Lines>0</Lines>
  <Paragraphs>0</Paragraphs>
  <TotalTime>22</TotalTime>
  <ScaleCrop>false</ScaleCrop>
  <LinksUpToDate>false</LinksUpToDate>
  <CharactersWithSpaces>817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Anson</cp:lastModifiedBy>
  <dcterms:modified xsi:type="dcterms:W3CDTF">2026-09-23T23:58:10Z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eyJoZGlkIjoiMDljYzUzMWQ4OWI0YzBkYjYzMDRhZTY5ZjZkYmFmYTgiLCJ1c2VySWQiOiI0MzU1NzQ3NTQifQ==</vt:lpwstr>
  </property>
  <property fmtid="{D5CDD505-2E9C-101B-9397-08002B2CF9AE}" pid="3" name="KSOProductBuildVer">
    <vt:lpwstr>2052-12.1.0.29161</vt:lpwstr>
  </property>
  <property fmtid="{D5CDD505-2E9C-101B-9397-08002B2CF9AE}" pid="4" name="ICV">
    <vt:lpwstr>7812CCD447004A47B5BD18CCB07AF695_12</vt:lpwstr>
  </property>
</Properties>
</file>