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3F49C">
      <w:pPr>
        <w:spacing w:after="80"/>
        <w:jc w:val="center"/>
      </w:pPr>
      <w:r>
        <w:rPr>
          <w:rFonts w:ascii="微软雅黑" w:hAnsi="微软雅黑" w:eastAsia="微软雅黑"/>
          <w:b/>
          <w:i w:val="0"/>
          <w:color w:val="1F4E79"/>
          <w:sz w:val="34"/>
        </w:rPr>
        <w:t>Datawhale 香港市场落地与 HKAI Lab 合作方案</w:t>
      </w:r>
    </w:p>
    <w:p w14:paraId="487D5662">
      <w:pPr>
        <w:spacing w:after="200"/>
        <w:jc w:val="center"/>
      </w:pPr>
      <w:r>
        <w:rPr>
          <w:rFonts w:ascii="微软雅黑" w:hAnsi="微软雅黑" w:eastAsia="微软雅黑"/>
          <w:b w:val="0"/>
          <w:i w:val="0"/>
          <w:color w:val="808080"/>
          <w:sz w:val="24"/>
        </w:rPr>
        <w:t>（讨论稿 · 仅供内部与拟合作方沟通使用）</w:t>
      </w:r>
    </w:p>
    <w:p w14:paraId="3588FEE7">
      <w:pPr>
        <w:spacing w:after="40" w:line="300" w:lineRule="auto"/>
        <w:ind w:left="454"/>
      </w:pPr>
      <w:r>
        <w:rPr>
          <w:rFonts w:ascii="微软雅黑" w:hAnsi="微软雅黑" w:eastAsia="微软雅黑"/>
          <w:b w:val="0"/>
          <w:i/>
          <w:color w:val="808080"/>
          <w:sz w:val="20"/>
        </w:rPr>
        <w:t>编制：Anson　　日期：2026年9月22日</w:t>
      </w:r>
    </w:p>
    <w:p w14:paraId="0D38A2B2">
      <w:pPr>
        <w:spacing w:after="40" w:line="300" w:lineRule="auto"/>
        <w:ind w:left="454"/>
      </w:pPr>
      <w:r>
        <w:rPr>
          <w:rFonts w:ascii="微软雅黑" w:hAnsi="微软雅黑" w:eastAsia="微软雅黑"/>
          <w:b w:val="0"/>
          <w:i/>
          <w:color w:val="808080"/>
          <w:sz w:val="20"/>
        </w:rPr>
        <w:t>依据：2026-09-19 Anson 与 Teddy（HKAI Lab CEO）电话会议；《Datawhale 介绍》(0824)；HKAI Lab 官方介绍材料</w:t>
      </w:r>
    </w:p>
    <w:p w14:paraId="38D42C43">
      <w:pPr>
        <w:spacing w:after="40" w:line="300" w:lineRule="auto"/>
        <w:ind w:left="454"/>
      </w:pPr>
      <w:r>
        <w:rPr>
          <w:rFonts w:ascii="微软雅黑" w:hAnsi="微软雅黑" w:eastAsia="微软雅黑"/>
          <w:b w:val="0"/>
          <w:i/>
          <w:color w:val="808080"/>
          <w:sz w:val="20"/>
        </w:rPr>
        <w:t>用途：① 与 Datawhale 创始人范晶晶沟通的提案底稿；② 下周杭州（云栖大会期间）三方会面的谈判提纲</w:t>
      </w:r>
    </w:p>
    <w:p w14:paraId="4EA996C7">
      <w:pPr>
        <w:spacing w:after="60"/>
      </w:pPr>
      <w:r>
        <w:rPr>
          <w:rFonts w:ascii="微软雅黑" w:hAnsi="微软雅黑" w:eastAsia="微软雅黑"/>
          <w:b w:val="0"/>
          <w:i/>
          <w:color w:val="808080"/>
          <w:sz w:val="20"/>
        </w:rPr>
        <w:t>说明：本稿将"对外可展示的事实"与"内部判断/待议条款"分开呈现。第三至七章为方案主体，第八章为会面与谈判要点，附录为可直接对外的 HKAI Lab 一页速览。</w:t>
      </w:r>
    </w:p>
    <w:p w14:paraId="35E409CD">
      <w:pPr>
        <w:pBdr>
          <w:bottom w:val="single" w:color="1F4E79" w:sz="8" w:space="1"/>
        </w:pBdr>
        <w:spacing w:before="320" w:after="120"/>
      </w:pPr>
      <w:r>
        <w:rPr>
          <w:rFonts w:ascii="微软雅黑" w:hAnsi="微软雅黑" w:eastAsia="微软雅黑"/>
          <w:b/>
          <w:i w:val="0"/>
          <w:color w:val="1F4E79"/>
          <w:sz w:val="28"/>
        </w:rPr>
        <w:t>一、合作缘起与目标</w:t>
      </w:r>
    </w:p>
    <w:p w14:paraId="38FF08A8">
      <w:pPr>
        <w:spacing w:after="80"/>
        <w:ind w:left="0"/>
      </w:pPr>
      <w:r>
        <w:rPr>
          <w:rFonts w:ascii="微软雅黑" w:hAnsi="微软雅黑" w:eastAsia="微软雅黑"/>
          <w:b w:val="0"/>
          <w:i w:val="0"/>
          <w:sz w:val="22"/>
        </w:rPr>
        <w:t>本次合作的触发点是一次资源错配的机会：Datawhale 拥有已被验证的 AI 学习与培训业务模式和产品内容，但在华南（深圳、香港）没有落地，只有线上社区会员；HKAI Lab 在香港拥有经营了八年的高校、企业、政府网络与孵化运营能力，却没有自己可规模化的产品与内容。两边的短板正好是对方的长板。</w:t>
      </w:r>
    </w:p>
    <w:p w14:paraId="2BF5984B">
      <w:pPr>
        <w:spacing w:before="200" w:after="60"/>
      </w:pPr>
      <w:r>
        <w:rPr>
          <w:rFonts w:ascii="微软雅黑" w:hAnsi="微软雅黑" w:eastAsia="微软雅黑"/>
          <w:b/>
          <w:i w:val="0"/>
          <w:color w:val="404040"/>
          <w:sz w:val="24"/>
        </w:rPr>
        <w:t>1.1 合作目标（分三层递进）</w:t>
      </w:r>
    </w:p>
    <w:p w14:paraId="5D424885">
      <w:pPr>
        <w:spacing w:after="60"/>
        <w:ind w:left="255"/>
      </w:pPr>
      <w:r>
        <w:rPr>
          <w:rFonts w:ascii="微软雅黑" w:hAnsi="微软雅黑" w:eastAsia="微软雅黑"/>
          <w:b w:val="0"/>
          <w:i w:val="0"/>
          <w:sz w:val="22"/>
        </w:rPr>
        <w:t>· 短期（1–3 个月）：促成 Datawhale 创始人范晶晶与 HKAI Lab 在香港/华南合作达成共识，</w:t>
      </w:r>
      <w:r>
        <w:rPr>
          <w:rFonts w:ascii="微软雅黑" w:hAnsi="微软雅黑" w:eastAsia="微软雅黑"/>
          <w:b w:val="0"/>
          <w:i w:val="0"/>
          <w:sz w:val="22"/>
          <w:highlight w:val="yellow"/>
        </w:rPr>
        <w:t>明确合作形式与分账机制；同时在香港注册落地主体，形成承接合作的商业载体。</w:t>
      </w:r>
    </w:p>
    <w:p w14:paraId="680C6771">
      <w:pPr>
        <w:spacing w:after="60"/>
        <w:ind w:left="255"/>
      </w:pPr>
      <w:r>
        <w:rPr>
          <w:rFonts w:ascii="微软雅黑" w:hAnsi="微软雅黑" w:eastAsia="微软雅黑"/>
          <w:b w:val="0"/>
          <w:i w:val="0"/>
          <w:sz w:val="22"/>
        </w:rPr>
        <w:t>· 中期（3–12 个月）：不改变 Datawhale 现有收入结构，借助 HKAI Lab 渠道把 Datawhale 的大厂、高校、企业三条收入线复制到香港，形成可验证的收入与案例，把香港"做扎实"。</w:t>
      </w:r>
    </w:p>
    <w:p w14:paraId="7604E8C5">
      <w:pPr>
        <w:spacing w:after="60"/>
        <w:ind w:left="255"/>
      </w:pPr>
      <w:r>
        <w:rPr>
          <w:rFonts w:ascii="微软雅黑" w:hAnsi="微软雅黑" w:eastAsia="微软雅黑"/>
          <w:b w:val="0"/>
          <w:i w:val="0"/>
          <w:sz w:val="22"/>
        </w:rPr>
        <w:t>· 长期（12 个月以后）：以香港为出海样板，把"AI 培训 + 人才标准 + 社区运营"这一套模式向大湾区、泰国、中东等市场复制输出。</w:t>
      </w:r>
    </w:p>
    <w:p w14:paraId="0D905625">
      <w:pPr>
        <w:spacing w:before="200" w:after="60"/>
      </w:pPr>
      <w:r>
        <w:rPr>
          <w:rFonts w:ascii="微软雅黑" w:hAnsi="微软雅黑" w:eastAsia="微软雅黑"/>
          <w:b/>
          <w:i w:val="0"/>
          <w:color w:val="404040"/>
          <w:sz w:val="24"/>
        </w:rPr>
        <w:t>1.2 合作的基本原则（与出海业务总体原则一致）</w:t>
      </w:r>
    </w:p>
    <w:p w14:paraId="512594BF">
      <w:pPr>
        <w:spacing w:after="60"/>
        <w:ind w:left="255"/>
      </w:pPr>
      <w:r>
        <w:rPr>
          <w:rFonts w:ascii="微软雅黑" w:hAnsi="微软雅黑" w:eastAsia="微软雅黑"/>
          <w:b w:val="0"/>
          <w:i w:val="0"/>
          <w:sz w:val="22"/>
        </w:rPr>
        <w:t>· 聚焦科技型企业与 AI 生态服务，不做跨境电商类业务。</w:t>
      </w:r>
    </w:p>
    <w:p w14:paraId="142288FF">
      <w:pPr>
        <w:spacing w:after="60"/>
        <w:ind w:left="255"/>
      </w:pPr>
      <w:r>
        <w:rPr>
          <w:rFonts w:ascii="微软雅黑" w:hAnsi="微软雅黑" w:eastAsia="微软雅黑"/>
          <w:b w:val="0"/>
          <w:i w:val="0"/>
          <w:sz w:val="22"/>
        </w:rPr>
        <w:t>· 轻资产：不建重团队、不下场做交付重活、不压货；属地执行依托合作方既有资源。</w:t>
      </w:r>
    </w:p>
    <w:p w14:paraId="5C43FBF4">
      <w:pPr>
        <w:spacing w:after="60"/>
        <w:ind w:left="255"/>
      </w:pPr>
      <w:r>
        <w:rPr>
          <w:rFonts w:ascii="微软雅黑" w:hAnsi="微软雅黑" w:eastAsia="微软雅黑"/>
          <w:b w:val="0"/>
          <w:i w:val="0"/>
          <w:sz w:val="22"/>
        </w:rPr>
        <w:t>· 合作从轻到重：先用最轻的方式让事情发生，再逐步升级为股权绑定与平台化。</w:t>
      </w:r>
    </w:p>
    <w:p w14:paraId="34CEB478">
      <w:pPr>
        <w:spacing w:after="60"/>
        <w:ind w:left="255"/>
      </w:pPr>
      <w:r>
        <w:rPr>
          <w:rFonts w:ascii="微软雅黑" w:hAnsi="微软雅黑" w:eastAsia="微软雅黑"/>
          <w:b w:val="0"/>
          <w:i w:val="0"/>
          <w:sz w:val="22"/>
        </w:rPr>
        <w:t>· 客户资源必须掌握在自己手中——这是本方案的核心话语权所在。</w:t>
      </w:r>
    </w:p>
    <w:p w14:paraId="7ECAA709">
      <w:pPr>
        <w:pBdr>
          <w:bottom w:val="single" w:color="1F4E79" w:sz="8" w:space="1"/>
        </w:pBdr>
        <w:spacing w:before="320" w:after="120"/>
      </w:pPr>
      <w:r>
        <w:rPr>
          <w:rFonts w:ascii="微软雅黑" w:hAnsi="微软雅黑" w:eastAsia="微软雅黑"/>
          <w:b/>
          <w:i w:val="0"/>
          <w:color w:val="1F4E79"/>
          <w:sz w:val="28"/>
        </w:rPr>
        <w:t>二、三方资源盘点</w:t>
      </w:r>
    </w:p>
    <w:p w14:paraId="27A0B62E">
      <w:pPr>
        <w:spacing w:before="200" w:after="60"/>
      </w:pPr>
      <w:r>
        <w:rPr>
          <w:rFonts w:ascii="微软雅黑" w:hAnsi="微软雅黑" w:eastAsia="微软雅黑"/>
          <w:b/>
          <w:i w:val="0"/>
          <w:color w:val="404040"/>
          <w:sz w:val="24"/>
        </w:rPr>
        <w:t>2.1 Datawhale（产品与内容的提供方）</w:t>
      </w:r>
    </w:p>
    <w:p w14:paraId="5832A620">
      <w:pPr>
        <w:spacing w:after="80"/>
        <w:ind w:left="113"/>
      </w:pPr>
      <w:r>
        <w:rPr>
          <w:rFonts w:ascii="微软雅黑" w:hAnsi="微软雅黑" w:eastAsia="微软雅黑"/>
          <w:b w:val="0"/>
          <w:i w:val="0"/>
          <w:sz w:val="22"/>
        </w:rPr>
        <w:t>定位：国内领先的人工智能开源学习社区，运营主体为科鲸（杭州）信息技术有限公司，成立于 2018 年，2019 年组建全职团队、总部落地杭州，2026 年入驻西湖区云谷中心。团队规模由年初约 20 人扩至约 40 人。创始人范晶晶（1991 年生，杭州电子科技大学硕士）。</w:t>
      </w:r>
    </w:p>
    <w:p w14:paraId="12973E22">
      <w:pPr>
        <w:spacing w:after="60"/>
        <w:ind w:left="255"/>
      </w:pPr>
      <w:r>
        <w:rPr>
          <w:rFonts w:ascii="微软雅黑" w:hAnsi="微软雅黑" w:eastAsia="微软雅黑"/>
          <w:b w:val="0"/>
          <w:i w:val="0"/>
          <w:sz w:val="22"/>
        </w:rPr>
        <w:t>· 社区体量：开源项目在 GitHub 累计 40 万 Star，AI 学习类别全球第四、国内第一，组织总排名全球前 20；连接全球 4000 余所高校及数百家科技企业，贡献者团队超 1000 人，服务学习者超 200 万人。</w:t>
      </w:r>
    </w:p>
    <w:p w14:paraId="151F0AC2">
      <w:pPr>
        <w:spacing w:after="60"/>
        <w:ind w:left="255"/>
      </w:pPr>
      <w:r>
        <w:rPr>
          <w:rFonts w:ascii="微软雅黑" w:hAnsi="微软雅黑" w:eastAsia="微软雅黑"/>
          <w:b w:val="0"/>
          <w:i w:val="0"/>
          <w:sz w:val="22"/>
        </w:rPr>
        <w:t>· 商业模式：C 端完全免费开源，可持续性来自 B 端收费，共三块收入——① 大厂（AI 产品厂商的开发者/学生心智培育预算）；② 高校（就业辅导与课外 AI 培训预算）；③ 地方政府（线下 AI 开发者社区、培训、赛事落地预算，单笔 150 万元至数百万元）。</w:t>
      </w:r>
    </w:p>
    <w:p w14:paraId="7124DE3A">
      <w:pPr>
        <w:spacing w:after="60"/>
        <w:ind w:left="255"/>
        <w:rPr>
          <w:highlight w:val="yellow"/>
        </w:rPr>
      </w:pPr>
      <w:r>
        <w:rPr>
          <w:rFonts w:ascii="微软雅黑" w:hAnsi="微软雅黑" w:eastAsia="微软雅黑"/>
          <w:b w:val="0"/>
          <w:i w:val="0"/>
          <w:sz w:val="22"/>
        </w:rPr>
        <w:t xml:space="preserve">· 标准化能力：牵头制定 </w:t>
      </w:r>
      <w:r>
        <w:rPr>
          <w:rFonts w:ascii="微软雅黑" w:hAnsi="微软雅黑" w:eastAsia="微软雅黑"/>
          <w:b w:val="0"/>
          <w:i w:val="0"/>
          <w:sz w:val="22"/>
          <w:highlight w:val="yellow"/>
        </w:rPr>
        <w:t>OPC 九级人才力能标准（L6 以上对应可验证的商业交付），拥有 FDE（企业驻场工程师）培养与输送体系。</w:t>
      </w:r>
    </w:p>
    <w:p w14:paraId="00C62A3E">
      <w:pPr>
        <w:spacing w:after="60"/>
        <w:ind w:left="255"/>
      </w:pPr>
      <w:r>
        <w:rPr>
          <w:rFonts w:ascii="微软雅黑" w:hAnsi="微软雅黑" w:eastAsia="微软雅黑"/>
          <w:b w:val="0"/>
          <w:i w:val="0"/>
          <w:sz w:val="22"/>
        </w:rPr>
        <w:t>· 线下载体：与杭州电子科技大学、西湖区政府共建全国首个人工智能开源生态学院（2026 年 4 月 29 日成立）；已在北京、上海、南京、温州、株洲等 8 个城市推进</w:t>
      </w:r>
      <w:r>
        <w:rPr>
          <w:rFonts w:ascii="微软雅黑" w:hAnsi="微软雅黑" w:eastAsia="微软雅黑"/>
          <w:b w:val="0"/>
          <w:i w:val="0"/>
          <w:sz w:val="22"/>
          <w:highlight w:val="yellow"/>
        </w:rPr>
        <w:t>学习中心</w:t>
      </w:r>
      <w:r>
        <w:rPr>
          <w:rFonts w:ascii="微软雅黑" w:hAnsi="微软雅黑" w:eastAsia="微软雅黑"/>
          <w:b w:val="0"/>
          <w:i w:val="0"/>
          <w:sz w:val="22"/>
        </w:rPr>
        <w:t>，计划覆盖 15 个以上核心城市。</w:t>
      </w:r>
    </w:p>
    <w:p w14:paraId="6B9E8CD4">
      <w:pPr>
        <w:spacing w:after="60"/>
        <w:ind w:left="255"/>
      </w:pPr>
      <w:r>
        <w:rPr>
          <w:rFonts w:ascii="微软雅黑" w:hAnsi="微软雅黑" w:eastAsia="微软雅黑"/>
          <w:b w:val="0"/>
          <w:i w:val="0"/>
          <w:sz w:val="22"/>
        </w:rPr>
        <w:t>· 权威背书：2026 年世界数字教育大会唯一受邀登台的中国企业代表；入选《浙里改·重大改革月报》典型案例；中央广播电视总台等主流媒体报道；杭州"五小凤"代表企业之一；与"学习强国"共建 AI 板块。</w:t>
      </w:r>
    </w:p>
    <w:p w14:paraId="6532A866">
      <w:pPr>
        <w:spacing w:after="60"/>
        <w:ind w:left="255"/>
      </w:pPr>
      <w:r>
        <w:rPr>
          <w:rFonts w:ascii="微软雅黑" w:hAnsi="微软雅黑" w:eastAsia="微软雅黑"/>
          <w:b w:val="0"/>
          <w:i w:val="0"/>
          <w:sz w:val="22"/>
        </w:rPr>
        <w:t>· 关键缺口：香港与深圳没有实质布局，仅有线上社区会员——这正是本次合作的切入点。</w:t>
      </w:r>
    </w:p>
    <w:p w14:paraId="2CA5FD8E">
      <w:pPr>
        <w:spacing w:before="200" w:after="60"/>
      </w:pPr>
      <w:r>
        <w:rPr>
          <w:rFonts w:ascii="微软雅黑" w:hAnsi="微软雅黑" w:eastAsia="微软雅黑"/>
          <w:b/>
          <w:i w:val="0"/>
          <w:color w:val="404040"/>
          <w:sz w:val="24"/>
        </w:rPr>
        <w:t>2.2 HKAI Lab（香港渠道与落地能力的提供方）</w:t>
      </w:r>
    </w:p>
    <w:p w14:paraId="2B7E8739">
      <w:pPr>
        <w:spacing w:after="80"/>
        <w:ind w:left="113"/>
      </w:pPr>
      <w:r>
        <w:rPr>
          <w:rFonts w:ascii="微软雅黑" w:hAnsi="微软雅黑" w:eastAsia="微软雅黑"/>
          <w:b w:val="0"/>
          <w:i w:val="0"/>
          <w:sz w:val="22"/>
        </w:rPr>
        <w:t>全称香港人工智能及数据实验室，成立于 2018 年，是由阿里巴巴创业者基金（AEF）与商汤科技（SenseTime）携手合作资助的非营利 AI 初创企业培育项目，</w:t>
      </w:r>
      <w:r>
        <w:rPr>
          <w:rFonts w:ascii="微软雅黑" w:hAnsi="微软雅黑" w:eastAsia="微软雅黑"/>
          <w:b w:val="0"/>
          <w:i w:val="0"/>
          <w:sz w:val="22"/>
          <w:highlight w:val="yellow"/>
        </w:rPr>
        <w:t>与香港科技园（HKSTP）、数码港（Cyberport）、港深创新及科技园（HSITP）</w:t>
      </w:r>
      <w:r>
        <w:rPr>
          <w:rFonts w:ascii="微软雅黑" w:hAnsi="微软雅黑" w:eastAsia="微软雅黑"/>
          <w:b w:val="0"/>
          <w:i w:val="0"/>
          <w:sz w:val="22"/>
        </w:rPr>
        <w:t>三大创科园紧密合作，曾获亚洲企业孵化协会（AABI）年度孵化器奖（2022 年）。</w:t>
      </w:r>
    </w:p>
    <w:p w14:paraId="58DD7C01">
      <w:pPr>
        <w:spacing w:after="60"/>
        <w:ind w:left="255"/>
      </w:pPr>
      <w:r>
        <w:rPr>
          <w:rFonts w:ascii="微软雅黑" w:hAnsi="微软雅黑" w:eastAsia="微软雅黑"/>
          <w:b w:val="0"/>
          <w:i w:val="0"/>
          <w:sz w:val="22"/>
        </w:rPr>
        <w:t>· 孵化成绩：走过 13 个孵化周期，收到 1000 多份 AI 相关申请，累计培育孵化 151 家初创企业；其中 59 家成功融资，26 家估值超 1000 万美元、11 家超 2500 万美元、2 家超 1 亿美元。</w:t>
      </w:r>
    </w:p>
    <w:p w14:paraId="3945E32F">
      <w:pPr>
        <w:spacing w:after="60"/>
        <w:ind w:left="255"/>
      </w:pPr>
      <w:r>
        <w:rPr>
          <w:rFonts w:ascii="微软雅黑" w:hAnsi="微软雅黑" w:eastAsia="微软雅黑"/>
          <w:b w:val="0"/>
          <w:i w:val="0"/>
          <w:sz w:val="22"/>
        </w:rPr>
        <w:t>· 商业配对网络：过去 8 年与 190 多家企业、政府部门和社区建立网络，落地案例包括上市制造业公司（日程调度）、上市房地产公司（地理 AI、数据分析）、上市银行与零售连锁（POC、智能零售）、上市 ESG 公司（OCR）、土木工程拓展署（计算机视觉）等。</w:t>
      </w:r>
    </w:p>
    <w:p w14:paraId="645B75FB">
      <w:pPr>
        <w:spacing w:after="60"/>
        <w:ind w:left="255"/>
      </w:pPr>
      <w:r>
        <w:rPr>
          <w:rFonts w:ascii="微软雅黑" w:hAnsi="微软雅黑" w:eastAsia="微软雅黑"/>
          <w:b w:val="0"/>
          <w:i w:val="0"/>
          <w:sz w:val="22"/>
        </w:rPr>
        <w:t>· 机构合作：与东亚银行共同孵化计划"BEAst"（2023 年至今，已连接 100 多家金融科技初创、完成多个 POC）、港深创科园加速计划（GAS，2025 年至今）、香港科技园共同孵化计划（2018 年至今）、香港都会大学 MetroChallenge/种子基金/GBA 项目、香港教育大学 GBA 项目。</w:t>
      </w:r>
    </w:p>
    <w:p w14:paraId="1BAE22E5">
      <w:pPr>
        <w:spacing w:after="60"/>
        <w:ind w:left="255"/>
      </w:pPr>
      <w:r>
        <w:rPr>
          <w:rFonts w:ascii="微软雅黑" w:hAnsi="微软雅黑" w:eastAsia="微软雅黑"/>
          <w:b w:val="0"/>
          <w:i w:val="0"/>
          <w:sz w:val="22"/>
        </w:rPr>
        <w:t>· 培训与课程：HKU × HKAI Lab AI 课程、企业高管战略 AI 项目及课程、中信银行创新研讨会、资生堂创新研讨会；面向公司高管、员工及政府人员提供 AI 知识培训、技术展示与证书课程；拥有涵盖投资者、学术界、AI 初创、企业家及行业专家（商汤、达摩院、英伟达等）的演讲者库。</w:t>
      </w:r>
    </w:p>
    <w:p w14:paraId="5E1BE27E">
      <w:pPr>
        <w:spacing w:after="60"/>
        <w:ind w:left="255"/>
      </w:pPr>
      <w:r>
        <w:rPr>
          <w:rFonts w:ascii="微软雅黑" w:hAnsi="微软雅黑" w:eastAsia="微软雅黑"/>
          <w:b w:val="0"/>
          <w:i w:val="0"/>
          <w:sz w:val="22"/>
        </w:rPr>
        <w:t>· 资源支持：为入驻团队提供免费 GPU 计算资源、云使用积分及 LLM 代币，以及募资配对、专家咨询、导师网络等五项战略支持（人才支持、商业配对、募集资金、商业咨询、资源支持）。</w:t>
      </w:r>
    </w:p>
    <w:p w14:paraId="4715E9CB">
      <w:pPr>
        <w:spacing w:before="200" w:after="60"/>
      </w:pPr>
      <w:r>
        <w:rPr>
          <w:rFonts w:ascii="微软雅黑" w:hAnsi="微软雅黑" w:eastAsia="微软雅黑"/>
          <w:b/>
          <w:i w:val="0"/>
          <w:color w:val="404040"/>
          <w:sz w:val="24"/>
        </w:rPr>
        <w:t>2.3 Anson 与 Teddy 及可调动的外部资源</w:t>
      </w:r>
    </w:p>
    <w:p w14:paraId="6A15DC02">
      <w:pPr>
        <w:spacing w:after="60"/>
        <w:ind w:left="255"/>
      </w:pPr>
      <w:r>
        <w:rPr>
          <w:rFonts w:ascii="微软雅黑" w:hAnsi="微软雅黑" w:eastAsia="微软雅黑"/>
          <w:b w:val="0"/>
          <w:i w:val="0"/>
          <w:sz w:val="22"/>
        </w:rPr>
        <w:t>· Anson：杭州、深圳政府与园区渠道成熟，因 RoboX 业务与合肥、成都政府对接较多；可调动工业自动化与硬件产业链资源（传感器、减速器、加速器等）；引荐 Datawhale，并关联诺辉岭南基金。</w:t>
      </w:r>
    </w:p>
    <w:p w14:paraId="327D72D1">
      <w:pPr>
        <w:spacing w:after="60"/>
        <w:ind w:left="255"/>
      </w:pPr>
      <w:r>
        <w:rPr>
          <w:rFonts w:ascii="微软雅黑" w:hAnsi="微软雅黑" w:eastAsia="微软雅黑"/>
          <w:b w:val="0"/>
          <w:i w:val="0"/>
          <w:sz w:val="22"/>
        </w:rPr>
        <w:t>· Teddy：HKAI Lab CEO（近两年），香港孵化与科创生态网络主要建立者（其自评"八成是我建立回来的"）；掌握泰国、中东、澳洲三条外部资源线。</w:t>
      </w:r>
    </w:p>
    <w:p w14:paraId="17680B4F">
      <w:pPr>
        <w:spacing w:after="60"/>
        <w:ind w:left="255"/>
      </w:pPr>
      <w:r>
        <w:rPr>
          <w:rFonts w:ascii="微软雅黑" w:hAnsi="微软雅黑" w:eastAsia="微软雅黑"/>
          <w:b w:val="0"/>
          <w:i w:val="0"/>
          <w:sz w:val="22"/>
        </w:rPr>
        <w:t>· 泰国线：合作方团队来自泰京银行（Krungthai Bank）背景，银行背后有大量本地大型企业客户、网络与投资人，可同时解决"找客户"与"找融资"两件事。</w:t>
      </w:r>
    </w:p>
    <w:p w14:paraId="01543CF5">
      <w:pPr>
        <w:spacing w:after="60"/>
        <w:ind w:left="255"/>
      </w:pPr>
      <w:r>
        <w:rPr>
          <w:rFonts w:ascii="微软雅黑" w:hAnsi="微软雅黑" w:eastAsia="微软雅黑"/>
          <w:b w:val="0"/>
          <w:i w:val="0"/>
          <w:sz w:val="22"/>
        </w:rPr>
        <w:t>· 中东线：中东孵化机构 Brinc 布局五六年，在当地有几十人规模的团队，可承接落地。</w:t>
      </w:r>
    </w:p>
    <w:p w14:paraId="073AA4D3">
      <w:pPr>
        <w:spacing w:after="60"/>
        <w:ind w:left="255"/>
      </w:pPr>
      <w:r>
        <w:rPr>
          <w:rFonts w:ascii="微软雅黑" w:hAnsi="微软雅黑" w:eastAsia="微软雅黑"/>
          <w:b w:val="0"/>
          <w:i w:val="0"/>
          <w:sz w:val="22"/>
        </w:rPr>
        <w:t>· 澳洲线：董博鑫（常驻墨尔本、悉尼，另有深圳政府合作基金），当地资源丰富但项目优先级待观察——建议先做出 case 再谈深度合作。</w:t>
      </w:r>
    </w:p>
    <w:p w14:paraId="6C9B4C17">
      <w:pPr>
        <w:pBdr>
          <w:bottom w:val="single" w:color="1F4E79" w:sz="8" w:space="1"/>
        </w:pBdr>
        <w:spacing w:before="320" w:after="120"/>
      </w:pPr>
      <w:r>
        <w:rPr>
          <w:rFonts w:ascii="微软雅黑" w:hAnsi="微软雅黑" w:eastAsia="微软雅黑"/>
          <w:b/>
          <w:i w:val="0"/>
          <w:color w:val="1F4E79"/>
          <w:sz w:val="28"/>
        </w:rPr>
        <w:t>三、合作总体设计</w:t>
      </w:r>
    </w:p>
    <w:p w14:paraId="6B7FB86E">
      <w:pPr>
        <w:spacing w:before="200" w:after="60"/>
      </w:pPr>
      <w:r>
        <w:rPr>
          <w:rFonts w:ascii="微软雅黑" w:hAnsi="微软雅黑" w:eastAsia="微软雅黑"/>
          <w:b/>
          <w:i w:val="0"/>
          <w:color w:val="404040"/>
          <w:sz w:val="24"/>
        </w:rPr>
        <w:t>3.1 核心逻辑：不改模式，只换市场</w:t>
      </w:r>
    </w:p>
    <w:p w14:paraId="3B437A19">
      <w:pPr>
        <w:spacing w:after="80"/>
        <w:ind w:left="0"/>
        <w:rPr>
          <w:highlight w:val="yellow"/>
        </w:rPr>
      </w:pPr>
      <w:r>
        <w:rPr>
          <w:rFonts w:ascii="微软雅黑" w:hAnsi="微软雅黑" w:eastAsia="微软雅黑"/>
          <w:b w:val="0"/>
          <w:i w:val="0"/>
          <w:sz w:val="22"/>
        </w:rPr>
        <w:t>合作不改变 Datawhale 的业务实质与收入种类，也不要求它重建团队或重新开发产品；我们提供的是"市场进入能力"——用香港既有的高校、企业、政府渠道，</w:t>
      </w:r>
      <w:r>
        <w:rPr>
          <w:rFonts w:ascii="微软雅黑" w:hAnsi="微软雅黑" w:eastAsia="微软雅黑"/>
          <w:b w:val="0"/>
          <w:i w:val="0"/>
          <w:sz w:val="22"/>
          <w:highlight w:val="yellow"/>
        </w:rPr>
        <w:t>把 Datawhale 已被验证的三条收入线在香港跑起来。</w:t>
      </w:r>
      <w:r>
        <w:rPr>
          <w:rFonts w:ascii="微软雅黑" w:hAnsi="微软雅黑" w:eastAsia="微软雅黑"/>
          <w:b w:val="0"/>
          <w:i w:val="0"/>
          <w:sz w:val="22"/>
        </w:rPr>
        <w:t>相应地，</w:t>
      </w:r>
      <w:r>
        <w:rPr>
          <w:rFonts w:ascii="微软雅黑" w:hAnsi="微软雅黑" w:eastAsia="微软雅黑"/>
          <w:b w:val="0"/>
          <w:i w:val="0"/>
          <w:sz w:val="22"/>
          <w:highlight w:val="yellow"/>
        </w:rPr>
        <w:t>市场（客户关系、合同主体、品牌落地）由合作主体持有，而不是由 HKAI Lab 持有。</w:t>
      </w:r>
    </w:p>
    <w:p w14:paraId="1D887AD9">
      <w:pPr>
        <w:spacing w:before="200" w:after="60"/>
      </w:pPr>
      <w:r>
        <w:rPr>
          <w:rFonts w:ascii="微软雅黑" w:hAnsi="微软雅黑" w:eastAsia="微软雅黑"/>
          <w:b/>
          <w:i w:val="0"/>
          <w:color w:val="404040"/>
          <w:sz w:val="24"/>
        </w:rPr>
        <w:t>3.2 建议路径：品牌香港落地 + 合资主体</w:t>
      </w:r>
    </w:p>
    <w:p w14:paraId="18B65781">
      <w:pPr>
        <w:spacing w:after="60"/>
        <w:ind w:left="255"/>
      </w:pPr>
      <w:r>
        <w:rPr>
          <w:rFonts w:ascii="微软雅黑" w:hAnsi="微软雅黑" w:eastAsia="微软雅黑"/>
          <w:b w:val="0"/>
          <w:i w:val="0"/>
          <w:sz w:val="22"/>
        </w:rPr>
        <w:t>· 由 Datawhale 授权品牌在香港注册落地，与 Anson/Teddy 方在港/深设立的合资主体合作运营香港乃至华南市场，按股权比例分利。</w:t>
      </w:r>
    </w:p>
    <w:p w14:paraId="62158157">
      <w:pPr>
        <w:spacing w:after="60"/>
        <w:ind w:left="255"/>
      </w:pPr>
      <w:r>
        <w:rPr>
          <w:rFonts w:ascii="微软雅黑" w:hAnsi="微软雅黑" w:eastAsia="微软雅黑"/>
          <w:b w:val="0"/>
          <w:i w:val="0"/>
          <w:sz w:val="22"/>
        </w:rPr>
        <w:t>· 合资主体作为对外签约与收费主体，再以"合作/代理"方式调用 HKAI Lab 的团队与渠道资源，并按约定比例向 HKAI Lab 分账，使其有交代、可持续。</w:t>
      </w:r>
    </w:p>
    <w:p w14:paraId="1E4169E9">
      <w:pPr>
        <w:spacing w:after="60"/>
        <w:ind w:left="255"/>
      </w:pPr>
      <w:r>
        <w:rPr>
          <w:rFonts w:ascii="微软雅黑" w:hAnsi="微软雅黑" w:eastAsia="微软雅黑"/>
          <w:b w:val="0"/>
          <w:i w:val="0"/>
          <w:sz w:val="22"/>
        </w:rPr>
        <w:t>· 产品、培训内容与标准持续由 Datawhale 提供与迭代——内容能力才是长期价值与议价权的来源。</w:t>
      </w:r>
    </w:p>
    <w:p w14:paraId="71265DA6">
      <w:pPr>
        <w:spacing w:after="60"/>
        <w:ind w:left="255"/>
      </w:pPr>
      <w:r>
        <w:rPr>
          <w:rFonts w:ascii="微软雅黑" w:hAnsi="微软雅黑" w:eastAsia="微软雅黑"/>
          <w:b w:val="0"/>
          <w:i w:val="0"/>
          <w:sz w:val="22"/>
        </w:rPr>
        <w:t>· 合作规模上先"精选"后"平台"：起步不做高举高打的大平台，而是精选少量真正能落地、能回款的客户与项目，把模式跑通；条件具备后再过渡到平台化运营。</w:t>
      </w:r>
    </w:p>
    <w:p w14:paraId="26E8257F">
      <w:pPr>
        <w:pBdr>
          <w:bottom w:val="single" w:color="1F4E79" w:sz="8" w:space="1"/>
        </w:pBdr>
        <w:spacing w:before="320" w:after="120"/>
      </w:pPr>
      <w:r>
        <w:rPr>
          <w:rFonts w:ascii="微软雅黑" w:hAnsi="微软雅黑" w:eastAsia="微软雅黑"/>
          <w:b/>
          <w:i w:val="0"/>
          <w:color w:val="1F4E79"/>
          <w:sz w:val="28"/>
        </w:rPr>
        <w:t>四、合作架构选项与取舍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2604"/>
        <w:gridCol w:w="1924"/>
        <w:gridCol w:w="2489"/>
      </w:tblGrid>
      <w:tr w14:paraId="4EF67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35474BC">
            <w:pPr>
              <w:spacing w:after="0"/>
            </w:pPr>
            <w:r>
              <w:rPr>
                <w:rFonts w:ascii="微软雅黑" w:hAnsi="微软雅黑" w:eastAsia="微软雅黑"/>
                <w:b/>
                <w:i w:val="0"/>
                <w:color w:val="1F4E79"/>
                <w:sz w:val="20"/>
              </w:rPr>
              <w:t>架构选项</w:t>
            </w:r>
          </w:p>
        </w:tc>
        <w:tc>
          <w:tcPr>
            <w:tcW w:w="2608" w:type="dxa"/>
          </w:tcPr>
          <w:p w14:paraId="3C149C77">
            <w:pPr>
              <w:spacing w:after="0"/>
            </w:pPr>
            <w:r>
              <w:rPr>
                <w:rFonts w:ascii="微软雅黑" w:hAnsi="微软雅黑" w:eastAsia="微软雅黑"/>
                <w:b/>
                <w:i w:val="0"/>
                <w:color w:val="1F4E79"/>
                <w:sz w:val="20"/>
              </w:rPr>
              <w:t>说明</w:t>
            </w:r>
          </w:p>
        </w:tc>
        <w:tc>
          <w:tcPr>
            <w:tcW w:w="1928" w:type="dxa"/>
          </w:tcPr>
          <w:p w14:paraId="6B1C7BED">
            <w:pPr>
              <w:spacing w:after="0"/>
            </w:pPr>
            <w:r>
              <w:rPr>
                <w:rFonts w:ascii="微软雅黑" w:hAnsi="微软雅黑" w:eastAsia="微软雅黑"/>
                <w:b/>
                <w:i w:val="0"/>
                <w:color w:val="1F4E79"/>
                <w:sz w:val="20"/>
              </w:rPr>
              <w:t>优点</w:t>
            </w:r>
          </w:p>
        </w:tc>
        <w:tc>
          <w:tcPr>
            <w:tcW w:w="2494" w:type="dxa"/>
          </w:tcPr>
          <w:p w14:paraId="3322F57D">
            <w:pPr>
              <w:spacing w:after="0"/>
            </w:pPr>
            <w:r>
              <w:rPr>
                <w:rFonts w:ascii="微软雅黑" w:hAnsi="微软雅黑" w:eastAsia="微软雅黑"/>
                <w:b/>
                <w:i w:val="0"/>
                <w:color w:val="1F4E79"/>
                <w:sz w:val="20"/>
              </w:rPr>
              <w:t>风险与建议</w:t>
            </w:r>
          </w:p>
        </w:tc>
      </w:tr>
      <w:tr w14:paraId="2D69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4CD06D3C">
            <w:pPr>
              <w:spacing w:after="0"/>
            </w:pPr>
            <w:r>
              <w:rPr>
                <w:rFonts w:ascii="微软雅黑" w:hAnsi="微软雅黑" w:eastAsia="微软雅黑"/>
                <w:b w:val="0"/>
                <w:i w:val="0"/>
                <w:sz w:val="20"/>
              </w:rPr>
              <w:t>A. 渠道代理／项目分成（最轻）</w:t>
            </w:r>
          </w:p>
        </w:tc>
        <w:tc>
          <w:tcPr>
            <w:tcW w:w="2608" w:type="dxa"/>
          </w:tcPr>
          <w:p w14:paraId="15364B52">
            <w:pPr>
              <w:spacing w:after="0"/>
            </w:pPr>
            <w:r>
              <w:rPr>
                <w:rFonts w:ascii="微软雅黑" w:hAnsi="微软雅黑" w:eastAsia="微软雅黑"/>
                <w:b w:val="0"/>
                <w:i w:val="0"/>
                <w:sz w:val="20"/>
              </w:rPr>
              <w:t>不改动任何主体，香港项目由 HKAI Lab 现有团队承接，我们与 HKAI Lab 按项目分账。</w:t>
            </w:r>
          </w:p>
        </w:tc>
        <w:tc>
          <w:tcPr>
            <w:tcW w:w="1928" w:type="dxa"/>
          </w:tcPr>
          <w:p w14:paraId="1CDD2702">
            <w:pPr>
              <w:spacing w:after="0"/>
            </w:pPr>
            <w:r>
              <w:rPr>
                <w:rFonts w:ascii="微软雅黑" w:hAnsi="微软雅黑" w:eastAsia="微软雅黑"/>
                <w:b w:val="0"/>
                <w:i w:val="0"/>
                <w:sz w:val="20"/>
              </w:rPr>
              <w:t>最快启动、零组建成本，适合试探水温与验证承接能力。</w:t>
            </w:r>
          </w:p>
        </w:tc>
        <w:tc>
          <w:tcPr>
            <w:tcW w:w="2494" w:type="dxa"/>
          </w:tcPr>
          <w:p w14:paraId="090207C1">
            <w:pPr>
              <w:spacing w:after="0"/>
            </w:pPr>
            <w:r>
              <w:rPr>
                <w:rFonts w:ascii="微软雅黑" w:hAnsi="微软雅黑" w:eastAsia="微软雅黑"/>
                <w:b w:val="0"/>
                <w:i w:val="0"/>
                <w:sz w:val="20"/>
              </w:rPr>
              <w:t>我们只拿到项目层面的收益，市场沉淀不到自己手里；建议仅作为起步 1–2 个项目的过渡形态。</w:t>
            </w:r>
          </w:p>
        </w:tc>
      </w:tr>
      <w:tr w14:paraId="0072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15F6F75D">
            <w:pPr>
              <w:spacing w:after="0"/>
            </w:pPr>
            <w:r>
              <w:rPr>
                <w:rFonts w:ascii="微软雅黑" w:hAnsi="微软雅黑" w:eastAsia="微软雅黑"/>
                <w:b w:val="0"/>
                <w:i w:val="0"/>
                <w:sz w:val="20"/>
              </w:rPr>
              <w:t>B. 品牌落地 + 合资主体（推荐）</w:t>
            </w:r>
          </w:p>
        </w:tc>
        <w:tc>
          <w:tcPr>
            <w:tcW w:w="2608" w:type="dxa"/>
          </w:tcPr>
          <w:p w14:paraId="662F877F">
            <w:pPr>
              <w:spacing w:after="0"/>
            </w:pPr>
            <w:r>
              <w:rPr>
                <w:rFonts w:ascii="微软雅黑" w:hAnsi="微软雅黑" w:eastAsia="微软雅黑"/>
                <w:b w:val="0"/>
                <w:i w:val="0"/>
                <w:sz w:val="20"/>
              </w:rPr>
              <w:t>Datawhale 品牌在香港注册落地，我们持有部分股权；合资主体再与 HKAI Lab 合作调用渠道。</w:t>
            </w:r>
          </w:p>
        </w:tc>
        <w:tc>
          <w:tcPr>
            <w:tcW w:w="1928" w:type="dxa"/>
          </w:tcPr>
          <w:p w14:paraId="622D517C">
            <w:pPr>
              <w:spacing w:after="0"/>
            </w:pPr>
            <w:r>
              <w:rPr>
                <w:rFonts w:ascii="微软雅黑" w:hAnsi="微软雅黑" w:eastAsia="微软雅黑"/>
                <w:b w:val="0"/>
                <w:i w:val="0"/>
                <w:sz w:val="20"/>
              </w:rPr>
              <w:t>市场、客户、品牌归合资主体所有，收益按股权沉淀；无需从零建品牌与关系。</w:t>
            </w:r>
          </w:p>
        </w:tc>
        <w:tc>
          <w:tcPr>
            <w:tcW w:w="2494" w:type="dxa"/>
          </w:tcPr>
          <w:p w14:paraId="4575FEA8">
            <w:pPr>
              <w:spacing w:after="0"/>
            </w:pPr>
            <w:r>
              <w:rPr>
                <w:rFonts w:ascii="微软雅黑" w:hAnsi="微软雅黑" w:eastAsia="微软雅黑"/>
                <w:b w:val="0"/>
                <w:i w:val="0"/>
                <w:sz w:val="20"/>
              </w:rPr>
              <w:t>需提前约定品牌授权边界、内容授权范围与退出条款；HKAI Lab 侧以分账方式交代，避免深度绑定 AEF。</w:t>
            </w:r>
          </w:p>
        </w:tc>
      </w:tr>
      <w:tr w14:paraId="71FF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8732454">
            <w:pPr>
              <w:spacing w:after="0"/>
            </w:pPr>
            <w:r>
              <w:rPr>
                <w:rFonts w:ascii="微软雅黑" w:hAnsi="微软雅黑" w:eastAsia="微软雅黑"/>
                <w:b w:val="0"/>
                <w:i w:val="0"/>
                <w:sz w:val="20"/>
              </w:rPr>
              <w:t>C. 与 AEF／HKAI Lab 官方合资</w:t>
            </w:r>
          </w:p>
        </w:tc>
        <w:tc>
          <w:tcPr>
            <w:tcW w:w="2608" w:type="dxa"/>
          </w:tcPr>
          <w:p w14:paraId="2AAD83B1">
            <w:pPr>
              <w:spacing w:after="0"/>
            </w:pPr>
            <w:r>
              <w:rPr>
                <w:rFonts w:ascii="微软雅黑" w:hAnsi="微软雅黑" w:eastAsia="微软雅黑"/>
                <w:b w:val="0"/>
                <w:i w:val="0"/>
                <w:sz w:val="20"/>
              </w:rPr>
              <w:t>由阿里巴巴创业者基金或 HKAI Lab 出面与 Datawhale 成立官方合资公司。</w:t>
            </w:r>
          </w:p>
        </w:tc>
        <w:tc>
          <w:tcPr>
            <w:tcW w:w="1928" w:type="dxa"/>
          </w:tcPr>
          <w:p w14:paraId="376EEAE3">
            <w:pPr>
              <w:spacing w:after="0"/>
            </w:pPr>
            <w:r>
              <w:rPr>
                <w:rFonts w:ascii="微软雅黑" w:hAnsi="微软雅黑" w:eastAsia="微软雅黑"/>
                <w:b w:val="0"/>
                <w:i w:val="0"/>
                <w:sz w:val="20"/>
              </w:rPr>
              <w:t>背书最强，名义上资源最全。</w:t>
            </w:r>
          </w:p>
        </w:tc>
        <w:tc>
          <w:tcPr>
            <w:tcW w:w="2494" w:type="dxa"/>
          </w:tcPr>
          <w:p w14:paraId="53CB3A90">
            <w:pPr>
              <w:spacing w:after="0"/>
            </w:pPr>
            <w:r>
              <w:rPr>
                <w:rFonts w:ascii="微软雅黑" w:hAnsi="微软雅黑" w:eastAsia="微软雅黑"/>
                <w:b w:val="0"/>
                <w:i w:val="0"/>
                <w:sz w:val="20"/>
              </w:rPr>
              <w:t>一旦牵涉 AEF 会非常被动（决策链长、对外代表受限于非营利定位）；建议不作为首选方案。</w:t>
            </w:r>
          </w:p>
        </w:tc>
      </w:tr>
    </w:tbl>
    <w:p w14:paraId="16A827F8">
      <w:pPr>
        <w:spacing w:after="40"/>
      </w:pPr>
    </w:p>
    <w:p w14:paraId="79CC2BC8">
      <w:pPr>
        <w:spacing w:before="200" w:after="60"/>
      </w:pPr>
      <w:r>
        <w:rPr>
          <w:rFonts w:ascii="微软雅黑" w:hAnsi="微软雅黑" w:eastAsia="微软雅黑"/>
          <w:b/>
          <w:i w:val="0"/>
          <w:color w:val="404040"/>
          <w:sz w:val="24"/>
        </w:rPr>
        <w:t>4.1 股权与分账的参考区间（待议）</w:t>
      </w:r>
    </w:p>
    <w:p w14:paraId="2D790109">
      <w:pPr>
        <w:spacing w:after="60"/>
        <w:ind w:left="255"/>
      </w:pPr>
      <w:r>
        <w:rPr>
          <w:rFonts w:ascii="微软雅黑" w:hAnsi="微软雅黑" w:eastAsia="微软雅黑"/>
          <w:b w:val="0"/>
          <w:i w:val="0"/>
          <w:sz w:val="22"/>
        </w:rPr>
        <w:t>· 股权：视 Datawhale 的诉求强弱，可按 6:4 或 4:3:3（若为三方）等结构设计，具体取决于各方投入的资源、品牌与执行分工。</w:t>
      </w:r>
    </w:p>
    <w:p w14:paraId="4D9C03BF">
      <w:pPr>
        <w:spacing w:after="60"/>
        <w:ind w:left="255"/>
      </w:pPr>
      <w:r>
        <w:rPr>
          <w:rFonts w:ascii="微软雅黑" w:hAnsi="微软雅黑" w:eastAsia="微软雅黑"/>
          <w:b w:val="0"/>
          <w:i w:val="0"/>
          <w:sz w:val="22"/>
        </w:rPr>
        <w:t xml:space="preserve">· </w:t>
      </w:r>
      <w:r>
        <w:rPr>
          <w:rFonts w:ascii="微软雅黑" w:hAnsi="微软雅黑" w:eastAsia="微软雅黑"/>
          <w:b w:val="0"/>
          <w:i w:val="0"/>
          <w:sz w:val="22"/>
          <w:highlight w:val="yellow"/>
        </w:rPr>
        <w:t>对 HKAI Lab 的交代</w:t>
      </w:r>
      <w:r>
        <w:rPr>
          <w:rFonts w:ascii="微软雅黑" w:hAnsi="微软雅黑" w:eastAsia="微软雅黑"/>
          <w:b w:val="0"/>
          <w:i w:val="0"/>
          <w:sz w:val="22"/>
        </w:rPr>
        <w:t>：按其带来收入的一定比例分账（内部讨论口径为 5%–20%，即"赚 100 元给 5 至 20 元"）。该比例以"覆盖其资源使用与对外交代"为原则，不追求高利润——HKAI Lab 属非营利机构，能养活自己、有交代即可。</w:t>
      </w:r>
    </w:p>
    <w:p w14:paraId="1BAE245D">
      <w:pPr>
        <w:spacing w:after="60"/>
        <w:ind w:left="255"/>
      </w:pPr>
      <w:r>
        <w:rPr>
          <w:rFonts w:ascii="微软雅黑" w:hAnsi="微软雅黑" w:eastAsia="微软雅黑"/>
          <w:b w:val="0"/>
          <w:i w:val="0"/>
          <w:sz w:val="22"/>
        </w:rPr>
        <w:t>· 分账口径需明确基数（毛收入/</w:t>
      </w:r>
      <w:r>
        <w:rPr>
          <w:rFonts w:ascii="微软雅黑" w:hAnsi="微软雅黑" w:eastAsia="微软雅黑"/>
          <w:b w:val="0"/>
          <w:i w:val="0"/>
          <w:sz w:val="22"/>
          <w:highlight w:val="yellow"/>
        </w:rPr>
        <w:t>净收入</w:t>
      </w:r>
      <w:r>
        <w:rPr>
          <w:rFonts w:ascii="微软雅黑" w:hAnsi="微软雅黑" w:eastAsia="微软雅黑"/>
          <w:b w:val="0"/>
          <w:i w:val="0"/>
          <w:sz w:val="22"/>
        </w:rPr>
        <w:t>）、结算周期与争议处理方式，作为三方谈判中的第一优先议题。</w:t>
      </w:r>
    </w:p>
    <w:p w14:paraId="6A7AC428">
      <w:pPr>
        <w:pBdr>
          <w:bottom w:val="single" w:color="1F4E79" w:sz="8" w:space="1"/>
        </w:pBdr>
        <w:spacing w:before="320" w:after="120"/>
      </w:pPr>
      <w:r>
        <w:rPr>
          <w:rFonts w:ascii="微软雅黑" w:hAnsi="微软雅黑" w:eastAsia="微软雅黑"/>
          <w:b/>
          <w:i w:val="0"/>
          <w:color w:val="1F4E79"/>
          <w:sz w:val="28"/>
        </w:rPr>
        <w:t>五、收入线与收费设计（香港／华南）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0"/>
        <w:gridCol w:w="2603"/>
        <w:gridCol w:w="2830"/>
        <w:gridCol w:w="2151"/>
      </w:tblGrid>
      <w:tr w14:paraId="28C4C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DCD5E88">
            <w:pPr>
              <w:spacing w:after="0"/>
            </w:pPr>
            <w:r>
              <w:rPr>
                <w:rFonts w:ascii="微软雅黑" w:hAnsi="微软雅黑" w:eastAsia="微软雅黑"/>
                <w:b/>
                <w:i w:val="0"/>
                <w:color w:val="1F4E79"/>
                <w:sz w:val="20"/>
              </w:rPr>
              <w:t>收入线</w:t>
            </w:r>
          </w:p>
        </w:tc>
        <w:tc>
          <w:tcPr>
            <w:tcW w:w="2608" w:type="dxa"/>
          </w:tcPr>
          <w:p w14:paraId="7C900126">
            <w:pPr>
              <w:spacing w:after="0"/>
            </w:pPr>
            <w:r>
              <w:rPr>
                <w:rFonts w:ascii="微软雅黑" w:hAnsi="微软雅黑" w:eastAsia="微软雅黑"/>
                <w:b/>
                <w:i w:val="0"/>
                <w:color w:val="1F4E79"/>
                <w:sz w:val="20"/>
              </w:rPr>
              <w:t>客户与付费方</w:t>
            </w:r>
          </w:p>
        </w:tc>
        <w:tc>
          <w:tcPr>
            <w:tcW w:w="2835" w:type="dxa"/>
          </w:tcPr>
          <w:p w14:paraId="6D4D0088">
            <w:pPr>
              <w:spacing w:after="0"/>
            </w:pPr>
            <w:r>
              <w:rPr>
                <w:rFonts w:ascii="微软雅黑" w:hAnsi="微软雅黑" w:eastAsia="微软雅黑"/>
                <w:b/>
                <w:i w:val="0"/>
                <w:color w:val="1F4E79"/>
                <w:sz w:val="20"/>
              </w:rPr>
              <w:t>落地方式</w:t>
            </w:r>
          </w:p>
        </w:tc>
        <w:tc>
          <w:tcPr>
            <w:tcW w:w="2154" w:type="dxa"/>
          </w:tcPr>
          <w:p w14:paraId="52546388">
            <w:pPr>
              <w:spacing w:after="0"/>
            </w:pPr>
            <w:r>
              <w:rPr>
                <w:rFonts w:ascii="微软雅黑" w:hAnsi="微软雅黑" w:eastAsia="微软雅黑"/>
                <w:b/>
                <w:i w:val="0"/>
                <w:color w:val="1F4E79"/>
                <w:sz w:val="20"/>
              </w:rPr>
              <w:t>备注</w:t>
            </w:r>
          </w:p>
        </w:tc>
      </w:tr>
      <w:tr w14:paraId="4B35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7E82821">
            <w:pPr>
              <w:spacing w:after="0"/>
            </w:pPr>
            <w:r>
              <w:rPr>
                <w:rFonts w:ascii="微软雅黑" w:hAnsi="微软雅黑" w:eastAsia="微软雅黑"/>
                <w:b w:val="0"/>
                <w:i w:val="0"/>
                <w:sz w:val="20"/>
              </w:rPr>
              <w:t>大厂 / AI 厂商</w:t>
            </w:r>
          </w:p>
        </w:tc>
        <w:tc>
          <w:tcPr>
            <w:tcW w:w="2608" w:type="dxa"/>
          </w:tcPr>
          <w:p w14:paraId="209A0A59">
            <w:pPr>
              <w:spacing w:after="0"/>
            </w:pPr>
            <w:r>
              <w:rPr>
                <w:rFonts w:ascii="微软雅黑" w:hAnsi="微软雅黑" w:eastAsia="微软雅黑"/>
                <w:b w:val="0"/>
                <w:i w:val="0"/>
                <w:sz w:val="20"/>
                <w:highlight w:val="yellow"/>
              </w:rPr>
              <w:t xml:space="preserve">阿里云等大厂在香港市场的 marketing 预算，用于培育开发者与高校学生心智、推广大模型与 </w:t>
            </w:r>
            <w:r>
              <w:rPr>
                <w:rFonts w:ascii="微软雅黑" w:hAnsi="微软雅黑" w:eastAsia="微软雅黑"/>
                <w:b w:val="0"/>
                <w:i w:val="0"/>
                <w:sz w:val="20"/>
              </w:rPr>
              <w:t>token。</w:t>
            </w:r>
          </w:p>
        </w:tc>
        <w:tc>
          <w:tcPr>
            <w:tcW w:w="2835" w:type="dxa"/>
          </w:tcPr>
          <w:p w14:paraId="25FEC384">
            <w:pPr>
              <w:spacing w:after="0"/>
            </w:pPr>
            <w:r>
              <w:rPr>
                <w:rFonts w:ascii="微软雅黑" w:hAnsi="微软雅黑" w:eastAsia="微软雅黑"/>
                <w:b w:val="0"/>
                <w:i w:val="0"/>
                <w:sz w:val="20"/>
              </w:rPr>
              <w:t>通过 HKAI Lab 与高校渠道进入校园与开发者社区，组织学习活动与认证；由合作主体收款、再与 HKAI Lab 分账。</w:t>
            </w:r>
          </w:p>
        </w:tc>
        <w:tc>
          <w:tcPr>
            <w:tcW w:w="2154" w:type="dxa"/>
          </w:tcPr>
          <w:p w14:paraId="67D3C772">
            <w:pPr>
              <w:spacing w:after="0"/>
            </w:pPr>
            <w:r>
              <w:rPr>
                <w:rFonts w:ascii="微软雅黑" w:hAnsi="微软雅黑" w:eastAsia="微软雅黑"/>
                <w:b w:val="0"/>
                <w:i w:val="0"/>
                <w:sz w:val="20"/>
              </w:rPr>
              <w:t>这是 Datawhale 目前最大的一块收入来源，香港属增量市场，可复制大陆原有打法。</w:t>
            </w:r>
          </w:p>
        </w:tc>
      </w:tr>
      <w:tr w14:paraId="727CF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536A77A6">
            <w:pPr>
              <w:spacing w:after="0"/>
            </w:pPr>
            <w:r>
              <w:rPr>
                <w:rFonts w:ascii="微软雅黑" w:hAnsi="微软雅黑" w:eastAsia="微软雅黑"/>
                <w:b w:val="0"/>
                <w:i w:val="0"/>
                <w:sz w:val="20"/>
              </w:rPr>
              <w:t>香港高校</w:t>
            </w:r>
          </w:p>
        </w:tc>
        <w:tc>
          <w:tcPr>
            <w:tcW w:w="2608" w:type="dxa"/>
          </w:tcPr>
          <w:p w14:paraId="0D5A232F">
            <w:pPr>
              <w:spacing w:after="0"/>
            </w:pPr>
            <w:r>
              <w:rPr>
                <w:rFonts w:ascii="微软雅黑" w:hAnsi="微软雅黑" w:eastAsia="微软雅黑"/>
                <w:b w:val="0"/>
                <w:i w:val="0"/>
                <w:sz w:val="20"/>
              </w:rPr>
              <w:t>香港各高校的 AI 培训与就业辅导预算。</w:t>
            </w:r>
          </w:p>
        </w:tc>
        <w:tc>
          <w:tcPr>
            <w:tcW w:w="2835" w:type="dxa"/>
          </w:tcPr>
          <w:p w14:paraId="1CE1224A">
            <w:pPr>
              <w:spacing w:after="0"/>
            </w:pPr>
            <w:r>
              <w:rPr>
                <w:rFonts w:ascii="微软雅黑" w:hAnsi="微软雅黑" w:eastAsia="微软雅黑"/>
                <w:b w:val="0"/>
                <w:i w:val="0"/>
                <w:sz w:val="20"/>
                <w:highlight w:val="yellow"/>
              </w:rPr>
              <w:t>HKAI Lab 已打通部分高校渠道（HKU、都会大学、教育大学等）</w:t>
            </w:r>
            <w:r>
              <w:rPr>
                <w:rFonts w:ascii="微软雅黑" w:hAnsi="微软雅黑" w:eastAsia="微软雅黑"/>
                <w:b w:val="0"/>
                <w:i w:val="0"/>
                <w:sz w:val="20"/>
              </w:rPr>
              <w:t>，未打通的可较快打通；培训内容由 Datawhale 提供。</w:t>
            </w:r>
          </w:p>
        </w:tc>
        <w:tc>
          <w:tcPr>
            <w:tcW w:w="2154" w:type="dxa"/>
          </w:tcPr>
          <w:p w14:paraId="2369389D">
            <w:pPr>
              <w:spacing w:after="0"/>
            </w:pPr>
            <w:r>
              <w:rPr>
                <w:rFonts w:ascii="微软雅黑" w:hAnsi="微软雅黑" w:eastAsia="微软雅黑"/>
                <w:b w:val="0"/>
                <w:i w:val="0"/>
                <w:sz w:val="20"/>
              </w:rPr>
              <w:t>与 Datawhale 现有"高校就业辅导"收入线完全同构，注意香港高校预算与采购流程差异。</w:t>
            </w:r>
          </w:p>
        </w:tc>
      </w:tr>
      <w:tr w14:paraId="4EFD4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295EAD0">
            <w:pPr>
              <w:spacing w:after="0"/>
            </w:pPr>
            <w:r>
              <w:rPr>
                <w:rFonts w:ascii="微软雅黑" w:hAnsi="微软雅黑" w:eastAsia="微软雅黑"/>
                <w:b w:val="0"/>
                <w:i w:val="0"/>
                <w:sz w:val="20"/>
              </w:rPr>
              <w:t>企业培训与咨询</w:t>
            </w:r>
          </w:p>
        </w:tc>
        <w:tc>
          <w:tcPr>
            <w:tcW w:w="2608" w:type="dxa"/>
          </w:tcPr>
          <w:p w14:paraId="1CC13F33">
            <w:pPr>
              <w:spacing w:after="0"/>
            </w:pPr>
            <w:r>
              <w:rPr>
                <w:rFonts w:ascii="微软雅黑" w:hAnsi="微软雅黑" w:eastAsia="微软雅黑"/>
                <w:b w:val="0"/>
                <w:i w:val="0"/>
                <w:sz w:val="20"/>
              </w:rPr>
              <w:t>银行、零售、地产等有 AI 培训需求的大型企业。</w:t>
            </w:r>
          </w:p>
        </w:tc>
        <w:tc>
          <w:tcPr>
            <w:tcW w:w="2835" w:type="dxa"/>
          </w:tcPr>
          <w:p w14:paraId="214B57D7">
            <w:pPr>
              <w:spacing w:after="0"/>
            </w:pPr>
            <w:r>
              <w:rPr>
                <w:rFonts w:ascii="微软雅黑" w:hAnsi="微软雅黑" w:eastAsia="微软雅黑"/>
                <w:b w:val="0"/>
                <w:i w:val="0"/>
                <w:sz w:val="20"/>
              </w:rPr>
              <w:t>沿用 HKAI Lab 已有企业培训先例（中信银行创新研讨会、资生堂创新研讨会等）切入，材料适配后交付。</w:t>
            </w:r>
          </w:p>
        </w:tc>
        <w:tc>
          <w:tcPr>
            <w:tcW w:w="2154" w:type="dxa"/>
          </w:tcPr>
          <w:p w14:paraId="355E6F6C">
            <w:pPr>
              <w:spacing w:after="0"/>
            </w:pPr>
            <w:r>
              <w:rPr>
                <w:rFonts w:ascii="微软雅黑" w:hAnsi="微软雅黑" w:eastAsia="微软雅黑"/>
                <w:b w:val="0"/>
                <w:i w:val="0"/>
                <w:sz w:val="20"/>
              </w:rPr>
              <w:t>该线目前能力较弱，建议作为中期拓展项。</w:t>
            </w:r>
          </w:p>
        </w:tc>
      </w:tr>
      <w:tr w14:paraId="3B743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07651A12">
            <w:pPr>
              <w:spacing w:after="0"/>
            </w:pPr>
            <w:r>
              <w:rPr>
                <w:rFonts w:ascii="微软雅黑" w:hAnsi="微软雅黑" w:eastAsia="微软雅黑"/>
                <w:b w:val="0"/>
                <w:i w:val="0"/>
                <w:sz w:val="20"/>
              </w:rPr>
              <w:t>政府与园区</w:t>
            </w:r>
          </w:p>
        </w:tc>
        <w:tc>
          <w:tcPr>
            <w:tcW w:w="2608" w:type="dxa"/>
          </w:tcPr>
          <w:p w14:paraId="39887856">
            <w:pPr>
              <w:spacing w:after="0"/>
            </w:pPr>
            <w:r>
              <w:rPr>
                <w:rFonts w:ascii="微软雅黑" w:hAnsi="微软雅黑" w:eastAsia="微软雅黑"/>
                <w:b w:val="0"/>
                <w:i w:val="0"/>
                <w:sz w:val="20"/>
              </w:rPr>
              <w:t>香港政府、河套港深创科园等孵化器外包运营预算。</w:t>
            </w:r>
          </w:p>
        </w:tc>
        <w:tc>
          <w:tcPr>
            <w:tcW w:w="2835" w:type="dxa"/>
          </w:tcPr>
          <w:p w14:paraId="22DD5FB2">
            <w:pPr>
              <w:spacing w:after="0"/>
            </w:pPr>
            <w:bookmarkStart w:id="0" w:name="_GoBack"/>
            <w:r>
              <w:rPr>
                <w:rFonts w:ascii="微软雅黑" w:hAnsi="微软雅黑" w:eastAsia="微软雅黑"/>
                <w:b w:val="0"/>
                <w:i w:val="0"/>
                <w:sz w:val="20"/>
                <w:highlight w:val="yellow"/>
              </w:rPr>
              <w:t>HKAI Lab 已在承接大学与企业孵化器运营外包（年收入数百万元级，可覆盖其成本）</w:t>
            </w:r>
            <w:bookmarkEnd w:id="0"/>
            <w:r>
              <w:rPr>
                <w:rFonts w:ascii="微软雅黑" w:hAnsi="微软雅黑" w:eastAsia="微软雅黑"/>
                <w:b w:val="0"/>
                <w:i w:val="0"/>
                <w:sz w:val="20"/>
              </w:rPr>
              <w:t>。</w:t>
            </w:r>
          </w:p>
        </w:tc>
        <w:tc>
          <w:tcPr>
            <w:tcW w:w="2154" w:type="dxa"/>
          </w:tcPr>
          <w:p w14:paraId="1448D4FD">
            <w:pPr>
              <w:spacing w:after="0"/>
            </w:pPr>
            <w:r>
              <w:rPr>
                <w:rFonts w:ascii="微软雅黑" w:hAnsi="微软雅黑" w:eastAsia="微软雅黑"/>
                <w:b w:val="0"/>
                <w:i w:val="0"/>
                <w:sz w:val="20"/>
              </w:rPr>
              <w:t>香港政府项目审计要求高、公务部门核查多，成本与合规负担需充分评估。</w:t>
            </w:r>
          </w:p>
        </w:tc>
      </w:tr>
    </w:tbl>
    <w:p w14:paraId="377857B7">
      <w:pPr>
        <w:spacing w:after="40"/>
      </w:pPr>
    </w:p>
    <w:p w14:paraId="67006B78">
      <w:pPr>
        <w:pBdr>
          <w:bottom w:val="single" w:color="1F4E79" w:sz="8" w:space="1"/>
        </w:pBdr>
        <w:spacing w:before="320" w:after="120"/>
      </w:pPr>
      <w:r>
        <w:rPr>
          <w:rFonts w:ascii="微软雅黑" w:hAnsi="微软雅黑" w:eastAsia="微软雅黑"/>
          <w:b/>
          <w:i w:val="0"/>
          <w:color w:val="1F4E79"/>
          <w:sz w:val="28"/>
        </w:rPr>
        <w:t>六、推进节奏与里程碑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665"/>
        <w:gridCol w:w="3525"/>
        <w:gridCol w:w="2206"/>
      </w:tblGrid>
      <w:tr w14:paraId="32E5C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CDB58C0">
            <w:pPr>
              <w:spacing w:after="0"/>
            </w:pPr>
            <w:r>
              <w:rPr>
                <w:rFonts w:ascii="微软雅黑" w:hAnsi="微软雅黑" w:eastAsia="微软雅黑"/>
                <w:b/>
                <w:i w:val="0"/>
                <w:color w:val="1F4E79"/>
                <w:sz w:val="20"/>
              </w:rPr>
              <w:t>阶段</w:t>
            </w:r>
          </w:p>
        </w:tc>
        <w:tc>
          <w:tcPr>
            <w:tcW w:w="1701" w:type="dxa"/>
          </w:tcPr>
          <w:p w14:paraId="2720AAD2">
            <w:pPr>
              <w:spacing w:after="0"/>
            </w:pPr>
            <w:r>
              <w:rPr>
                <w:rFonts w:ascii="微软雅黑" w:hAnsi="微软雅黑" w:eastAsia="微软雅黑"/>
                <w:b/>
                <w:i w:val="0"/>
                <w:color w:val="1F4E79"/>
                <w:sz w:val="20"/>
              </w:rPr>
              <w:t>时间</w:t>
            </w:r>
          </w:p>
        </w:tc>
        <w:tc>
          <w:tcPr>
            <w:tcW w:w="3628" w:type="dxa"/>
          </w:tcPr>
          <w:p w14:paraId="121218EB">
            <w:pPr>
              <w:spacing w:after="0"/>
            </w:pPr>
            <w:r>
              <w:rPr>
                <w:rFonts w:ascii="微软雅黑" w:hAnsi="微软雅黑" w:eastAsia="微软雅黑"/>
                <w:b/>
                <w:i w:val="0"/>
                <w:color w:val="1F4E79"/>
                <w:sz w:val="20"/>
              </w:rPr>
              <w:t>关键动作</w:t>
            </w:r>
          </w:p>
        </w:tc>
        <w:tc>
          <w:tcPr>
            <w:tcW w:w="2268" w:type="dxa"/>
          </w:tcPr>
          <w:p w14:paraId="62802DC3">
            <w:pPr>
              <w:spacing w:after="0"/>
            </w:pPr>
            <w:r>
              <w:rPr>
                <w:rFonts w:ascii="微软雅黑" w:hAnsi="微软雅黑" w:eastAsia="微软雅黑"/>
                <w:b/>
                <w:i w:val="0"/>
                <w:color w:val="1F4E79"/>
                <w:sz w:val="20"/>
              </w:rPr>
              <w:t>标志性成果</w:t>
            </w:r>
          </w:p>
        </w:tc>
      </w:tr>
      <w:tr w14:paraId="4C65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D0243E7">
            <w:pPr>
              <w:spacing w:after="0"/>
            </w:pPr>
            <w:r>
              <w:rPr>
                <w:rFonts w:ascii="微软雅黑" w:hAnsi="微软雅黑" w:eastAsia="微软雅黑"/>
                <w:b w:val="0"/>
                <w:i w:val="0"/>
                <w:sz w:val="20"/>
              </w:rPr>
              <w:t>第一步：会面与共识</w:t>
            </w:r>
          </w:p>
        </w:tc>
        <w:tc>
          <w:tcPr>
            <w:tcW w:w="1701" w:type="dxa"/>
          </w:tcPr>
          <w:p w14:paraId="12DCAAAE">
            <w:pPr>
              <w:spacing w:after="0"/>
            </w:pPr>
            <w:r>
              <w:rPr>
                <w:rFonts w:ascii="微软雅黑" w:hAnsi="微软雅黑" w:eastAsia="微软雅黑"/>
                <w:b w:val="0"/>
                <w:i w:val="0"/>
                <w:sz w:val="20"/>
              </w:rPr>
              <w:t>9 月下旬（云栖大会期间）</w:t>
            </w:r>
          </w:p>
        </w:tc>
        <w:tc>
          <w:tcPr>
            <w:tcW w:w="3628" w:type="dxa"/>
          </w:tcPr>
          <w:p w14:paraId="66397A53">
            <w:pPr>
              <w:spacing w:after="0"/>
            </w:pPr>
            <w:r>
              <w:rPr>
                <w:rFonts w:ascii="微软雅黑" w:hAnsi="微软雅黑" w:eastAsia="微软雅黑"/>
                <w:b w:val="0"/>
                <w:i w:val="0"/>
                <w:sz w:val="20"/>
              </w:rPr>
              <w:t>安排范晶晶与 Anson、Teddy 三方会面；先行递送 HKAI Lab 介绍与本方案要点；明确合作形式偏好（代理还是合资）。</w:t>
            </w:r>
          </w:p>
        </w:tc>
        <w:tc>
          <w:tcPr>
            <w:tcW w:w="2268" w:type="dxa"/>
          </w:tcPr>
          <w:p w14:paraId="4FB290C8">
            <w:pPr>
              <w:spacing w:after="0"/>
            </w:pPr>
            <w:r>
              <w:rPr>
                <w:rFonts w:ascii="微软雅黑" w:hAnsi="微软雅黑" w:eastAsia="微软雅黑"/>
                <w:b w:val="0"/>
                <w:i w:val="0"/>
                <w:sz w:val="20"/>
              </w:rPr>
              <w:t>三方就"品牌落地 + 合资主体 + 分账"达成方向性共识。</w:t>
            </w:r>
          </w:p>
        </w:tc>
      </w:tr>
      <w:tr w14:paraId="0F78E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66AF78">
            <w:pPr>
              <w:spacing w:after="0"/>
            </w:pPr>
            <w:r>
              <w:rPr>
                <w:rFonts w:ascii="微软雅黑" w:hAnsi="微软雅黑" w:eastAsia="微软雅黑"/>
                <w:b w:val="0"/>
                <w:i w:val="0"/>
                <w:sz w:val="20"/>
              </w:rPr>
              <w:t>第二步：主体与文件</w:t>
            </w:r>
          </w:p>
        </w:tc>
        <w:tc>
          <w:tcPr>
            <w:tcW w:w="1701" w:type="dxa"/>
          </w:tcPr>
          <w:p w14:paraId="241B1928">
            <w:pPr>
              <w:spacing w:after="0"/>
            </w:pPr>
            <w:r>
              <w:rPr>
                <w:rFonts w:ascii="微软雅黑" w:hAnsi="微软雅黑" w:eastAsia="微软雅黑"/>
                <w:b w:val="0"/>
                <w:i w:val="0"/>
                <w:sz w:val="20"/>
              </w:rPr>
              <w:t>10 月</w:t>
            </w:r>
          </w:p>
        </w:tc>
        <w:tc>
          <w:tcPr>
            <w:tcW w:w="3628" w:type="dxa"/>
          </w:tcPr>
          <w:p w14:paraId="14174436">
            <w:pPr>
              <w:spacing w:after="0"/>
            </w:pPr>
            <w:r>
              <w:rPr>
                <w:rFonts w:ascii="微软雅黑" w:hAnsi="微软雅黑" w:eastAsia="微软雅黑"/>
                <w:b w:val="0"/>
                <w:i w:val="0"/>
                <w:sz w:val="20"/>
              </w:rPr>
              <w:t>在香港注册落地主体；Teddy 方安排人员先设立公司主体；草拟品牌授权、合作与分账协议框架。</w:t>
            </w:r>
          </w:p>
        </w:tc>
        <w:tc>
          <w:tcPr>
            <w:tcW w:w="2268" w:type="dxa"/>
          </w:tcPr>
          <w:p w14:paraId="1F159F64">
            <w:pPr>
              <w:spacing w:after="0"/>
            </w:pPr>
            <w:r>
              <w:rPr>
                <w:rFonts w:ascii="微软雅黑" w:hAnsi="微软雅黑" w:eastAsia="微软雅黑"/>
                <w:b w:val="0"/>
                <w:i w:val="0"/>
                <w:sz w:val="20"/>
              </w:rPr>
              <w:t>具备对外签约能力的商业载体与条款框架。</w:t>
            </w:r>
          </w:p>
        </w:tc>
      </w:tr>
      <w:tr w14:paraId="27F2C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DEE2304">
            <w:pPr>
              <w:spacing w:after="0"/>
            </w:pPr>
            <w:r>
              <w:rPr>
                <w:rFonts w:ascii="微软雅黑" w:hAnsi="微软雅黑" w:eastAsia="微软雅黑"/>
                <w:b w:val="0"/>
                <w:i w:val="0"/>
                <w:sz w:val="20"/>
              </w:rPr>
              <w:t>第三步：试点验证</w:t>
            </w:r>
          </w:p>
        </w:tc>
        <w:tc>
          <w:tcPr>
            <w:tcW w:w="1701" w:type="dxa"/>
          </w:tcPr>
          <w:p w14:paraId="016BC139">
            <w:pPr>
              <w:spacing w:after="0"/>
            </w:pPr>
            <w:r>
              <w:rPr>
                <w:rFonts w:ascii="微软雅黑" w:hAnsi="微软雅黑" w:eastAsia="微软雅黑"/>
                <w:b w:val="0"/>
                <w:i w:val="0"/>
                <w:sz w:val="20"/>
              </w:rPr>
              <w:t>10–12 月</w:t>
            </w:r>
          </w:p>
        </w:tc>
        <w:tc>
          <w:tcPr>
            <w:tcW w:w="3628" w:type="dxa"/>
          </w:tcPr>
          <w:p w14:paraId="3EDE8FCC">
            <w:pPr>
              <w:spacing w:after="0"/>
            </w:pPr>
            <w:r>
              <w:rPr>
                <w:rFonts w:ascii="微软雅黑" w:hAnsi="微软雅黑" w:eastAsia="微软雅黑"/>
                <w:b w:val="0"/>
                <w:i w:val="0"/>
                <w:sz w:val="20"/>
              </w:rPr>
              <w:t>选 2–3 个有意愿、能落地的客户/项目先跑起来（含香港高校与大厂项目）；年轻骨干以合作方式参与落地执行。</w:t>
            </w:r>
          </w:p>
        </w:tc>
        <w:tc>
          <w:tcPr>
            <w:tcW w:w="2268" w:type="dxa"/>
          </w:tcPr>
          <w:p w14:paraId="27B9DA58">
            <w:pPr>
              <w:spacing w:after="0"/>
            </w:pPr>
            <w:r>
              <w:rPr>
                <w:rFonts w:ascii="微软雅黑" w:hAnsi="微软雅黑" w:eastAsia="微软雅黑"/>
                <w:b w:val="0"/>
                <w:i w:val="0"/>
                <w:sz w:val="20"/>
              </w:rPr>
              <w:t>首批收入与可复用案例，验证"我们找客户、HKAI Lab 承接渠道"的模式成立。</w:t>
            </w:r>
          </w:p>
        </w:tc>
      </w:tr>
      <w:tr w14:paraId="314ED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8F72304">
            <w:pPr>
              <w:spacing w:after="0"/>
            </w:pPr>
            <w:r>
              <w:rPr>
                <w:rFonts w:ascii="微软雅黑" w:hAnsi="微软雅黑" w:eastAsia="微软雅黑"/>
                <w:b w:val="0"/>
                <w:i w:val="0"/>
                <w:sz w:val="20"/>
              </w:rPr>
              <w:t>第四步：香港做扎实</w:t>
            </w:r>
          </w:p>
        </w:tc>
        <w:tc>
          <w:tcPr>
            <w:tcW w:w="1701" w:type="dxa"/>
          </w:tcPr>
          <w:p w14:paraId="238D4B2C">
            <w:pPr>
              <w:spacing w:after="0"/>
            </w:pPr>
            <w:r>
              <w:rPr>
                <w:rFonts w:ascii="微软雅黑" w:hAnsi="微软雅黑" w:eastAsia="微软雅黑"/>
                <w:b w:val="0"/>
                <w:i w:val="0"/>
                <w:sz w:val="20"/>
              </w:rPr>
              <w:t>2027 年上半年</w:t>
            </w:r>
          </w:p>
        </w:tc>
        <w:tc>
          <w:tcPr>
            <w:tcW w:w="3628" w:type="dxa"/>
          </w:tcPr>
          <w:p w14:paraId="4A38D61A">
            <w:pPr>
              <w:spacing w:after="0"/>
            </w:pPr>
            <w:r>
              <w:rPr>
                <w:rFonts w:ascii="微软雅黑" w:hAnsi="微软雅黑" w:eastAsia="微软雅黑"/>
                <w:b w:val="0"/>
                <w:i w:val="0"/>
                <w:sz w:val="20"/>
              </w:rPr>
              <w:t>把三条收入线在香港跑成常态业务；同步测试泰国、中东伙伴的承接能力。</w:t>
            </w:r>
          </w:p>
        </w:tc>
        <w:tc>
          <w:tcPr>
            <w:tcW w:w="2268" w:type="dxa"/>
          </w:tcPr>
          <w:p w14:paraId="5811DF66">
            <w:pPr>
              <w:spacing w:after="0"/>
            </w:pPr>
            <w:r>
              <w:rPr>
                <w:rFonts w:ascii="微软雅黑" w:hAnsi="微软雅黑" w:eastAsia="微软雅黑"/>
                <w:b w:val="0"/>
                <w:i w:val="0"/>
                <w:sz w:val="20"/>
              </w:rPr>
              <w:t>香港市场收入稳定、模式可复制，具备向外输出条件。</w:t>
            </w:r>
          </w:p>
        </w:tc>
      </w:tr>
      <w:tr w14:paraId="6591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24BEE07">
            <w:pPr>
              <w:spacing w:after="0"/>
            </w:pPr>
            <w:r>
              <w:rPr>
                <w:rFonts w:ascii="微软雅黑" w:hAnsi="微软雅黑" w:eastAsia="微软雅黑"/>
                <w:b w:val="0"/>
                <w:i w:val="0"/>
                <w:sz w:val="20"/>
              </w:rPr>
              <w:t>第五步：外溢复制</w:t>
            </w:r>
          </w:p>
        </w:tc>
        <w:tc>
          <w:tcPr>
            <w:tcW w:w="1701" w:type="dxa"/>
          </w:tcPr>
          <w:p w14:paraId="038DF3A2">
            <w:pPr>
              <w:spacing w:after="0"/>
            </w:pPr>
            <w:r>
              <w:rPr>
                <w:rFonts w:ascii="微软雅黑" w:hAnsi="微软雅黑" w:eastAsia="微软雅黑"/>
                <w:b w:val="0"/>
                <w:i w:val="0"/>
                <w:sz w:val="20"/>
              </w:rPr>
              <w:t>2027 年及以后</w:t>
            </w:r>
          </w:p>
        </w:tc>
        <w:tc>
          <w:tcPr>
            <w:tcW w:w="3628" w:type="dxa"/>
          </w:tcPr>
          <w:p w14:paraId="2B684BCB">
            <w:pPr>
              <w:spacing w:after="0"/>
            </w:pPr>
            <w:r>
              <w:rPr>
                <w:rFonts w:ascii="微软雅黑" w:hAnsi="微软雅黑" w:eastAsia="微软雅黑"/>
                <w:b w:val="0"/>
                <w:i w:val="0"/>
                <w:sz w:val="20"/>
              </w:rPr>
              <w:t>向大湾区、泰国、中东等市场复制"AI 培训 + 人才标准 + 社区运营"模式；视情况引入澳洲等合作方。</w:t>
            </w:r>
          </w:p>
        </w:tc>
        <w:tc>
          <w:tcPr>
            <w:tcW w:w="2268" w:type="dxa"/>
          </w:tcPr>
          <w:p w14:paraId="25EF4B50">
            <w:pPr>
              <w:spacing w:after="0"/>
            </w:pPr>
            <w:r>
              <w:rPr>
                <w:rFonts w:ascii="微软雅黑" w:hAnsi="微软雅黑" w:eastAsia="微软雅黑"/>
                <w:b w:val="0"/>
                <w:i w:val="0"/>
                <w:sz w:val="20"/>
              </w:rPr>
              <w:t>以香港为样板的海外复制路径跑通。</w:t>
            </w:r>
          </w:p>
        </w:tc>
      </w:tr>
    </w:tbl>
    <w:p w14:paraId="638FA385">
      <w:pPr>
        <w:spacing w:after="40"/>
      </w:pPr>
    </w:p>
    <w:p w14:paraId="2B9371B0">
      <w:pPr>
        <w:pBdr>
          <w:bottom w:val="single" w:color="1F4E79" w:sz="8" w:space="1"/>
        </w:pBdr>
        <w:spacing w:before="320" w:after="120"/>
      </w:pPr>
      <w:r>
        <w:rPr>
          <w:rFonts w:ascii="微软雅黑" w:hAnsi="微软雅黑" w:eastAsia="微软雅黑"/>
          <w:b/>
          <w:i w:val="0"/>
          <w:color w:val="1F4E79"/>
          <w:sz w:val="28"/>
        </w:rPr>
        <w:t>七、边界、风险与应对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5"/>
        <w:gridCol w:w="3620"/>
        <w:gridCol w:w="3509"/>
      </w:tblGrid>
      <w:tr w14:paraId="3126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5ED8BAF">
            <w:pPr>
              <w:spacing w:after="0"/>
            </w:pPr>
            <w:r>
              <w:rPr>
                <w:rFonts w:ascii="微软雅黑" w:hAnsi="微软雅黑" w:eastAsia="微软雅黑"/>
                <w:b/>
                <w:i w:val="0"/>
                <w:color w:val="1F4E79"/>
                <w:sz w:val="20"/>
              </w:rPr>
              <w:t>风险 / 边界</w:t>
            </w:r>
          </w:p>
        </w:tc>
        <w:tc>
          <w:tcPr>
            <w:tcW w:w="3628" w:type="dxa"/>
          </w:tcPr>
          <w:p w14:paraId="0639CC76">
            <w:pPr>
              <w:spacing w:after="0"/>
            </w:pPr>
            <w:r>
              <w:rPr>
                <w:rFonts w:ascii="微软雅黑" w:hAnsi="微软雅黑" w:eastAsia="微软雅黑"/>
                <w:b/>
                <w:i w:val="0"/>
                <w:color w:val="1F4E79"/>
                <w:sz w:val="20"/>
              </w:rPr>
              <w:t>说明</w:t>
            </w:r>
          </w:p>
        </w:tc>
        <w:tc>
          <w:tcPr>
            <w:tcW w:w="3515" w:type="dxa"/>
          </w:tcPr>
          <w:p w14:paraId="11FD7792">
            <w:pPr>
              <w:spacing w:after="0"/>
            </w:pPr>
            <w:r>
              <w:rPr>
                <w:rFonts w:ascii="微软雅黑" w:hAnsi="微软雅黑" w:eastAsia="微软雅黑"/>
                <w:b/>
                <w:i w:val="0"/>
                <w:color w:val="1F4E79"/>
                <w:sz w:val="20"/>
              </w:rPr>
              <w:t>应对建议</w:t>
            </w:r>
          </w:p>
        </w:tc>
      </w:tr>
      <w:tr w14:paraId="70E0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F92B7A6">
            <w:pPr>
              <w:spacing w:after="0"/>
            </w:pPr>
            <w:r>
              <w:rPr>
                <w:rFonts w:ascii="微软雅黑" w:hAnsi="微软雅黑" w:eastAsia="微软雅黑"/>
                <w:b w:val="0"/>
                <w:i w:val="0"/>
                <w:sz w:val="20"/>
              </w:rPr>
              <w:t>牵涉 AEF 导致被动</w:t>
            </w:r>
          </w:p>
        </w:tc>
        <w:tc>
          <w:tcPr>
            <w:tcW w:w="3628" w:type="dxa"/>
          </w:tcPr>
          <w:p w14:paraId="0EC0F210">
            <w:pPr>
              <w:spacing w:after="0"/>
            </w:pPr>
            <w:r>
              <w:rPr>
                <w:rFonts w:ascii="微软雅黑" w:hAnsi="微软雅黑" w:eastAsia="微软雅黑"/>
                <w:b w:val="0"/>
                <w:i w:val="0"/>
                <w:sz w:val="20"/>
              </w:rPr>
              <w:t>一旦以 AEF 或 HKAI Lab 官方的名义对外合作，决策链与对外代表权都会受限，非营利定位也难以承载商业分利。</w:t>
            </w:r>
          </w:p>
        </w:tc>
        <w:tc>
          <w:tcPr>
            <w:tcW w:w="3515" w:type="dxa"/>
          </w:tcPr>
          <w:p w14:paraId="601B9ADC">
            <w:pPr>
              <w:spacing w:after="0"/>
            </w:pPr>
            <w:r>
              <w:rPr>
                <w:rFonts w:ascii="微软雅黑" w:hAnsi="微软雅黑" w:eastAsia="微软雅黑"/>
                <w:b w:val="0"/>
                <w:i w:val="0"/>
                <w:sz w:val="20"/>
              </w:rPr>
              <w:t>坚持"我们的合资主体与 HKAI Lab 做项目层合作"的结构；对 HKAI Lab 以分账方式交代，不把股权结构做进官方体系。</w:t>
            </w:r>
          </w:p>
        </w:tc>
      </w:tr>
      <w:tr w14:paraId="428A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80B4197">
            <w:pPr>
              <w:spacing w:after="0"/>
            </w:pPr>
            <w:r>
              <w:rPr>
                <w:rFonts w:ascii="微软雅黑" w:hAnsi="微软雅黑" w:eastAsia="微软雅黑"/>
                <w:b w:val="0"/>
                <w:i w:val="0"/>
                <w:sz w:val="20"/>
              </w:rPr>
              <w:t>客户资源外流</w:t>
            </w:r>
          </w:p>
        </w:tc>
        <w:tc>
          <w:tcPr>
            <w:tcW w:w="3628" w:type="dxa"/>
          </w:tcPr>
          <w:p w14:paraId="59758952">
            <w:pPr>
              <w:spacing w:after="0"/>
            </w:pPr>
            <w:r>
              <w:rPr>
                <w:rFonts w:ascii="微软雅黑" w:hAnsi="微软雅黑" w:eastAsia="微软雅黑"/>
                <w:b w:val="0"/>
                <w:i w:val="0"/>
                <w:sz w:val="20"/>
              </w:rPr>
              <w:t>泰国、中东等属地伙伴具备承接能力，但若客户资源不在自己手中，我们会被绕过。</w:t>
            </w:r>
          </w:p>
        </w:tc>
        <w:tc>
          <w:tcPr>
            <w:tcW w:w="3515" w:type="dxa"/>
          </w:tcPr>
          <w:p w14:paraId="6BFBB5E7">
            <w:pPr>
              <w:spacing w:after="0"/>
            </w:pPr>
            <w:r>
              <w:rPr>
                <w:rFonts w:ascii="微软雅黑" w:hAnsi="微软雅黑" w:eastAsia="微软雅黑"/>
                <w:b w:val="0"/>
                <w:i w:val="0"/>
                <w:sz w:val="20"/>
              </w:rPr>
              <w:t>客户来源与关系始终由我方持有，属地伙伴只承接落地执行；合作协议中明确客户归属与排他条款。</w:t>
            </w:r>
          </w:p>
        </w:tc>
      </w:tr>
      <w:tr w14:paraId="7D43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401F1ED">
            <w:pPr>
              <w:spacing w:after="0"/>
            </w:pPr>
            <w:r>
              <w:rPr>
                <w:rFonts w:ascii="微软雅黑" w:hAnsi="微软雅黑" w:eastAsia="微软雅黑"/>
                <w:b w:val="0"/>
                <w:i w:val="0"/>
                <w:sz w:val="20"/>
              </w:rPr>
              <w:t>HKAI Lab 的可持续性与人员依赖</w:t>
            </w:r>
          </w:p>
        </w:tc>
        <w:tc>
          <w:tcPr>
            <w:tcW w:w="3628" w:type="dxa"/>
          </w:tcPr>
          <w:p w14:paraId="139128FB">
            <w:pPr>
              <w:spacing w:after="0"/>
            </w:pPr>
            <w:r>
              <w:rPr>
                <w:rFonts w:ascii="微软雅黑" w:hAnsi="微软雅黑" w:eastAsia="微软雅黑"/>
                <w:b w:val="0"/>
                <w:i w:val="0"/>
                <w:sz w:val="20"/>
              </w:rPr>
              <w:t>HKAI Lab 加 CEO 仅 3.5 人，且核心网络高度依赖 Teddy 个人；其个人在阿里的身份与精力也有限。</w:t>
            </w:r>
          </w:p>
        </w:tc>
        <w:tc>
          <w:tcPr>
            <w:tcW w:w="3515" w:type="dxa"/>
          </w:tcPr>
          <w:p w14:paraId="05F73F53">
            <w:pPr>
              <w:spacing w:after="0"/>
            </w:pPr>
            <w:r>
              <w:rPr>
                <w:rFonts w:ascii="微软雅黑" w:hAnsi="微软雅黑" w:eastAsia="微软雅黑"/>
                <w:b w:val="0"/>
                <w:i w:val="0"/>
                <w:sz w:val="20"/>
              </w:rPr>
              <w:t>尽早引入 Teddy 培养的年轻骨干进入项目（以合作方式参与，不额外增设雇佣成本），把关系与执行能力沉淀到合资主体。</w:t>
            </w:r>
          </w:p>
        </w:tc>
      </w:tr>
      <w:tr w14:paraId="77D2E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DF02E5A">
            <w:pPr>
              <w:spacing w:after="0"/>
            </w:pPr>
            <w:r>
              <w:rPr>
                <w:rFonts w:ascii="微软雅黑" w:hAnsi="微软雅黑" w:eastAsia="微软雅黑"/>
                <w:b w:val="0"/>
                <w:i w:val="0"/>
                <w:sz w:val="20"/>
              </w:rPr>
              <w:t>产品与内容的价值归属</w:t>
            </w:r>
          </w:p>
        </w:tc>
        <w:tc>
          <w:tcPr>
            <w:tcW w:w="3628" w:type="dxa"/>
          </w:tcPr>
          <w:p w14:paraId="18E4BBEE">
            <w:pPr>
              <w:spacing w:after="0"/>
            </w:pPr>
            <w:r>
              <w:rPr>
                <w:rFonts w:ascii="微软雅黑" w:hAnsi="微软雅黑" w:eastAsia="微软雅黑"/>
                <w:b w:val="0"/>
                <w:i w:val="0"/>
                <w:sz w:val="20"/>
              </w:rPr>
              <w:t>渠道关系会被时间稀释，长期价值在于持续迭代的 AI 内容与标准。</w:t>
            </w:r>
          </w:p>
        </w:tc>
        <w:tc>
          <w:tcPr>
            <w:tcW w:w="3515" w:type="dxa"/>
          </w:tcPr>
          <w:p w14:paraId="08AADC90">
            <w:pPr>
              <w:spacing w:after="0"/>
            </w:pPr>
            <w:r>
              <w:rPr>
                <w:rFonts w:ascii="微软雅黑" w:hAnsi="微软雅黑" w:eastAsia="微软雅黑"/>
                <w:b w:val="0"/>
                <w:i w:val="0"/>
                <w:sz w:val="20"/>
              </w:rPr>
              <w:t>在协议中明确"内容与标准由 Datawhale 提供并迭代"，以此为长期议价与收益分配的依据。</w:t>
            </w:r>
          </w:p>
        </w:tc>
      </w:tr>
      <w:tr w14:paraId="616BD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AAFDF2D">
            <w:pPr>
              <w:spacing w:after="0"/>
            </w:pPr>
            <w:r>
              <w:rPr>
                <w:rFonts w:ascii="微软雅黑" w:hAnsi="微软雅黑" w:eastAsia="微软雅黑"/>
                <w:b w:val="0"/>
                <w:i w:val="0"/>
                <w:sz w:val="20"/>
              </w:rPr>
              <w:t>香港政府项目合规成本</w:t>
            </w:r>
          </w:p>
        </w:tc>
        <w:tc>
          <w:tcPr>
            <w:tcW w:w="3628" w:type="dxa"/>
          </w:tcPr>
          <w:p w14:paraId="132C9FE3">
            <w:pPr>
              <w:spacing w:after="0"/>
            </w:pPr>
            <w:r>
              <w:rPr>
                <w:rFonts w:ascii="微软雅黑" w:hAnsi="微软雅黑" w:eastAsia="微软雅黑"/>
                <w:b w:val="0"/>
                <w:i w:val="0"/>
                <w:sz w:val="20"/>
              </w:rPr>
              <w:t>香港政府对资助项目审计严格，公务部门核查多，隐性管理成本高。</w:t>
            </w:r>
          </w:p>
        </w:tc>
        <w:tc>
          <w:tcPr>
            <w:tcW w:w="3515" w:type="dxa"/>
          </w:tcPr>
          <w:p w14:paraId="6FCB220D">
            <w:pPr>
              <w:spacing w:after="0"/>
            </w:pPr>
            <w:r>
              <w:rPr>
                <w:rFonts w:ascii="微软雅黑" w:hAnsi="微软雅黑" w:eastAsia="微软雅黑"/>
                <w:b w:val="0"/>
                <w:i w:val="0"/>
                <w:sz w:val="20"/>
              </w:rPr>
              <w:t>政府类项目单独核算、单独设账，避免与商业项目混同；评估投入产出比后再决定是否承接。</w:t>
            </w:r>
          </w:p>
        </w:tc>
      </w:tr>
      <w:tr w14:paraId="65744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E44A76A">
            <w:pPr>
              <w:spacing w:after="0"/>
            </w:pPr>
            <w:r>
              <w:rPr>
                <w:rFonts w:ascii="微软雅黑" w:hAnsi="微软雅黑" w:eastAsia="微软雅黑"/>
                <w:b w:val="0"/>
                <w:i w:val="0"/>
                <w:sz w:val="20"/>
              </w:rPr>
              <w:t>行业与合规门槛</w:t>
            </w:r>
          </w:p>
        </w:tc>
        <w:tc>
          <w:tcPr>
            <w:tcW w:w="3628" w:type="dxa"/>
          </w:tcPr>
          <w:p w14:paraId="0AB5AAFF">
            <w:pPr>
              <w:spacing w:after="0"/>
            </w:pPr>
            <w:r>
              <w:rPr>
                <w:rFonts w:ascii="微软雅黑" w:hAnsi="微软雅黑" w:eastAsia="微软雅黑"/>
                <w:b w:val="0"/>
                <w:i w:val="0"/>
                <w:sz w:val="20"/>
              </w:rPr>
              <w:t>涉及数据跨境的行业（如医疗检测类）存在数据合规敏感度；设备类业务还涉及当地市场准入与审核。</w:t>
            </w:r>
          </w:p>
        </w:tc>
        <w:tc>
          <w:tcPr>
            <w:tcW w:w="3515" w:type="dxa"/>
          </w:tcPr>
          <w:p w14:paraId="4E832567">
            <w:pPr>
              <w:spacing w:after="0"/>
            </w:pPr>
            <w:r>
              <w:rPr>
                <w:rFonts w:ascii="微软雅黑" w:hAnsi="微软雅黑" w:eastAsia="微软雅黑"/>
                <w:b w:val="0"/>
                <w:i w:val="0"/>
                <w:sz w:val="20"/>
              </w:rPr>
              <w:t>该类项目需搭配属地团队与本地合规顾问，不作为首批试点；先聚焦垂类 AI（含 SaaS）与工业自动化/智能装备。</w:t>
            </w:r>
          </w:p>
        </w:tc>
      </w:tr>
    </w:tbl>
    <w:p w14:paraId="685DCE70">
      <w:pPr>
        <w:spacing w:after="40"/>
      </w:pPr>
    </w:p>
    <w:p w14:paraId="418E8225">
      <w:pPr>
        <w:pBdr>
          <w:bottom w:val="single" w:color="1F4E79" w:sz="8" w:space="1"/>
        </w:pBdr>
        <w:spacing w:before="320" w:after="120"/>
      </w:pPr>
      <w:r>
        <w:rPr>
          <w:rFonts w:ascii="微软雅黑" w:hAnsi="微软雅黑" w:eastAsia="微软雅黑"/>
          <w:b/>
          <w:i w:val="0"/>
          <w:color w:val="1F4E79"/>
          <w:sz w:val="28"/>
        </w:rPr>
        <w:t>八、与范晶晶沟通的要点与待决事项</w:t>
      </w:r>
    </w:p>
    <w:p w14:paraId="78D719E1">
      <w:pPr>
        <w:spacing w:before="200" w:after="60"/>
      </w:pPr>
      <w:r>
        <w:rPr>
          <w:rFonts w:ascii="微软雅黑" w:hAnsi="微软雅黑" w:eastAsia="微软雅黑"/>
          <w:b/>
          <w:i w:val="0"/>
          <w:color w:val="404040"/>
          <w:sz w:val="24"/>
        </w:rPr>
        <w:t>8.1 沟通要点（顺序建议）</w:t>
      </w:r>
    </w:p>
    <w:p w14:paraId="0A87EE66">
      <w:pPr>
        <w:spacing w:after="60"/>
        <w:ind w:left="255"/>
      </w:pPr>
      <w:r>
        <w:rPr>
          <w:rFonts w:ascii="微软雅黑" w:hAnsi="微软雅黑" w:eastAsia="微软雅黑"/>
          <w:b w:val="0"/>
          <w:i w:val="0"/>
          <w:sz w:val="22"/>
        </w:rPr>
        <w:t>· 先讲机会，不讲条款：香港是 Datawhale 尚未进入的高价值增量市场，我们能用既有渠道快速打开，且不要求它改模式、建团队、投钱。</w:t>
      </w:r>
    </w:p>
    <w:p w14:paraId="193FB018">
      <w:pPr>
        <w:spacing w:after="60"/>
        <w:ind w:left="255"/>
      </w:pPr>
      <w:r>
        <w:rPr>
          <w:rFonts w:ascii="微软雅黑" w:hAnsi="微软雅黑" w:eastAsia="微软雅黑"/>
          <w:b w:val="0"/>
          <w:i w:val="0"/>
          <w:sz w:val="22"/>
        </w:rPr>
        <w:t>· 再讲稀缺性：香港的高校、企业、政府渠道与孵化运营能力需要多年积累，HKAI Lab 八年网络是最快的入场路径。</w:t>
      </w:r>
    </w:p>
    <w:p w14:paraId="1524B681">
      <w:pPr>
        <w:spacing w:after="60"/>
        <w:ind w:left="255"/>
      </w:pPr>
      <w:r>
        <w:rPr>
          <w:rFonts w:ascii="微软雅黑" w:hAnsi="微软雅黑" w:eastAsia="微软雅黑"/>
          <w:b w:val="0"/>
          <w:i w:val="0"/>
          <w:sz w:val="22"/>
        </w:rPr>
        <w:t>· 然后讲合作形式：品牌在香港注册落地 + 合资主体持有市场与客户，按股比分利；起步先精选 2–3 个项目跑通，不做高举高打的平台。</w:t>
      </w:r>
    </w:p>
    <w:p w14:paraId="2DC7B99F">
      <w:pPr>
        <w:spacing w:after="60"/>
        <w:ind w:left="255"/>
      </w:pPr>
      <w:r>
        <w:rPr>
          <w:rFonts w:ascii="微软雅黑" w:hAnsi="微软雅黑" w:eastAsia="微软雅黑"/>
          <w:b w:val="0"/>
          <w:i w:val="0"/>
          <w:sz w:val="22"/>
        </w:rPr>
        <w:t>· 最后讲分工与收益：内容与标准由 Datawhale 提供并迭代，市场与客户由合资主体持有，属地执行借 HKAI Lab 团队；分账比例与股权结构可谈。</w:t>
      </w:r>
    </w:p>
    <w:p w14:paraId="65D6C37A">
      <w:pPr>
        <w:spacing w:before="200" w:after="60"/>
      </w:pPr>
      <w:r>
        <w:rPr>
          <w:rFonts w:ascii="微软雅黑" w:hAnsi="微软雅黑" w:eastAsia="微软雅黑"/>
          <w:b/>
          <w:i w:val="0"/>
          <w:color w:val="404040"/>
          <w:sz w:val="24"/>
        </w:rPr>
        <w:t>8.2 待决事项（待三方确认）</w:t>
      </w:r>
    </w:p>
    <w:p w14:paraId="0AF04DBC">
      <w:pPr>
        <w:spacing w:after="60"/>
        <w:ind w:left="255"/>
      </w:pPr>
      <w:r>
        <w:rPr>
          <w:rFonts w:ascii="微软雅黑" w:hAnsi="微软雅黑" w:eastAsia="微软雅黑"/>
          <w:b w:val="0"/>
          <w:i w:val="0"/>
          <w:sz w:val="22"/>
        </w:rPr>
        <w:t>· 合作形式：渠道代理分成，还是品牌落地 + 合资主体？（Anson 与 Teddy 倾向后者）</w:t>
      </w:r>
    </w:p>
    <w:p w14:paraId="6FDEEF81">
      <w:pPr>
        <w:spacing w:after="60"/>
        <w:ind w:left="255"/>
      </w:pPr>
      <w:r>
        <w:rPr>
          <w:rFonts w:ascii="微软雅黑" w:hAnsi="微软雅黑" w:eastAsia="微软雅黑"/>
          <w:b w:val="0"/>
          <w:i w:val="0"/>
          <w:sz w:val="22"/>
        </w:rPr>
        <w:t>· 主体设立地与结构：香港为主体，还是港深双主体？各自持股与出资方式？</w:t>
      </w:r>
    </w:p>
    <w:p w14:paraId="750FAB23">
      <w:pPr>
        <w:spacing w:after="60"/>
        <w:ind w:left="255"/>
      </w:pPr>
      <w:r>
        <w:rPr>
          <w:rFonts w:ascii="微软雅黑" w:hAnsi="微软雅黑" w:eastAsia="微软雅黑"/>
          <w:b w:val="0"/>
          <w:i w:val="0"/>
          <w:sz w:val="22"/>
        </w:rPr>
        <w:t>· 品牌授权范围与期限：香港独家/非独家，是否包含大湾区与海外复制权？</w:t>
      </w:r>
    </w:p>
    <w:p w14:paraId="3C3567A1">
      <w:pPr>
        <w:spacing w:after="60"/>
        <w:ind w:left="255"/>
      </w:pPr>
      <w:r>
        <w:rPr>
          <w:rFonts w:ascii="微软雅黑" w:hAnsi="微软雅黑" w:eastAsia="微软雅黑"/>
          <w:b w:val="0"/>
          <w:i w:val="0"/>
          <w:sz w:val="22"/>
        </w:rPr>
        <w:t>· 分账机制：对 HKAI Lab 的分账基数、比例区间（5%–20%）与结算周期。</w:t>
      </w:r>
    </w:p>
    <w:p w14:paraId="32F704CB">
      <w:pPr>
        <w:spacing w:after="60"/>
        <w:ind w:left="255"/>
      </w:pPr>
      <w:r>
        <w:rPr>
          <w:rFonts w:ascii="微软雅黑" w:hAnsi="微软雅黑" w:eastAsia="微软雅黑"/>
          <w:b w:val="0"/>
          <w:i w:val="0"/>
          <w:sz w:val="22"/>
        </w:rPr>
        <w:t>· 客户归属与排他：客户资源由谁登记、由谁签约、排他范围如何界定。</w:t>
      </w:r>
    </w:p>
    <w:p w14:paraId="2BE2BE77">
      <w:pPr>
        <w:spacing w:after="60"/>
        <w:ind w:left="255"/>
      </w:pPr>
      <w:r>
        <w:rPr>
          <w:rFonts w:ascii="微软雅黑" w:hAnsi="微软雅黑" w:eastAsia="微软雅黑"/>
          <w:b w:val="0"/>
          <w:i w:val="0"/>
          <w:sz w:val="22"/>
        </w:rPr>
        <w:t>· 人员安排：Teddy 方年轻骨干参与项目的方式与身份；Anson 与 Teddy 各自投入的时间与角色界定。</w:t>
      </w:r>
    </w:p>
    <w:p w14:paraId="3500591F">
      <w:pPr>
        <w:spacing w:after="60"/>
        <w:ind w:left="255"/>
      </w:pPr>
      <w:r>
        <w:rPr>
          <w:rFonts w:ascii="微软雅黑" w:hAnsi="微软雅黑" w:eastAsia="微软雅黑"/>
          <w:b w:val="0"/>
          <w:i w:val="0"/>
          <w:sz w:val="22"/>
        </w:rPr>
        <w:t>· 首批试点项目：从大厂香港预算项目与香港高校培训项目中各选 1–2 个先行落地。</w:t>
      </w:r>
    </w:p>
    <w:p w14:paraId="139B93FA">
      <w:pPr>
        <w:spacing w:after="60"/>
      </w:pPr>
      <w:r>
        <w:rPr>
          <w:rFonts w:ascii="微软雅黑" w:hAnsi="微软雅黑" w:eastAsia="微软雅黑"/>
          <w:b w:val="0"/>
          <w:i/>
          <w:color w:val="808080"/>
          <w:sz w:val="20"/>
        </w:rPr>
        <w:t>提示：以上事项建议在云栖大会三方会面时形成会议纪要并明确责任人与时间点，避免停留在意向层。</w:t>
      </w:r>
    </w:p>
    <w:p w14:paraId="3C6D3905">
      <w:pPr>
        <w:pBdr>
          <w:bottom w:val="single" w:color="1F4E79" w:sz="8" w:space="1"/>
        </w:pBdr>
        <w:spacing w:before="320" w:after="120"/>
      </w:pPr>
      <w:r>
        <w:rPr>
          <w:rFonts w:ascii="微软雅黑" w:hAnsi="微软雅黑" w:eastAsia="微软雅黑"/>
          <w:b/>
          <w:i w:val="0"/>
          <w:color w:val="1F4E79"/>
          <w:sz w:val="28"/>
        </w:rPr>
        <w:t>附录一：HKAI Lab 速览（可直接对外展示）</w:t>
      </w:r>
    </w:p>
    <w:p w14:paraId="30FFEB0B">
      <w:pPr>
        <w:spacing w:after="60"/>
        <w:ind w:left="255"/>
      </w:pPr>
      <w:r>
        <w:rPr>
          <w:rFonts w:ascii="微软雅黑" w:hAnsi="微软雅黑" w:eastAsia="微软雅黑"/>
          <w:b w:val="0"/>
          <w:i w:val="0"/>
          <w:sz w:val="22"/>
        </w:rPr>
        <w:t>· HKAI Lab（香港人工智能及数据实验室）成立于 2018 年，由阿里巴巴创业者基金与商汤科技携手合作资助，是非营利的 AI 初创企业培育项目。</w:t>
      </w:r>
    </w:p>
    <w:p w14:paraId="383A70BB">
      <w:pPr>
        <w:spacing w:after="60"/>
        <w:ind w:left="255"/>
      </w:pPr>
      <w:r>
        <w:rPr>
          <w:rFonts w:ascii="微软雅黑" w:hAnsi="微软雅黑" w:eastAsia="微软雅黑"/>
          <w:b w:val="0"/>
          <w:i w:val="0"/>
          <w:sz w:val="22"/>
        </w:rPr>
        <w:t>· 与香港科技园、数码港、港深创新及科技园三大创科园紧密合作，2022 年获亚洲企业孵化协会（AABI）年度孵化器奖。</w:t>
      </w:r>
    </w:p>
    <w:p w14:paraId="526C9CA9">
      <w:pPr>
        <w:spacing w:after="60"/>
        <w:ind w:left="255"/>
      </w:pPr>
      <w:r>
        <w:rPr>
          <w:rFonts w:ascii="微软雅黑" w:hAnsi="微软雅黑" w:eastAsia="微软雅黑"/>
          <w:b w:val="0"/>
          <w:i w:val="0"/>
          <w:sz w:val="22"/>
        </w:rPr>
        <w:t>· 13 个孵化周期、1000+ 份申请、累计孵化 151 家初创企业，其中 59 家成功融资、2 家估值超 1 亿美元。</w:t>
      </w:r>
    </w:p>
    <w:p w14:paraId="7F0F270A">
      <w:pPr>
        <w:spacing w:after="60"/>
        <w:ind w:left="255"/>
      </w:pPr>
      <w:r>
        <w:rPr>
          <w:rFonts w:ascii="微软雅黑" w:hAnsi="微软雅黑" w:eastAsia="微软雅黑"/>
          <w:b w:val="0"/>
          <w:i w:val="0"/>
          <w:sz w:val="22"/>
        </w:rPr>
        <w:t>· 资源支持：免费 GPU 计算资源、云使用积分与 LLM 代币，以及募资配对、专家咨询、商业配对与导师网络。</w:t>
      </w:r>
    </w:p>
    <w:p w14:paraId="42114BAE">
      <w:pPr>
        <w:spacing w:after="60"/>
        <w:ind w:left="255"/>
      </w:pPr>
      <w:r>
        <w:rPr>
          <w:rFonts w:ascii="微软雅黑" w:hAnsi="微软雅黑" w:eastAsia="微软雅黑"/>
          <w:b w:val="0"/>
          <w:i w:val="0"/>
          <w:sz w:val="22"/>
        </w:rPr>
        <w:t>· 商业网络：8 年积累 190+ 企业、政府部门与社区网络，覆盖制造业、房地产、银行零售、ESG、公共工程等场景。</w:t>
      </w:r>
    </w:p>
    <w:p w14:paraId="2A971980">
      <w:pPr>
        <w:spacing w:after="60"/>
        <w:ind w:left="255"/>
      </w:pPr>
      <w:r>
        <w:rPr>
          <w:rFonts w:ascii="微软雅黑" w:hAnsi="微软雅黑" w:eastAsia="微软雅黑"/>
          <w:b w:val="0"/>
          <w:i w:val="0"/>
          <w:sz w:val="22"/>
        </w:rPr>
        <w:t>· 项目形态：与东亚银行的"BEAst"共同孵化计划、港深创科园加速计划（GAS）、香港科技园共同孵化计划，以及香港都会大学、香港教育大学的创业团队项目。</w:t>
      </w:r>
    </w:p>
    <w:p w14:paraId="0A2455A8">
      <w:pPr>
        <w:spacing w:after="60"/>
        <w:ind w:left="255"/>
      </w:pPr>
      <w:r>
        <w:rPr>
          <w:rFonts w:ascii="微软雅黑" w:hAnsi="微软雅黑" w:eastAsia="微软雅黑"/>
          <w:b w:val="0"/>
          <w:i w:val="0"/>
          <w:sz w:val="22"/>
        </w:rPr>
        <w:t>· 培训能力：HKU × HKAI Lab AI 课程、企业高管战略 AI 项目、中信银行与资生堂创新研讨会，以及面向企业与政府的证书培训课程。</w:t>
      </w:r>
    </w:p>
    <w:p w14:paraId="72C81C5A">
      <w:pPr>
        <w:pBdr>
          <w:bottom w:val="single" w:color="1F4E79" w:sz="8" w:space="1"/>
        </w:pBdr>
        <w:spacing w:before="320" w:after="120"/>
      </w:pPr>
      <w:r>
        <w:rPr>
          <w:rFonts w:ascii="微软雅黑" w:hAnsi="微软雅黑" w:eastAsia="微软雅黑"/>
          <w:b/>
          <w:i w:val="0"/>
          <w:color w:val="1F4E79"/>
          <w:sz w:val="28"/>
        </w:rPr>
        <w:t>附录二：Datawhale 核心数据（用于对外介绍）</w:t>
      </w:r>
    </w:p>
    <w:p w14:paraId="0A74C6AF">
      <w:pPr>
        <w:spacing w:after="60"/>
        <w:ind w:left="255"/>
      </w:pPr>
      <w:r>
        <w:rPr>
          <w:rFonts w:ascii="微软雅黑" w:hAnsi="微软雅黑" w:eastAsia="微软雅黑"/>
          <w:b w:val="0"/>
          <w:i w:val="0"/>
          <w:sz w:val="22"/>
        </w:rPr>
        <w:t>· 成立 2018 年，总部杭州，团队约 40 人；创始人范晶晶。</w:t>
      </w:r>
    </w:p>
    <w:p w14:paraId="77A67CF7">
      <w:pPr>
        <w:spacing w:after="60"/>
        <w:ind w:left="255"/>
      </w:pPr>
      <w:r>
        <w:rPr>
          <w:rFonts w:ascii="微软雅黑" w:hAnsi="微软雅黑" w:eastAsia="微软雅黑"/>
          <w:b w:val="0"/>
          <w:i w:val="0"/>
          <w:sz w:val="22"/>
        </w:rPr>
        <w:t>· GitHub 累计 40 万 Star，AI 学习类别全球第四、国内第一，组织总排名全球前 20。</w:t>
      </w:r>
    </w:p>
    <w:p w14:paraId="72DC8579">
      <w:pPr>
        <w:spacing w:after="60"/>
        <w:ind w:left="255"/>
      </w:pPr>
      <w:r>
        <w:rPr>
          <w:rFonts w:ascii="微软雅黑" w:hAnsi="微软雅黑" w:eastAsia="微软雅黑"/>
          <w:b w:val="0"/>
          <w:i w:val="0"/>
          <w:sz w:val="22"/>
        </w:rPr>
        <w:t>· 连接全球 4000 余所高校、数百家科技企业；贡献者超 1000 人，服务学习者超 200 万人。</w:t>
      </w:r>
    </w:p>
    <w:p w14:paraId="02CE3C7D">
      <w:pPr>
        <w:spacing w:after="60"/>
        <w:ind w:left="255"/>
      </w:pPr>
      <w:r>
        <w:rPr>
          <w:rFonts w:ascii="微软雅黑" w:hAnsi="微软雅黑" w:eastAsia="微软雅黑"/>
          <w:b w:val="0"/>
          <w:i w:val="0"/>
          <w:sz w:val="22"/>
        </w:rPr>
        <w:t>· 共建全国首个人工智能开源生态学院（2026 年 4 月，杭州电子科技大学 + 西湖区政府 + Datawhale）。</w:t>
      </w:r>
    </w:p>
    <w:p w14:paraId="6F3314A8">
      <w:pPr>
        <w:spacing w:after="60"/>
        <w:ind w:left="255"/>
      </w:pPr>
      <w:r>
        <w:rPr>
          <w:rFonts w:ascii="微软雅黑" w:hAnsi="微软雅黑" w:eastAsia="微软雅黑"/>
          <w:b w:val="0"/>
          <w:i w:val="0"/>
          <w:sz w:val="22"/>
        </w:rPr>
        <w:t>· 牵头 OPC 九级人才能力标准，拥有 FDE 企业驻场工程师培养与输送体系。</w:t>
      </w:r>
    </w:p>
    <w:p w14:paraId="0434BB1C">
      <w:pPr>
        <w:spacing w:after="60"/>
        <w:ind w:left="255"/>
      </w:pPr>
      <w:r>
        <w:rPr>
          <w:rFonts w:ascii="微软雅黑" w:hAnsi="微软雅黑" w:eastAsia="微软雅黑"/>
          <w:b w:val="0"/>
          <w:i w:val="0"/>
          <w:sz w:val="22"/>
        </w:rPr>
        <w:t>· B 端三条收入线：大厂人才生态、高校就业辅导、地方政府线下社区与赛事运营。</w:t>
      </w:r>
    </w:p>
    <w:sectPr>
      <w:pgSz w:w="12240" w:h="15840"/>
      <w:pgMar w:top="1440" w:right="1701"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8" w:lineRule="auto"/>
      </w:pPr>
      <w:r>
        <w:separator/>
      </w:r>
    </w:p>
  </w:footnote>
  <w:footnote w:type="continuationSeparator" w:id="1">
    <w:p>
      <w:pPr>
        <w:spacing w:before="0" w:after="0" w:line="3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0F53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48"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3361</Words>
  <Characters>3913</Characters>
  <Lines>0</Lines>
  <Paragraphs>0</Paragraphs>
  <TotalTime>27</TotalTime>
  <ScaleCrop>false</ScaleCrop>
  <LinksUpToDate>false</LinksUpToDate>
  <CharactersWithSpaces>4203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2026-09-22T13:00:15Z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E2C939977A584391A14AE3D7ABA9ED3F_12</vt:lpwstr>
  </property>
</Properties>
</file>