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01118">
      <w:pPr>
        <w:jc w:val="center"/>
      </w:pPr>
      <w:r>
        <w:rPr>
          <w:rFonts w:hint="eastAsia" w:ascii="微软雅黑" w:hAnsi="微软雅黑" w:eastAsia="微软雅黑"/>
          <w:b/>
          <w:color w:val="1A1A2E"/>
          <w:sz w:val="44"/>
        </w:rPr>
        <w:t>ROBOX 商业模式分析框架</w:t>
      </w:r>
    </w:p>
    <w:p w14:paraId="6E057A90">
      <w:pPr>
        <w:spacing w:after="80"/>
        <w:jc w:val="center"/>
      </w:pPr>
      <w:r>
        <w:rPr>
          <w:rFonts w:hint="eastAsia" w:ascii="微软雅黑" w:hAnsi="微软雅黑" w:eastAsia="微软雅黑"/>
          <w:color w:val="7F8C8D"/>
          <w:sz w:val="22"/>
        </w:rPr>
        <w:t>七范式与三重锁定机制</w:t>
      </w:r>
    </w:p>
    <w:p w14:paraId="03BDCC53">
      <w:pPr>
        <w:spacing w:after="400"/>
        <w:jc w:val="center"/>
      </w:pPr>
      <w:r>
        <w:rPr>
          <w:rFonts w:hint="eastAsia" w:ascii="微软雅黑" w:hAnsi="微软雅黑" w:eastAsia="微软雅黑"/>
          <w:color w:val="95A5A6"/>
          <w:sz w:val="20"/>
        </w:rPr>
        <w:t>2026年8月6日</w:t>
      </w:r>
    </w:p>
    <w:p w14:paraId="1B381EB4"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59CB908A">
      <w:pPr>
        <w:pStyle w:val="3"/>
      </w:pPr>
      <w:r>
        <w:rPr>
          <w:rFonts w:hint="eastAsia" w:ascii="微软雅黑" w:hAnsi="微软雅黑" w:eastAsia="微软雅黑"/>
          <w:color w:val="2C3E50"/>
        </w:rPr>
        <w:t>第一部分  框架概述</w:t>
      </w:r>
    </w:p>
    <w:p w14:paraId="5BE1EEDA">
      <w:pPr>
        <w:spacing w:after="80"/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ROBOX作为不自研硬件的算法公司，核心产品是"手眼脑协同的物理智能系统"。</w:t>
      </w:r>
    </w:p>
    <w:p w14:paraId="6B504749">
      <w:pPr>
        <w:spacing w:after="80"/>
      </w:pPr>
      <w:r>
        <w:rPr>
          <w:rFonts w:hint="eastAsia" w:ascii="微软雅黑" w:hAnsi="微软雅黑" w:eastAsia="微软雅黑"/>
          <w:b/>
          <w:sz w:val="21"/>
        </w:rPr>
        <w:t>本框架解决一个核心问题：不生产硬件的AI算法公司，如何与硬件厂商协同拓展场景，并建立不可替代的竞争壁垒。</w:t>
      </w:r>
    </w:p>
    <w:p w14:paraId="0CDBCA17">
      <w:pPr>
        <w:spacing w:after="80"/>
      </w:pPr>
    </w:p>
    <w:p w14:paraId="55B20A8E">
      <w:pPr>
        <w:spacing w:after="80"/>
      </w:pPr>
      <w:r>
        <w:rPr>
          <w:rFonts w:hint="eastAsia" w:ascii="微软雅黑" w:hAnsi="微软雅黑" w:eastAsia="微软雅黑"/>
          <w:b/>
          <w:color w:val="2C3E50"/>
          <w:sz w:val="22"/>
        </w:rPr>
        <w:t>核心能力三角：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3490"/>
        <w:gridCol w:w="3429"/>
      </w:tblGrid>
      <w:tr w14:paraId="2814A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  <w:shd w:val="clear" w:color="auto" w:fill="2C3E50"/>
          </w:tcPr>
          <w:p w14:paraId="291B5973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能力维度</w:t>
            </w:r>
          </w:p>
        </w:tc>
        <w:tc>
          <w:tcPr>
            <w:tcW w:w="3490" w:type="dxa"/>
            <w:shd w:val="clear" w:color="auto" w:fill="2C3E50"/>
          </w:tcPr>
          <w:p w14:paraId="6A036653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w="3429" w:type="dxa"/>
            <w:shd w:val="clear" w:color="auto" w:fill="2C3E50"/>
          </w:tcPr>
          <w:p w14:paraId="54DB96B7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战略角色</w:t>
            </w:r>
          </w:p>
        </w:tc>
      </w:tr>
      <w:tr w14:paraId="07D4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</w:tcPr>
          <w:p w14:paraId="721C7ED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大脑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(核心产品)</w:t>
            </w:r>
          </w:p>
        </w:tc>
        <w:tc>
          <w:tcPr>
            <w:tcW w:w="3490" w:type="dxa"/>
          </w:tcPr>
          <w:p w14:paraId="05DBAD9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System 2/1/0三层架构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Nebula 1.0→1.1（122B参数）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  <w:highlight w:val="yellow"/>
              </w:rPr>
              <w:t>AR架构+latent space通信</w:t>
            </w:r>
          </w:p>
        </w:tc>
        <w:tc>
          <w:tcPr>
            <w:tcW w:w="3429" w:type="dxa"/>
          </w:tcPr>
          <w:p w14:paraId="6787C20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最终交付价值的核心环节</w:t>
            </w:r>
          </w:p>
        </w:tc>
      </w:tr>
      <w:tr w14:paraId="4049A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</w:tcPr>
          <w:p w14:paraId="505702C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触觉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(关键差异化)</w:t>
            </w:r>
          </w:p>
        </w:tc>
        <w:tc>
          <w:tcPr>
            <w:tcW w:w="3490" w:type="dxa"/>
          </w:tcPr>
          <w:p w14:paraId="5CDEA7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TacWM (Tactile World Model,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触觉世界模型)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全球首个预测性触觉模型</w:t>
            </w:r>
          </w:p>
        </w:tc>
        <w:tc>
          <w:tcPr>
            <w:tcW w:w="3429" w:type="dxa"/>
          </w:tcPr>
          <w:p w14:paraId="579F4EC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区别于所有竞争对手的独特技术壁垒</w:t>
            </w:r>
          </w:p>
        </w:tc>
      </w:tr>
      <w:tr w14:paraId="48FC7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</w:tcPr>
          <w:p w14:paraId="74150A1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Ego数据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(核心壁垒)</w:t>
            </w:r>
          </w:p>
        </w:tc>
        <w:tc>
          <w:tcPr>
            <w:tcW w:w="3490" w:type="dxa"/>
          </w:tcPr>
          <w:p w14:paraId="4B6C631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Ego (Egocentric, 第一视角)数据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领先行业6-12个月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ViLoS消融实验90.6%</w:t>
            </w:r>
          </w:p>
        </w:tc>
        <w:tc>
          <w:tcPr>
            <w:tcW w:w="3429" w:type="dxa"/>
          </w:tcPr>
          <w:p w14:paraId="1607E50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先发优势+网络效应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构成数据护城河</w:t>
            </w:r>
          </w:p>
        </w:tc>
      </w:tr>
    </w:tbl>
    <w:p w14:paraId="1B4F3E1E">
      <w:pPr>
        <w:spacing w:after="80"/>
      </w:pPr>
    </w:p>
    <w:p w14:paraId="092A46E9">
      <w:pPr>
        <w:spacing w:after="80"/>
      </w:pPr>
      <w:r>
        <w:rPr>
          <w:rFonts w:hint="eastAsia" w:ascii="微软雅黑" w:hAnsi="微软雅黑" w:eastAsia="微软雅黑"/>
          <w:b/>
          <w:color w:val="E74C3C"/>
          <w:sz w:val="21"/>
        </w:rPr>
        <w:t>关键定位修正（基于五场投资人会议+一场FA沟通验证）：</w:t>
      </w:r>
    </w:p>
    <w:p w14:paraId="64996B6F">
      <w:pPr>
        <w:pStyle w:val="16"/>
        <w:spacing w:after="40"/>
        <w:ind w:left="567"/>
      </w:pPr>
      <w:r>
        <w:rPr>
          <w:rFonts w:hint="eastAsia" w:ascii="微软雅黑" w:hAnsi="微软雅黑" w:eastAsia="微软雅黑"/>
          <w:b/>
          <w:sz w:val="21"/>
        </w:rPr>
        <w:t>明修表述：</w:t>
      </w:r>
      <w:r>
        <w:rPr>
          <w:rFonts w:hint="eastAsia" w:ascii="微软雅黑" w:hAnsi="微软雅黑" w:eastAsia="微软雅黑"/>
          <w:sz w:val="21"/>
        </w:rPr>
        <w:t>明修："触觉是我们的一个重要手段"——"手段"而非"核心"</w:t>
      </w:r>
    </w:p>
    <w:p w14:paraId="7FFDF01A">
      <w:pPr>
        <w:pStyle w:val="16"/>
        <w:spacing w:after="40"/>
        <w:ind w:left="567"/>
      </w:pPr>
      <w:r>
        <w:rPr>
          <w:rFonts w:hint="eastAsia" w:ascii="微软雅黑" w:hAnsi="微软雅黑" w:eastAsia="微软雅黑"/>
          <w:b/>
          <w:sz w:val="21"/>
        </w:rPr>
        <w:t>田明表述：</w:t>
      </w:r>
      <w:r>
        <w:rPr>
          <w:rFonts w:hint="eastAsia" w:ascii="微软雅黑" w:hAnsi="微软雅黑" w:eastAsia="微软雅黑"/>
          <w:sz w:val="21"/>
        </w:rPr>
        <w:t>田明："核心是大脑，这是最终交付价值最重要的环节"——大脑才是核心</w:t>
      </w:r>
    </w:p>
    <w:p w14:paraId="0E570DA7">
      <w:pPr>
        <w:pStyle w:val="16"/>
        <w:spacing w:after="40"/>
        <w:ind w:left="567"/>
      </w:pPr>
      <w:r>
        <w:rPr>
          <w:rFonts w:hint="eastAsia" w:ascii="微软雅黑" w:hAnsi="微软雅黑" w:eastAsia="微软雅黑"/>
          <w:b/>
          <w:sz w:val="21"/>
        </w:rPr>
        <w:t>聚焦点：</w:t>
      </w:r>
      <w:r>
        <w:rPr>
          <w:rFonts w:hint="eastAsia" w:ascii="微软雅黑" w:hAnsi="微软雅黑" w:eastAsia="微软雅黑"/>
          <w:sz w:val="21"/>
        </w:rPr>
        <w:t>明修："我们只做一件事，做模型"——唯一聚焦是模型本身</w:t>
      </w:r>
    </w:p>
    <w:p w14:paraId="5861FAA9">
      <w:pPr>
        <w:spacing w:after="80"/>
      </w:pPr>
      <w:r>
        <w:rPr>
          <w:rFonts w:hint="eastAsia" w:ascii="微软雅黑" w:hAnsi="微软雅黑" w:eastAsia="微软雅黑"/>
          <w:b/>
          <w:color w:val="2C3E50"/>
          <w:sz w:val="21"/>
        </w:rPr>
        <w:t>结论：对外不使用"触觉公司"标签，使用"手眼脑协同的物理智能系统"框架。七种合作范式均在此框架下设计。</w:t>
      </w:r>
    </w:p>
    <w:p w14:paraId="793CD70D">
      <w:r>
        <w:br w:type="page"/>
      </w:r>
    </w:p>
    <w:p w14:paraId="5168C188">
      <w:pPr>
        <w:pStyle w:val="3"/>
      </w:pPr>
      <w:r>
        <w:rPr>
          <w:rFonts w:hint="eastAsia" w:ascii="微软雅黑" w:hAnsi="微软雅黑" w:eastAsia="微软雅黑"/>
          <w:color w:val="2C3E50"/>
        </w:rPr>
        <w:t>第二部分  七种合作范式</w:t>
      </w:r>
    </w:p>
    <w:p w14:paraId="32F7A31E">
      <w:pPr>
        <w:spacing w:after="80"/>
      </w:pPr>
      <w:r>
        <w:rPr>
          <w:rFonts w:hint="eastAsia" w:ascii="微软雅黑" w:hAnsi="微软雅黑" w:eastAsia="微软雅黑"/>
          <w:b w:val="0"/>
          <w:sz w:val="21"/>
        </w:rPr>
        <w:t>按照合作深度由浅入深排列，从轻量级SDK嵌入到终局标准认证，覆盖公司发展全生命周期。</w:t>
      </w:r>
    </w:p>
    <w:p w14:paraId="0859ADD3">
      <w:pPr>
        <w:pStyle w:val="4"/>
      </w:pPr>
      <w:r>
        <w:rPr>
          <w:rFonts w:hint="eastAsia" w:ascii="微软雅黑" w:hAnsi="微软雅黑" w:eastAsia="微软雅黑"/>
          <w:color w:val="34495E"/>
        </w:rPr>
        <w:t>范式1  手眼脑协同中间件插件</w:t>
      </w:r>
    </w:p>
    <w:p w14:paraId="397B4C16">
      <w:pPr>
        <w:spacing w:after="80"/>
      </w:pPr>
      <w:r>
        <w:rPr>
          <w:rFonts w:hint="eastAsia" w:ascii="微软雅黑" w:hAnsi="微软雅黑" w:eastAsia="微软雅黑"/>
          <w:b/>
          <w:color w:val="E74C3C"/>
          <w:sz w:val="20"/>
        </w:rPr>
        <w:t>适用阶段：Phase 1（0-6个月）</w:t>
      </w:r>
    </w:p>
    <w:p w14:paraId="64271E70">
      <w:pPr>
        <w:spacing w:after="8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7310"/>
      </w:tblGrid>
      <w:tr w14:paraId="7D1BC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shd w:val="clear" w:color="auto" w:fill="2C3E50"/>
          </w:tcPr>
          <w:p w14:paraId="0A885AE1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7310" w:type="dxa"/>
            <w:shd w:val="clear" w:color="auto" w:fill="2C3E50"/>
          </w:tcPr>
          <w:p w14:paraId="4DE69980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61E01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627EBDB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定义</w:t>
            </w:r>
          </w:p>
        </w:tc>
        <w:tc>
          <w:tcPr>
            <w:tcW w:w="7310" w:type="dxa"/>
          </w:tcPr>
          <w:p w14:paraId="72D526D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以SDK/API即插即用方式，将ROBOX System 1/0端侧模型（含触觉模块）嵌入本体厂商平台。本体厂商保持自主品牌和客户关系，ROBOX做"手眼脑协同脑区"而非"全脑"。</w:t>
            </w:r>
          </w:p>
        </w:tc>
      </w:tr>
      <w:tr w14:paraId="2828B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709DC2D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标杆案例</w:t>
            </w:r>
          </w:p>
        </w:tc>
        <w:tc>
          <w:tcPr>
            <w:tcW w:w="7310" w:type="dxa"/>
          </w:tcPr>
          <w:p w14:paraId="7F2508F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Skild AI（估值150亿美元）× ABB/UR/NVIDIA合作——Skild Brain嵌入主流机器人平台，不造本体</w:t>
            </w:r>
          </w:p>
        </w:tc>
      </w:tr>
      <w:tr w14:paraId="4CDD1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15CD65B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锁定机制</w:t>
            </w:r>
          </w:p>
        </w:tc>
        <w:tc>
          <w:tcPr>
            <w:tcW w:w="7310" w:type="dxa"/>
          </w:tcPr>
          <w:p w14:paraId="6F60CBE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算法锁定：System 1/0端侧模型专有算法不可复制</w:t>
            </w:r>
          </w:p>
        </w:tc>
      </w:tr>
      <w:tr w14:paraId="602E9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750C5AE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ROBOX独特优势</w:t>
            </w:r>
          </w:p>
        </w:tc>
        <w:tc>
          <w:tcPr>
            <w:tcW w:w="7310" w:type="dxa"/>
          </w:tcPr>
          <w:p w14:paraId="634FEA7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与本体厂商互补非竞争——像GPU驱动程序不与操作系统竞争，而是成为所有操作系统都需要的一部分。可同时接入越疆、擎朗、Skild Brain、NVIDIA GR00T等多个平台。</w:t>
            </w:r>
          </w:p>
        </w:tc>
      </w:tr>
      <w:tr w14:paraId="2156D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3516EF8D">
            <w:pPr>
              <w:spacing w:after="0" w:line="240" w:lineRule="auto"/>
              <w:rPr>
                <w:color w:val="0000FF"/>
              </w:rPr>
            </w:pPr>
            <w:r>
              <w:rPr>
                <w:rFonts w:hint="eastAsia" w:ascii="微软雅黑" w:hAnsi="微软雅黑" w:eastAsia="微软雅黑"/>
                <w:color w:val="0000FF"/>
                <w:sz w:val="19"/>
              </w:rPr>
              <w:t>收入模式</w:t>
            </w:r>
          </w:p>
        </w:tc>
        <w:tc>
          <w:tcPr>
            <w:tcW w:w="7310" w:type="dxa"/>
          </w:tcPr>
          <w:p w14:paraId="539C8426">
            <w:pPr>
              <w:spacing w:after="0" w:line="240" w:lineRule="auto"/>
              <w:rPr>
                <w:color w:val="0000FF"/>
              </w:rPr>
            </w:pPr>
            <w:r>
              <w:rPr>
                <w:rFonts w:hint="eastAsia" w:ascii="微软雅黑" w:hAnsi="微软雅黑" w:eastAsia="微软雅黑"/>
                <w:color w:val="0000FF"/>
                <w:sz w:val="19"/>
              </w:rPr>
              <w:t>按设备数License收费，单台500-2000元/年</w:t>
            </w:r>
          </w:p>
        </w:tc>
      </w:tr>
    </w:tbl>
    <w:p w14:paraId="505CCDB1">
      <w:pPr>
        <w:spacing w:after="80"/>
      </w:pPr>
    </w:p>
    <w:p w14:paraId="3302BDC0">
      <w:pPr>
        <w:pStyle w:val="4"/>
      </w:pPr>
      <w:r>
        <w:rPr>
          <w:rFonts w:hint="eastAsia" w:ascii="微软雅黑" w:hAnsi="微软雅黑" w:eastAsia="微软雅黑"/>
          <w:color w:val="34495E"/>
        </w:rPr>
        <w:t>范式2  三方联合方案</w:t>
      </w:r>
    </w:p>
    <w:p w14:paraId="5C130C2E">
      <w:pPr>
        <w:spacing w:after="80"/>
      </w:pPr>
      <w:r>
        <w:rPr>
          <w:rFonts w:hint="eastAsia" w:ascii="微软雅黑" w:hAnsi="微软雅黑" w:eastAsia="微软雅黑"/>
          <w:b/>
          <w:color w:val="E74C3C"/>
          <w:sz w:val="20"/>
        </w:rPr>
        <w:t>适用阶段：Phase 1-2（0-12个月）</w:t>
      </w:r>
    </w:p>
    <w:p w14:paraId="1C84DD54">
      <w:pPr>
        <w:spacing w:after="8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5386"/>
      </w:tblGrid>
      <w:tr w14:paraId="24F04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C3E50"/>
          </w:tcPr>
          <w:p w14:paraId="62D52E83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5386" w:type="dxa"/>
            <w:shd w:val="clear" w:color="auto" w:fill="2C3E50"/>
          </w:tcPr>
          <w:p w14:paraId="00024D2D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3E54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6B83FA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定义</w:t>
            </w:r>
          </w:p>
        </w:tc>
        <w:tc>
          <w:tcPr>
            <w:tcW w:w="5386" w:type="dxa"/>
          </w:tcPr>
          <w:p w14:paraId="433BEFE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ROBOX + 本体厂商 + 场景方三方联合，ROBOX做技术"胶水"——提供大脑算法+触觉模块+手眼脑协同SDK，本体厂商提供硬件，场景方提供需求和数据。</w:t>
            </w:r>
          </w:p>
        </w:tc>
      </w:tr>
      <w:tr w14:paraId="7E918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C3549F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标杆案例</w:t>
            </w:r>
          </w:p>
        </w:tc>
        <w:tc>
          <w:tcPr>
            <w:tcW w:w="5386" w:type="dxa"/>
          </w:tcPr>
          <w:p w14:paraId="1A06264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星源智造 × 中力机械叉车——算法公司+本体厂商+场景方三方联合，算法公司做总集成</w:t>
            </w:r>
          </w:p>
        </w:tc>
      </w:tr>
      <w:tr w14:paraId="7970B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CEF56B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锁定机制</w:t>
            </w:r>
          </w:p>
        </w:tc>
        <w:tc>
          <w:tcPr>
            <w:tcW w:w="5386" w:type="dxa"/>
          </w:tcPr>
          <w:p w14:paraId="27B8CEE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方案锁定：联合方案的客户关系由ROBOX掌控，方案不可拆分</w:t>
            </w:r>
          </w:p>
        </w:tc>
      </w:tr>
      <w:tr w14:paraId="296DA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D59DBC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ROBOX独特优势</w:t>
            </w:r>
          </w:p>
        </w:tc>
        <w:tc>
          <w:tcPr>
            <w:tcW w:w="5386" w:type="dxa"/>
          </w:tcPr>
          <w:p w14:paraId="492627B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ROBOX掌握客户界面，本体厂商变为供应商。通过场景落地积累领域数据，反哺模型迭代。</w:t>
            </w:r>
          </w:p>
        </w:tc>
      </w:tr>
      <w:tr w14:paraId="45EA1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86A6498">
            <w:pPr>
              <w:spacing w:after="0" w:line="240" w:lineRule="auto"/>
              <w:rPr>
                <w:color w:val="0000FF"/>
              </w:rPr>
            </w:pPr>
            <w:r>
              <w:rPr>
                <w:rFonts w:hint="eastAsia" w:ascii="微软雅黑" w:hAnsi="微软雅黑" w:eastAsia="微软雅黑"/>
                <w:color w:val="0000FF"/>
                <w:sz w:val="19"/>
              </w:rPr>
              <w:t>收入模式</w:t>
            </w:r>
          </w:p>
        </w:tc>
        <w:tc>
          <w:tcPr>
            <w:tcW w:w="5386" w:type="dxa"/>
          </w:tcPr>
          <w:p w14:paraId="0B877C00">
            <w:pPr>
              <w:spacing w:after="0" w:line="240" w:lineRule="auto"/>
              <w:rPr>
                <w:color w:val="0000FF"/>
              </w:rPr>
            </w:pPr>
            <w:r>
              <w:rPr>
                <w:rFonts w:hint="eastAsia" w:ascii="微软雅黑" w:hAnsi="微软雅黑" w:eastAsia="微软雅黑"/>
                <w:color w:val="0000FF"/>
                <w:sz w:val="19"/>
              </w:rPr>
              <w:t>项目制收费，单项目200-500万；含年度服务费</w:t>
            </w:r>
          </w:p>
        </w:tc>
      </w:tr>
    </w:tbl>
    <w:p w14:paraId="55AFC472">
      <w:pPr>
        <w:spacing w:after="8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</w:t>
      </w:r>
    </w:p>
    <w:p w14:paraId="11952980">
      <w:pPr>
        <w:pStyle w:val="4"/>
      </w:pPr>
      <w:r>
        <w:rPr>
          <w:rFonts w:hint="eastAsia" w:ascii="微软雅黑" w:hAnsi="微软雅黑" w:eastAsia="微软雅黑"/>
          <w:color w:val="34495E"/>
        </w:rPr>
        <w:t>范式3  联合定义 + Co-design</w:t>
      </w:r>
    </w:p>
    <w:p w14:paraId="41C1420A">
      <w:pPr>
        <w:spacing w:after="80"/>
      </w:pPr>
      <w:r>
        <w:rPr>
          <w:rFonts w:hint="eastAsia" w:ascii="微软雅黑" w:hAnsi="微软雅黑" w:eastAsia="微软雅黑"/>
          <w:b/>
          <w:color w:val="E74C3C"/>
          <w:sz w:val="20"/>
        </w:rPr>
        <w:t>适用阶段：Phase 2（6-18个月）</w:t>
      </w:r>
    </w:p>
    <w:p w14:paraId="57007A78">
      <w:pPr>
        <w:spacing w:after="8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5386"/>
      </w:tblGrid>
      <w:tr w14:paraId="73EA6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C3E50"/>
          </w:tcPr>
          <w:p w14:paraId="4328CD4E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5386" w:type="dxa"/>
            <w:shd w:val="clear" w:color="auto" w:fill="2C3E50"/>
          </w:tcPr>
          <w:p w14:paraId="478815E9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10F30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EAD38A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定义</w:t>
            </w:r>
          </w:p>
        </w:tc>
        <w:tc>
          <w:tcPr>
            <w:tcW w:w="5386" w:type="dxa"/>
          </w:tcPr>
          <w:p w14:paraId="4EA6576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从硬件设计阶段介入，与本体厂商联合定义产品规格。</w:t>
            </w:r>
            <w:r>
              <w:rPr>
                <w:rFonts w:hint="eastAsia" w:ascii="微软雅黑" w:hAnsi="微软雅黑" w:eastAsia="微软雅黑"/>
                <w:color w:val="0000FF"/>
                <w:sz w:val="19"/>
                <w:highlight w:val="yellow"/>
              </w:rPr>
              <w:t>ROBOX的算法需求直接驱动硬件设计——传感器布局、运动控制参数、灵巧手自由度等均围绕System 1/0模型优化。</w:t>
            </w:r>
          </w:p>
        </w:tc>
      </w:tr>
      <w:tr w14:paraId="6CE24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43459E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标杆案例</w:t>
            </w:r>
          </w:p>
        </w:tc>
        <w:tc>
          <w:tcPr>
            <w:tcW w:w="5386" w:type="dxa"/>
          </w:tcPr>
          <w:p w14:paraId="14BE208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手机行业"芯片+系统+算法"绑定模式——高通骁龙+安卓+厂商深度定制，3-4年不可替换</w:t>
            </w:r>
          </w:p>
        </w:tc>
      </w:tr>
      <w:tr w14:paraId="36D31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1A993C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锁定机制</w:t>
            </w:r>
          </w:p>
        </w:tc>
        <w:tc>
          <w:tcPr>
            <w:tcW w:w="5386" w:type="dxa"/>
          </w:tcPr>
          <w:p w14:paraId="4E31DDD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color w:val="0000FF"/>
                <w:sz w:val="19"/>
                <w:highlight w:val="yellow"/>
              </w:rPr>
              <w:t>硬件锁定：</w:t>
            </w:r>
            <w:r>
              <w:rPr>
                <w:rFonts w:hint="eastAsia" w:ascii="微软雅黑" w:hAnsi="微软雅黑" w:eastAsia="微软雅黑"/>
                <w:sz w:val="19"/>
              </w:rPr>
              <w:t>硬件围绕算法设计，更换算法需重新设计硬件，3-4年不可替换</w:t>
            </w:r>
          </w:p>
        </w:tc>
      </w:tr>
      <w:tr w14:paraId="17764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1BC89A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ROBOX独特优势</w:t>
            </w:r>
          </w:p>
        </w:tc>
        <w:tc>
          <w:tcPr>
            <w:tcW w:w="5386" w:type="dxa"/>
          </w:tcPr>
          <w:p w14:paraId="39AE4E6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ROBOX与因诺特co-design灵巧手已有基础。一旦硬件围绕System 1/0设计，竞争对手的算法无法直接适配——物理接口、传感器模态、控制频率均已深度耦合。</w:t>
            </w:r>
          </w:p>
        </w:tc>
      </w:tr>
      <w:tr w14:paraId="7DC6B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17CCDDD">
            <w:pPr>
              <w:spacing w:after="0" w:line="240" w:lineRule="auto"/>
              <w:rPr>
                <w:color w:val="0000FF"/>
                <w:highlight w:val="yellow"/>
              </w:rPr>
            </w:pPr>
            <w:r>
              <w:rPr>
                <w:rFonts w:hint="eastAsia" w:ascii="微软雅黑" w:hAnsi="微软雅黑" w:eastAsia="微软雅黑"/>
                <w:color w:val="0000FF"/>
                <w:sz w:val="19"/>
                <w:highlight w:val="yellow"/>
              </w:rPr>
              <w:t>收入模式</w:t>
            </w:r>
          </w:p>
        </w:tc>
        <w:tc>
          <w:tcPr>
            <w:tcW w:w="5386" w:type="dxa"/>
          </w:tcPr>
          <w:p w14:paraId="2C9215C8">
            <w:pPr>
              <w:spacing w:after="0" w:line="240" w:lineRule="auto"/>
              <w:rPr>
                <w:color w:val="0000FF"/>
                <w:highlight w:val="yellow"/>
              </w:rPr>
            </w:pPr>
            <w:r>
              <w:rPr>
                <w:rFonts w:hint="eastAsia" w:ascii="微软雅黑" w:hAnsi="微软雅黑" w:eastAsia="微软雅黑"/>
                <w:color w:val="0000FF"/>
                <w:sz w:val="19"/>
                <w:highlight w:val="yellow"/>
              </w:rPr>
              <w:t>Co-design授权费+量产分成，单产品线500-2000万</w:t>
            </w:r>
          </w:p>
        </w:tc>
      </w:tr>
    </w:tbl>
    <w:p w14:paraId="48C2AD4D">
      <w:pPr>
        <w:spacing w:after="80"/>
      </w:pPr>
    </w:p>
    <w:p w14:paraId="3A894AB9">
      <w:pPr>
        <w:pStyle w:val="4"/>
      </w:pPr>
      <w:r>
        <w:rPr>
          <w:rFonts w:hint="eastAsia" w:ascii="微软雅黑" w:hAnsi="微软雅黑" w:eastAsia="微软雅黑"/>
          <w:color w:val="34495E"/>
        </w:rPr>
        <w:t>范式4  引望模式 — 股权锁定</w:t>
      </w:r>
    </w:p>
    <w:p w14:paraId="40DEC1FB">
      <w:pPr>
        <w:spacing w:after="80"/>
      </w:pPr>
      <w:r>
        <w:rPr>
          <w:rFonts w:hint="eastAsia" w:ascii="微软雅黑" w:hAnsi="微软雅黑" w:eastAsia="微软雅黑"/>
          <w:b/>
          <w:color w:val="E74C3C"/>
          <w:sz w:val="20"/>
        </w:rPr>
        <w:t>适用阶段：Phase 2-3（12-24个月）</w:t>
      </w:r>
    </w:p>
    <w:p w14:paraId="6A4C756B">
      <w:pPr>
        <w:spacing w:after="8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5386"/>
      </w:tblGrid>
      <w:tr w14:paraId="7F19A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C3E50"/>
          </w:tcPr>
          <w:p w14:paraId="71F8A61C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5386" w:type="dxa"/>
            <w:shd w:val="clear" w:color="auto" w:fill="2C3E50"/>
          </w:tcPr>
          <w:p w14:paraId="7479A443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6803E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7697A8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定义</w:t>
            </w:r>
          </w:p>
        </w:tc>
        <w:tc>
          <w:tcPr>
            <w:tcW w:w="5386" w:type="dxa"/>
          </w:tcPr>
          <w:p w14:paraId="414942E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引入大客户（长虹集团、文旅集团等）或大平台（阿里、字节）作为战略股东，通过股权关系锁定长期合作。大客户既是场景方又是股东，利益深度绑定。</w:t>
            </w:r>
          </w:p>
        </w:tc>
      </w:tr>
      <w:tr w14:paraId="617D6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2A2488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标杆案例</w:t>
            </w:r>
          </w:p>
        </w:tc>
        <w:tc>
          <w:tcPr>
            <w:tcW w:w="5386" w:type="dxa"/>
          </w:tcPr>
          <w:p w14:paraId="6598084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星源智造 × 智元/乐聚互持股权；华为引望模式——大客户入股技术供应商</w:t>
            </w:r>
          </w:p>
        </w:tc>
      </w:tr>
      <w:tr w14:paraId="53603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2830CF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锁定机制</w:t>
            </w:r>
          </w:p>
        </w:tc>
        <w:tc>
          <w:tcPr>
            <w:tcW w:w="5386" w:type="dxa"/>
          </w:tcPr>
          <w:p w14:paraId="3DE6B48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股权锁定：战略股东身份确保长期采购+排他性合作</w:t>
            </w:r>
          </w:p>
        </w:tc>
      </w:tr>
      <w:tr w14:paraId="1CDF9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BC763A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ROBOX独特优势</w:t>
            </w:r>
          </w:p>
        </w:tc>
        <w:tc>
          <w:tcPr>
            <w:tcW w:w="5386" w:type="dxa"/>
          </w:tcPr>
          <w:p w14:paraId="01D5A51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ROBOX下一轮融资（40-50亿估值）是引入战略股东最佳时机。长虹已有合作基础，可率先探讨股权合作。</w:t>
            </w:r>
          </w:p>
        </w:tc>
      </w:tr>
      <w:tr w14:paraId="0B78F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79F1778">
            <w:pPr>
              <w:spacing w:after="0" w:line="240" w:lineRule="auto"/>
              <w:rPr>
                <w:color w:val="0000FF"/>
                <w:highlight w:val="yellow"/>
              </w:rPr>
            </w:pPr>
            <w:r>
              <w:rPr>
                <w:rFonts w:hint="eastAsia" w:ascii="微软雅黑" w:hAnsi="微软雅黑" w:eastAsia="微软雅黑"/>
                <w:color w:val="0000FF"/>
                <w:sz w:val="19"/>
                <w:highlight w:val="yellow"/>
              </w:rPr>
              <w:t>收入模式</w:t>
            </w:r>
          </w:p>
        </w:tc>
        <w:tc>
          <w:tcPr>
            <w:tcW w:w="5386" w:type="dxa"/>
          </w:tcPr>
          <w:p w14:paraId="7FD288F8">
            <w:pPr>
              <w:spacing w:after="0" w:line="240" w:lineRule="auto"/>
              <w:rPr>
                <w:color w:val="0000FF"/>
                <w:highlight w:val="yellow"/>
              </w:rPr>
            </w:pPr>
            <w:r>
              <w:rPr>
                <w:rFonts w:hint="eastAsia" w:ascii="微软雅黑" w:hAnsi="微软雅黑" w:eastAsia="微软雅黑"/>
                <w:color w:val="0000FF"/>
                <w:sz w:val="19"/>
                <w:highlight w:val="yellow"/>
              </w:rPr>
              <w:t>股权融资+战略采购合同绑定</w:t>
            </w:r>
          </w:p>
        </w:tc>
      </w:tr>
    </w:tbl>
    <w:p w14:paraId="504DDD14">
      <w:pPr>
        <w:spacing w:after="80"/>
      </w:pPr>
    </w:p>
    <w:p w14:paraId="49AD49D7">
      <w:pPr>
        <w:pStyle w:val="4"/>
      </w:pPr>
      <w:r>
        <w:rPr>
          <w:rFonts w:hint="eastAsia" w:ascii="微软雅黑" w:hAnsi="微软雅黑" w:eastAsia="微软雅黑"/>
          <w:color w:val="34495E"/>
        </w:rPr>
        <w:t>范式5  直接面对场景方</w:t>
      </w:r>
    </w:p>
    <w:p w14:paraId="5BD319F6">
      <w:pPr>
        <w:spacing w:after="80"/>
      </w:pPr>
      <w:r>
        <w:rPr>
          <w:rFonts w:hint="eastAsia" w:ascii="微软雅黑" w:hAnsi="微软雅黑" w:eastAsia="微软雅黑"/>
          <w:b/>
          <w:color w:val="E74C3C"/>
          <w:sz w:val="20"/>
        </w:rPr>
        <w:t>适用阶段：Phase 1-2（0-12个月）</w:t>
      </w:r>
    </w:p>
    <w:p w14:paraId="7CF03094">
      <w:pPr>
        <w:spacing w:after="8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5386"/>
      </w:tblGrid>
      <w:tr w14:paraId="47C6C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C3E50"/>
          </w:tcPr>
          <w:p w14:paraId="7AF88391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5386" w:type="dxa"/>
            <w:shd w:val="clear" w:color="auto" w:fill="2C3E50"/>
          </w:tcPr>
          <w:p w14:paraId="3BF6C121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6AA5C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F06B62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定义</w:t>
            </w:r>
          </w:p>
        </w:tc>
        <w:tc>
          <w:tcPr>
            <w:tcW w:w="5386" w:type="dxa"/>
          </w:tcPr>
          <w:p w14:paraId="3043D61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ROBOX直接作为总集成商面对场景方（酒店、餐饮、文旅），本体厂商变为ROBOX的硬件供应商。ROBOX掌控客户关系、方案设计和数据回流全链路。</w:t>
            </w:r>
          </w:p>
        </w:tc>
      </w:tr>
      <w:tr w14:paraId="5C0F1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0BCF6F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标杆案例</w:t>
            </w:r>
          </w:p>
        </w:tc>
        <w:tc>
          <w:tcPr>
            <w:tcW w:w="5386" w:type="dxa"/>
          </w:tcPr>
          <w:p w14:paraId="50931F7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星源智造 × 中力机械 + 亦邦机器人——算法公司做总集成商，硬件厂商变供应商</w:t>
            </w:r>
          </w:p>
        </w:tc>
      </w:tr>
      <w:tr w14:paraId="524D8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949D5F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锁定机制</w:t>
            </w:r>
          </w:p>
        </w:tc>
        <w:tc>
          <w:tcPr>
            <w:tcW w:w="5386" w:type="dxa"/>
          </w:tcPr>
          <w:p w14:paraId="0800FB2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客户锁定：场景方客户关系由ROBOX直接掌控</w:t>
            </w:r>
          </w:p>
        </w:tc>
      </w:tr>
      <w:tr w14:paraId="15754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57C7FA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ROBOX独特优势</w:t>
            </w:r>
          </w:p>
        </w:tc>
        <w:tc>
          <w:tcPr>
            <w:tcW w:w="5386" w:type="dxa"/>
          </w:tcPr>
          <w:p w14:paraId="75B0764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通过长虹集团SI合作基础，ROBOX可直接触达酒店/文旅场景。掌握客户界面意味着掌握数据回流入口——这是数据飞轮的关键。</w:t>
            </w:r>
          </w:p>
        </w:tc>
      </w:tr>
      <w:tr w14:paraId="240E1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CB29D0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收入模式</w:t>
            </w:r>
          </w:p>
        </w:tc>
        <w:tc>
          <w:tcPr>
            <w:tcW w:w="5386" w:type="dxa"/>
          </w:tcPr>
          <w:p w14:paraId="6DDBB0F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解决方案销售+年度运维+数据服务</w:t>
            </w:r>
          </w:p>
        </w:tc>
      </w:tr>
    </w:tbl>
    <w:p w14:paraId="35A92133">
      <w:pPr>
        <w:spacing w:after="80"/>
      </w:pPr>
    </w:p>
    <w:p w14:paraId="44BE351B">
      <w:r>
        <w:t>飞机餐/高铁零食装配：年20-30亿盒装盒量，阿姨在装。精度要求不高、速度要求不高——"很好的场景"。适合Phase 1-2快速落地验证。</w:t>
      </w:r>
    </w:p>
    <w:p w14:paraId="1AE3B524">
      <w:r>
        <w:t>康复按摩：用人戴触觉手套学习优秀康复师手法 → 转为机器人技能。与港大医学院合作。"康复师很贵，培训</w:t>
      </w:r>
      <w:r>
        <w:rPr>
          <w:rFonts w:hint="eastAsia" w:eastAsia="宋体"/>
          <w:lang w:val="en-US" w:eastAsia="zh-CN"/>
        </w:rPr>
        <w:t>后</w:t>
      </w:r>
      <w:r>
        <w:t>一个也留不住"——触觉数据是核心差异化能力。</w:t>
      </w:r>
    </w:p>
    <w:p w14:paraId="1DD679AB">
      <w:pPr>
        <w:pStyle w:val="5"/>
      </w:pPr>
      <w:r>
        <w:t>新增场景（基于多维资本Fanny会议明修补充）</w:t>
      </w:r>
    </w:p>
    <w:p w14:paraId="034AD8E7">
      <w:pPr>
        <w:pStyle w:val="4"/>
      </w:pPr>
      <w:r>
        <w:rPr>
          <w:rFonts w:hint="eastAsia" w:ascii="微软雅黑" w:hAnsi="微软雅黑" w:eastAsia="微软雅黑"/>
          <w:color w:val="34495E"/>
        </w:rPr>
        <w:t>范式6  数据飞轮内循环</w:t>
      </w:r>
    </w:p>
    <w:p w14:paraId="1633C88A">
      <w:pPr>
        <w:spacing w:after="80"/>
      </w:pPr>
      <w:r>
        <w:rPr>
          <w:rFonts w:hint="eastAsia" w:ascii="微软雅黑" w:hAnsi="微软雅黑" w:eastAsia="微软雅黑"/>
          <w:b/>
          <w:color w:val="E74C3C"/>
          <w:sz w:val="20"/>
        </w:rPr>
        <w:t>适用阶段：Phase 2-3（6-24个月）</w:t>
      </w:r>
    </w:p>
    <w:p w14:paraId="4AC24981">
      <w:pPr>
        <w:spacing w:after="8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7412"/>
      </w:tblGrid>
      <w:tr w14:paraId="30425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3" w:type="dxa"/>
            <w:shd w:val="clear" w:color="auto" w:fill="2C3E50"/>
          </w:tcPr>
          <w:p w14:paraId="69514F46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7412" w:type="dxa"/>
            <w:shd w:val="clear" w:color="auto" w:fill="2C3E50"/>
          </w:tcPr>
          <w:p w14:paraId="1F76C41A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7DC58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3" w:type="dxa"/>
          </w:tcPr>
          <w:p w14:paraId="4B05EAD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定义</w:t>
            </w:r>
          </w:p>
        </w:tc>
        <w:tc>
          <w:tcPr>
            <w:tcW w:w="7412" w:type="dxa"/>
          </w:tcPr>
          <w:p w14:paraId="6C67059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以"数据换部署权"——ROBOX向场景方免费或低价部署系统，换取场景数据采集权。数据回流训练更强模型，更强模型吸引更多场景部署，形成正向循环。</w:t>
            </w:r>
          </w:p>
        </w:tc>
      </w:tr>
      <w:tr w14:paraId="2D79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3" w:type="dxa"/>
          </w:tcPr>
          <w:p w14:paraId="13E184A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标杆案例</w:t>
            </w:r>
          </w:p>
        </w:tc>
        <w:tc>
          <w:tcPr>
            <w:tcW w:w="7412" w:type="dxa"/>
          </w:tcPr>
          <w:p w14:paraId="32ED77C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Skild Brain data flywheel——部署越多→数据越多→模型越强→部署更多</w:t>
            </w:r>
          </w:p>
        </w:tc>
      </w:tr>
      <w:tr w14:paraId="6FA7D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3" w:type="dxa"/>
          </w:tcPr>
          <w:p w14:paraId="2D3B3E2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锁定机制</w:t>
            </w:r>
          </w:p>
        </w:tc>
        <w:tc>
          <w:tcPr>
            <w:tcW w:w="7412" w:type="dxa"/>
          </w:tcPr>
          <w:p w14:paraId="5E829DD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数据锁定：Ego+触觉数据网络效应，越积累越强，后入场者无数据可训；数据飞轮内循环增强模型，不做数据倒卖</w:t>
            </w:r>
          </w:p>
        </w:tc>
      </w:tr>
      <w:tr w14:paraId="335C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3" w:type="dxa"/>
          </w:tcPr>
          <w:p w14:paraId="017DBE6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ROBOX独特优势</w:t>
            </w:r>
          </w:p>
        </w:tc>
        <w:tc>
          <w:tcPr>
            <w:tcW w:w="7412" w:type="dxa"/>
          </w:tcPr>
          <w:p w14:paraId="108E732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ROBOX数据飞轮比Skild更强——触觉数据全行业最稀缺。竞争对手即使复制算法，也无法复制数据网络。Ego数据先发6-12个月，ViLoS消融实验已证明数据贡献可量化（4.4%→90.6%）。</w:t>
            </w:r>
          </w:p>
        </w:tc>
      </w:tr>
      <w:tr w14:paraId="1EBAF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3" w:type="dxa"/>
          </w:tcPr>
          <w:p w14:paraId="4804750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收入模式</w:t>
            </w:r>
          </w:p>
        </w:tc>
        <w:tc>
          <w:tcPr>
            <w:tcW w:w="7412" w:type="dxa"/>
          </w:tcPr>
          <w:p w14:paraId="195BA2A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模型增强溢价：数据飞轮内循环驱动License阶梯定价，数据不外售；场景数据服务仅限合作伙伴内部分析用</w:t>
            </w:r>
          </w:p>
        </w:tc>
      </w:tr>
    </w:tbl>
    <w:p w14:paraId="0BFD9833">
      <w:r>
        <w:t>明修明确立场："我知道出来做数据绝对很赚钱，但不卖；不可持续、非主流的"。数据飞轮是内循环增强模型能力，不是数据倒卖。与光轮智能/无问智科等数据服务公司的根本区别：ROBOX的数据是护城河资产，不是商品。</w:t>
      </w:r>
    </w:p>
    <w:p w14:paraId="2322D03E">
      <w:pPr>
        <w:spacing w:after="80"/>
      </w:pPr>
    </w:p>
    <w:p w14:paraId="649D6FDA">
      <w:pPr>
        <w:pStyle w:val="4"/>
      </w:pPr>
      <w:r>
        <w:rPr>
          <w:rFonts w:hint="eastAsia" w:ascii="微软雅黑" w:hAnsi="微软雅黑" w:eastAsia="微软雅黑"/>
          <w:color w:val="34495E"/>
        </w:rPr>
        <w:t>范式7  标准 / 认证体系</w:t>
      </w:r>
    </w:p>
    <w:p w14:paraId="0F730750">
      <w:pPr>
        <w:spacing w:after="80"/>
      </w:pPr>
      <w:r>
        <w:rPr>
          <w:rFonts w:hint="eastAsia" w:ascii="微软雅黑" w:hAnsi="微软雅黑" w:eastAsia="微软雅黑"/>
          <w:b/>
          <w:color w:val="E74C3C"/>
          <w:sz w:val="20"/>
        </w:rPr>
        <w:t>适用阶段：Phase 3（18-36个月，终局）</w:t>
      </w:r>
    </w:p>
    <w:p w14:paraId="7BDF747C">
      <w:pPr>
        <w:spacing w:after="8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7410"/>
      </w:tblGrid>
      <w:tr w14:paraId="13FA7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shd w:val="clear" w:color="auto" w:fill="2C3E50"/>
          </w:tcPr>
          <w:p w14:paraId="13824369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7410" w:type="dxa"/>
            <w:shd w:val="clear" w:color="auto" w:fill="2C3E50"/>
          </w:tcPr>
          <w:p w14:paraId="2D8786C5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7530D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</w:tcPr>
          <w:p w14:paraId="580D68B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定义</w:t>
            </w:r>
          </w:p>
        </w:tc>
        <w:tc>
          <w:tcPr>
            <w:tcW w:w="7410" w:type="dxa"/>
          </w:tcPr>
          <w:p w14:paraId="655BF95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发布"Powered by ROBOX"认证体系，定义"手眼脑协同增强"行业标准。通过tech report发布、开源生态建设、行业标准制定，将ROBOX技术能力固化为行业基础设施。</w:t>
            </w:r>
          </w:p>
        </w:tc>
      </w:tr>
      <w:tr w14:paraId="2787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</w:tcPr>
          <w:p w14:paraId="5B5879C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标杆案例</w:t>
            </w:r>
          </w:p>
        </w:tc>
        <w:tc>
          <w:tcPr>
            <w:tcW w:w="7410" w:type="dxa"/>
          </w:tcPr>
          <w:p w14:paraId="032993D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NVIDIA "CUDA Compatible"/ARM架构授权/Intel Inside——技术标准成为行业基础设施</w:t>
            </w:r>
          </w:p>
        </w:tc>
      </w:tr>
      <w:tr w14:paraId="4168E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</w:tcPr>
          <w:p w14:paraId="664B22C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锁定机制</w:t>
            </w:r>
          </w:p>
        </w:tc>
        <w:tc>
          <w:tcPr>
            <w:tcW w:w="7410" w:type="dxa"/>
          </w:tcPr>
          <w:p w14:paraId="7C8B908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标准锁定：定义"手眼脑协同增强"行业标准，通过认证体系锁定全行业</w:t>
            </w:r>
          </w:p>
        </w:tc>
      </w:tr>
      <w:tr w14:paraId="76440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</w:tcPr>
          <w:p w14:paraId="6EC9AD2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ROBOX独特优势</w:t>
            </w:r>
          </w:p>
        </w:tc>
        <w:tc>
          <w:tcPr>
            <w:tcW w:w="7410" w:type="dxa"/>
          </w:tcPr>
          <w:p w14:paraId="242A675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所有模型已Apache 2.0开源，开源生态先发优势。参与国地中心联盟/OpenLoong开源社区，争取触觉数据标准话语权。一旦标准建立，竞争对手需适配ROBOX标准而非反之。</w:t>
            </w:r>
          </w:p>
        </w:tc>
      </w:tr>
      <w:tr w14:paraId="498C6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</w:tcPr>
          <w:p w14:paraId="1E83FE29">
            <w:pPr>
              <w:spacing w:after="0" w:line="240" w:lineRule="auto"/>
              <w:rPr>
                <w:color w:val="0000FF"/>
                <w:highlight w:val="yellow"/>
              </w:rPr>
            </w:pPr>
            <w:r>
              <w:rPr>
                <w:rFonts w:hint="eastAsia" w:ascii="微软雅黑" w:hAnsi="微软雅黑" w:eastAsia="微软雅黑"/>
                <w:color w:val="0000FF"/>
                <w:sz w:val="19"/>
                <w:highlight w:val="yellow"/>
              </w:rPr>
              <w:t>收入模式</w:t>
            </w:r>
          </w:p>
        </w:tc>
        <w:tc>
          <w:tcPr>
            <w:tcW w:w="7410" w:type="dxa"/>
          </w:tcPr>
          <w:p w14:paraId="7BA0EE38">
            <w:pPr>
              <w:spacing w:after="0" w:line="240" w:lineRule="auto"/>
              <w:rPr>
                <w:color w:val="0000FF"/>
                <w:highlight w:val="yellow"/>
              </w:rPr>
            </w:pPr>
            <w:r>
              <w:rPr>
                <w:rFonts w:hint="eastAsia" w:ascii="微软雅黑" w:hAnsi="微软雅黑" w:eastAsia="微软雅黑"/>
                <w:color w:val="0000FF"/>
                <w:sz w:val="19"/>
                <w:highlight w:val="yellow"/>
              </w:rPr>
              <w:t>认证授权费+标准专利池+生态分成</w:t>
            </w:r>
          </w:p>
        </w:tc>
      </w:tr>
    </w:tbl>
    <w:p w14:paraId="6AA858EC">
      <w:pPr>
        <w:spacing w:after="80"/>
      </w:pPr>
    </w:p>
    <w:p w14:paraId="2285D4A0">
      <w:r>
        <w:br w:type="page"/>
      </w:r>
    </w:p>
    <w:p w14:paraId="443D62EF">
      <w:pPr>
        <w:pStyle w:val="3"/>
      </w:pPr>
      <w:r>
        <w:rPr>
          <w:rFonts w:hint="eastAsia" w:ascii="微软雅黑" w:hAnsi="微软雅黑" w:eastAsia="微软雅黑"/>
          <w:color w:val="2C3E50"/>
        </w:rPr>
        <w:t>第三部分  三重锁定机制</w:t>
      </w:r>
    </w:p>
    <w:p w14:paraId="31DB661D">
      <w:pPr>
        <w:spacing w:after="80"/>
      </w:pPr>
      <w:r>
        <w:rPr>
          <w:rFonts w:hint="eastAsia" w:ascii="微软雅黑" w:hAnsi="微软雅黑" w:eastAsia="微软雅黑"/>
          <w:b w:val="0"/>
          <w:sz w:val="21"/>
        </w:rPr>
        <w:t>三重锁定是七种范式的底层支撑——每层锁定对应不同的竞争壁垒，由浅入深构成递进式护城河。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1134"/>
        <w:gridCol w:w="1134"/>
        <w:gridCol w:w="1134"/>
      </w:tblGrid>
      <w:tr w14:paraId="16E24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C3E50"/>
          </w:tcPr>
          <w:p w14:paraId="638A9E0C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锁定层级</w:t>
            </w:r>
          </w:p>
        </w:tc>
        <w:tc>
          <w:tcPr>
            <w:tcW w:w="2268" w:type="dxa"/>
            <w:shd w:val="clear" w:color="auto" w:fill="2C3E50"/>
          </w:tcPr>
          <w:p w14:paraId="614A6F87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机制</w:t>
            </w:r>
          </w:p>
        </w:tc>
        <w:tc>
          <w:tcPr>
            <w:tcW w:w="1134" w:type="dxa"/>
            <w:shd w:val="clear" w:color="auto" w:fill="2C3E50"/>
          </w:tcPr>
          <w:p w14:paraId="65357E92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壁垒强度</w:t>
            </w:r>
          </w:p>
        </w:tc>
        <w:tc>
          <w:tcPr>
            <w:tcW w:w="1134" w:type="dxa"/>
            <w:shd w:val="clear" w:color="auto" w:fill="2C3E50"/>
          </w:tcPr>
          <w:p w14:paraId="3895CC1C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对应范式</w:t>
            </w:r>
          </w:p>
        </w:tc>
        <w:tc>
          <w:tcPr>
            <w:tcW w:w="1134" w:type="dxa"/>
            <w:shd w:val="clear" w:color="auto" w:fill="2C3E50"/>
          </w:tcPr>
          <w:p w14:paraId="1D5DBD68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时间维度</w:t>
            </w:r>
          </w:p>
        </w:tc>
      </w:tr>
      <w:tr w14:paraId="60EFA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3CE77B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第一层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算法锁定</w:t>
            </w:r>
          </w:p>
        </w:tc>
        <w:tc>
          <w:tcPr>
            <w:tcW w:w="2268" w:type="dxa"/>
          </w:tcPr>
          <w:p w14:paraId="38DE616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System 1/0端侧模型专有算法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不可复制：AR架构+latent space通信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+Action VAE+TacWM</w:t>
            </w:r>
          </w:p>
        </w:tc>
        <w:tc>
          <w:tcPr>
            <w:tcW w:w="1134" w:type="dxa"/>
          </w:tcPr>
          <w:p w14:paraId="702E26A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中等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(可被逆向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工程破解)</w:t>
            </w:r>
          </w:p>
        </w:tc>
        <w:tc>
          <w:tcPr>
            <w:tcW w:w="1134" w:type="dxa"/>
          </w:tcPr>
          <w:p w14:paraId="19F266C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范式1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范式2</w:t>
            </w:r>
          </w:p>
        </w:tc>
        <w:tc>
          <w:tcPr>
            <w:tcW w:w="1134" w:type="dxa"/>
          </w:tcPr>
          <w:p w14:paraId="21FE0CD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1-2年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技术代差</w:t>
            </w:r>
          </w:p>
        </w:tc>
      </w:tr>
      <w:tr w14:paraId="269CB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35A9ED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第二层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数据锁定</w:t>
            </w:r>
          </w:p>
        </w:tc>
        <w:tc>
          <w:tcPr>
            <w:tcW w:w="2268" w:type="dxa"/>
          </w:tcPr>
          <w:p w14:paraId="3881943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Ego+触觉数据网络效应，后入场者无数据可训；数据飞轮内循环增强模型能力，不做出售</w:t>
            </w:r>
          </w:p>
        </w:tc>
        <w:tc>
          <w:tcPr>
            <w:tcW w:w="1134" w:type="dxa"/>
          </w:tcPr>
          <w:p w14:paraId="36F146B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高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(网络效应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自我强化)</w:t>
            </w:r>
          </w:p>
        </w:tc>
        <w:tc>
          <w:tcPr>
            <w:tcW w:w="1134" w:type="dxa"/>
          </w:tcPr>
          <w:p w14:paraId="58361F6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范式5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范式6</w:t>
            </w:r>
          </w:p>
        </w:tc>
        <w:tc>
          <w:tcPr>
            <w:tcW w:w="1134" w:type="dxa"/>
          </w:tcPr>
          <w:p w14:paraId="1413A10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3-5年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数据代差</w:t>
            </w:r>
          </w:p>
        </w:tc>
      </w:tr>
      <w:tr w14:paraId="62867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B01787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第三层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标准锁定</w:t>
            </w:r>
          </w:p>
        </w:tc>
        <w:tc>
          <w:tcPr>
            <w:tcW w:w="2268" w:type="dxa"/>
          </w:tcPr>
          <w:p w14:paraId="6E7652B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定义"手眼脑协同增强"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行业标准+"Powered by ROBOX"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认证体系+开源生态</w:t>
            </w:r>
          </w:p>
        </w:tc>
        <w:tc>
          <w:tcPr>
            <w:tcW w:w="1134" w:type="dxa"/>
          </w:tcPr>
          <w:p w14:paraId="7324721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极高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(行业基础设施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级锁定)</w:t>
            </w:r>
          </w:p>
        </w:tc>
        <w:tc>
          <w:tcPr>
            <w:tcW w:w="1134" w:type="dxa"/>
          </w:tcPr>
          <w:p w14:paraId="1DDA972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范式7</w:t>
            </w:r>
          </w:p>
        </w:tc>
        <w:tc>
          <w:tcPr>
            <w:tcW w:w="1134" w:type="dxa"/>
          </w:tcPr>
          <w:p w14:paraId="22172ED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5-10年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生态代差</w:t>
            </w:r>
          </w:p>
        </w:tc>
      </w:tr>
    </w:tbl>
    <w:p w14:paraId="0C7E0530">
      <w:pPr>
        <w:spacing w:after="80"/>
      </w:pPr>
    </w:p>
    <w:p w14:paraId="5BCAF3FB">
      <w:pPr>
        <w:spacing w:after="80"/>
      </w:pPr>
      <w:r>
        <w:rPr>
          <w:rFonts w:hint="eastAsia" w:ascii="微软雅黑" w:hAnsi="微软雅黑" w:eastAsia="微软雅黑"/>
          <w:b/>
          <w:color w:val="2C3E50"/>
          <w:sz w:val="22"/>
        </w:rPr>
        <w:t>三重锁定的递进逻辑：</w:t>
      </w:r>
    </w:p>
    <w:p w14:paraId="6773524A">
      <w:pPr>
        <w:pStyle w:val="16"/>
        <w:spacing w:after="40"/>
        <w:ind w:left="567"/>
      </w:pPr>
      <w:r>
        <w:rPr>
          <w:rFonts w:hint="eastAsia" w:ascii="微软雅黑" w:hAnsi="微软雅黑" w:eastAsia="微软雅黑"/>
          <w:b/>
          <w:sz w:val="21"/>
        </w:rPr>
        <w:t>第一层：</w:t>
      </w:r>
      <w:r>
        <w:rPr>
          <w:rFonts w:hint="eastAsia" w:ascii="微软雅黑" w:hAnsi="微软雅黑" w:eastAsia="微软雅黑"/>
          <w:sz w:val="21"/>
        </w:rPr>
        <w:t>算法锁定解决"能不能用"——确保竞争对手无法直接复制技术</w:t>
      </w:r>
    </w:p>
    <w:p w14:paraId="2EA4F1E1">
      <w:pPr>
        <w:pStyle w:val="16"/>
        <w:spacing w:after="40"/>
        <w:ind w:left="567"/>
      </w:pPr>
      <w:r>
        <w:rPr>
          <w:rFonts w:hint="eastAsia" w:ascii="微软雅黑" w:hAnsi="微软雅黑" w:eastAsia="微软雅黑"/>
          <w:b/>
          <w:sz w:val="21"/>
        </w:rPr>
        <w:t>第二层：</w:t>
      </w:r>
      <w:r>
        <w:rPr>
          <w:rFonts w:hint="eastAsia" w:ascii="微软雅黑" w:hAnsi="微软雅黑" w:eastAsia="微软雅黑"/>
          <w:sz w:val="21"/>
        </w:rPr>
        <w:t>数据锁定解决"好不好用"——确保即使算法被复制，竞争对手也缺乏数据训练同等水平的模型</w:t>
      </w:r>
    </w:p>
    <w:p w14:paraId="1CA8A8BA">
      <w:pPr>
        <w:pStyle w:val="16"/>
        <w:spacing w:after="40"/>
        <w:ind w:left="567"/>
      </w:pPr>
      <w:r>
        <w:rPr>
          <w:rFonts w:hint="eastAsia" w:ascii="微软雅黑" w:hAnsi="微软雅黑" w:eastAsia="微软雅黑"/>
          <w:b/>
          <w:sz w:val="21"/>
        </w:rPr>
        <w:t>第三层：</w:t>
      </w:r>
      <w:r>
        <w:rPr>
          <w:rFonts w:hint="eastAsia" w:ascii="微软雅黑" w:hAnsi="微软雅黑" w:eastAsia="微软雅黑"/>
          <w:sz w:val="21"/>
        </w:rPr>
        <w:t>标准锁定解决"必须用"——确保行业默认采用ROBOX标准，竞争对手必须适配而非替代</w:t>
      </w:r>
    </w:p>
    <w:p w14:paraId="40159E01">
      <w:r>
        <w:br w:type="page"/>
      </w:r>
    </w:p>
    <w:p w14:paraId="20418FAD">
      <w:r>
        <w:t>这意味着：数据锁定的完整实现不是Phase 1-2，而是Phase 2-3。范式6（数据飞轮内循环）的启动时间在数据规模化之后。三群数据策略本身就是数据壁垒的一部分——后入场者需要同时构建三群数据管线，时间成本至尒12-18个月。</w:t>
      </w:r>
    </w:p>
    <w:p w14:paraId="68FBD502">
      <w:r>
        <w:t>第一群：手机APP采集 → 原子动作提取 → 3D资产恢复；第二群：仿真学习（视觉-触觉对齐）→ 真机部署；第三群：触觉手套采集（人手可戴，与机器人手传感器同模态）→ 规模化。</w:t>
      </w:r>
    </w:p>
    <w:p w14:paraId="7EF04EC8">
      <w:r>
        <w:t>明修在多维资本Fanny会议中明确判断："触觉数据太少太少，冲到System 2里没有任何效果"。当前策略是先用三群数据做规模化，再启动TacWM（Tactile World Model，触觉世界模型）：</w:t>
      </w:r>
    </w:p>
    <w:p w14:paraId="362C6D83">
      <w:pPr>
        <w:pStyle w:val="4"/>
      </w:pPr>
      <w:r>
        <w:t>触觉数据时序判断</w:t>
      </w:r>
    </w:p>
    <w:p w14:paraId="3C9E78ED">
      <w:pPr>
        <w:pStyle w:val="3"/>
      </w:pPr>
      <w:r>
        <w:rPr>
          <w:rFonts w:hint="eastAsia" w:ascii="微软雅黑" w:hAnsi="微软雅黑" w:eastAsia="微软雅黑"/>
          <w:color w:val="2C3E50"/>
        </w:rPr>
        <w:t>第四部分  分阶段执行路径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50"/>
        <w:gridCol w:w="850"/>
        <w:gridCol w:w="2268"/>
        <w:gridCol w:w="1134"/>
        <w:gridCol w:w="1417"/>
      </w:tblGrid>
      <w:tr w14:paraId="0A56D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2C3E50"/>
          </w:tcPr>
          <w:p w14:paraId="66DA1857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850" w:type="dxa"/>
            <w:shd w:val="clear" w:color="auto" w:fill="2C3E50"/>
          </w:tcPr>
          <w:p w14:paraId="6B38E925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w="850" w:type="dxa"/>
            <w:shd w:val="clear" w:color="auto" w:fill="2C3E50"/>
          </w:tcPr>
          <w:p w14:paraId="061EE17A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核心范式</w:t>
            </w:r>
          </w:p>
        </w:tc>
        <w:tc>
          <w:tcPr>
            <w:tcW w:w="2268" w:type="dxa"/>
            <w:shd w:val="clear" w:color="auto" w:fill="2C3E50"/>
          </w:tcPr>
          <w:p w14:paraId="07A926BB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  <w:tc>
          <w:tcPr>
            <w:tcW w:w="1134" w:type="dxa"/>
            <w:shd w:val="clear" w:color="auto" w:fill="2C3E50"/>
          </w:tcPr>
          <w:p w14:paraId="7990A8F7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锁定目标</w:t>
            </w:r>
          </w:p>
        </w:tc>
        <w:tc>
          <w:tcPr>
            <w:tcW w:w="1417" w:type="dxa"/>
            <w:shd w:val="clear" w:color="auto" w:fill="2C3E50"/>
          </w:tcPr>
          <w:p w14:paraId="48F1ED0C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预期收入</w:t>
            </w:r>
          </w:p>
        </w:tc>
      </w:tr>
      <w:tr w14:paraId="11398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D856E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Phase 1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启动期</w:t>
            </w:r>
          </w:p>
        </w:tc>
        <w:tc>
          <w:tcPr>
            <w:tcW w:w="850" w:type="dxa"/>
          </w:tcPr>
          <w:p w14:paraId="5058A2E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0-6个月</w:t>
            </w:r>
          </w:p>
        </w:tc>
        <w:tc>
          <w:tcPr>
            <w:tcW w:w="850" w:type="dxa"/>
          </w:tcPr>
          <w:p w14:paraId="0060F61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范式1+2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+5</w:t>
            </w:r>
          </w:p>
        </w:tc>
        <w:tc>
          <w:tcPr>
            <w:tcW w:w="2268" w:type="dxa"/>
          </w:tcPr>
          <w:p w14:paraId="2E5F8C0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System 1/0 SDK接入越疆/擎朗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三方方案落地长虹(酒店/餐饮)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直接面对长虹场景方</w:t>
            </w:r>
          </w:p>
        </w:tc>
        <w:tc>
          <w:tcPr>
            <w:tcW w:w="1134" w:type="dxa"/>
          </w:tcPr>
          <w:p w14:paraId="3F35D3C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算法锁定</w:t>
            </w:r>
          </w:p>
        </w:tc>
        <w:tc>
          <w:tcPr>
            <w:tcW w:w="1417" w:type="dxa"/>
          </w:tcPr>
          <w:p w14:paraId="4763024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500-1000万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(项目制)</w:t>
            </w:r>
          </w:p>
        </w:tc>
      </w:tr>
      <w:tr w14:paraId="13084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1A303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Phase 2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扩张期</w:t>
            </w:r>
          </w:p>
        </w:tc>
        <w:tc>
          <w:tcPr>
            <w:tcW w:w="850" w:type="dxa"/>
          </w:tcPr>
          <w:p w14:paraId="36B1340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6-18个月</w:t>
            </w:r>
          </w:p>
        </w:tc>
        <w:tc>
          <w:tcPr>
            <w:tcW w:w="850" w:type="dxa"/>
          </w:tcPr>
          <w:p w14:paraId="26B61C9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范式2+3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+4+6</w:t>
            </w:r>
          </w:p>
        </w:tc>
        <w:tc>
          <w:tcPr>
            <w:tcW w:w="2268" w:type="dxa"/>
          </w:tcPr>
          <w:p w14:paraId="3291904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Co-design因诺特灵巧手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引入战略股东(长虹/阿里)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启动数据回流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发布tech report</w:t>
            </w:r>
          </w:p>
        </w:tc>
        <w:tc>
          <w:tcPr>
            <w:tcW w:w="1134" w:type="dxa"/>
          </w:tcPr>
          <w:p w14:paraId="5C9CEB7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算法锁定+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数据锁定</w:t>
            </w:r>
          </w:p>
        </w:tc>
        <w:tc>
          <w:tcPr>
            <w:tcW w:w="1417" w:type="dxa"/>
          </w:tcPr>
          <w:p w14:paraId="1A1F9D7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2000-5000万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(License+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数据服务)</w:t>
            </w:r>
          </w:p>
        </w:tc>
      </w:tr>
      <w:tr w14:paraId="22791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4F610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Phase 3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生态期</w:t>
            </w:r>
          </w:p>
        </w:tc>
        <w:tc>
          <w:tcPr>
            <w:tcW w:w="850" w:type="dxa"/>
          </w:tcPr>
          <w:p w14:paraId="59F1F51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18-36个月</w:t>
            </w:r>
          </w:p>
        </w:tc>
        <w:tc>
          <w:tcPr>
            <w:tcW w:w="850" w:type="dxa"/>
          </w:tcPr>
          <w:p w14:paraId="4A793BA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范式6+7</w:t>
            </w:r>
          </w:p>
        </w:tc>
        <w:tc>
          <w:tcPr>
            <w:tcW w:w="2268" w:type="dxa"/>
          </w:tcPr>
          <w:p w14:paraId="1072E36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数据飞轮加速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发布"Powered by ROBOX"认证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参与行业标准制定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开源生态建设</w:t>
            </w:r>
          </w:p>
        </w:tc>
        <w:tc>
          <w:tcPr>
            <w:tcW w:w="1134" w:type="dxa"/>
          </w:tcPr>
          <w:p w14:paraId="0826FA7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数据锁定+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标准锁定</w:t>
            </w:r>
          </w:p>
        </w:tc>
        <w:tc>
          <w:tcPr>
            <w:tcW w:w="1417" w:type="dxa"/>
          </w:tcPr>
          <w:p w14:paraId="46C8160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1-3亿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(认证+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生态分成)</w:t>
            </w:r>
          </w:p>
        </w:tc>
      </w:tr>
    </w:tbl>
    <w:p w14:paraId="1C25C5F0">
      <w:r>
        <w:t>Phase 3（18-36月）："Powered by ROBOX"品牌输出；行业标准发布（联合国地中心/OpenLoong开源社区）；国际化PR（北美/欧洲市场预热）；创始人成为行业意见领袖。</w:t>
      </w:r>
    </w:p>
    <w:p w14:paraId="1FC4BC94">
      <w:r>
        <w:t>Phase 2（6-18月）：创始人个人包装（每月媒体节奏，对标自变量王潜"天天讲段子"模式）；高层panel参与（行业峰会、投资论坛）；tech report发布（对标NVIDIA Cosmos benchmark对比）；政府领导参观常态化。</w:t>
      </w:r>
    </w:p>
    <w:p w14:paraId="74F5E11E">
      <w:r>
        <w:t>Phase 1（0-6月）：算法负责人到位后启动PR；36氪等创投媒体首轮曝光；政府参观接待（余杭区南湖未来科学园）；产品demo视频定向投放核心机构。</w:t>
      </w:r>
    </w:p>
    <w:p w14:paraId="4AA76A76">
      <w:r>
        <w:t>Fanny明确指出"政府只会为有名的项目买单"，Eric强调"太重要了，比你苦干有用——大家不知道"。PR不是可选项，而是融资和商业拓展的必要条件。以下为分阶段PR关键动作：</w:t>
      </w:r>
    </w:p>
    <w:p w14:paraId="6F071857">
      <w:pPr>
        <w:pStyle w:val="4"/>
      </w:pPr>
      <w:r>
        <w:t>PR维度补充（基于多维资本Fanny建议）</w:t>
      </w:r>
    </w:p>
    <w:p w14:paraId="5B41EA2C">
      <w:pPr>
        <w:pStyle w:val="3"/>
      </w:pPr>
      <w:r>
        <w:rPr>
          <w:rFonts w:hint="eastAsia" w:ascii="微软雅黑" w:hAnsi="微软雅黑" w:eastAsia="微软雅黑"/>
          <w:color w:val="2C3E50"/>
        </w:rPr>
        <w:t>第五部分  范式组合策略</w:t>
      </w:r>
    </w:p>
    <w:p w14:paraId="7FC06A70">
      <w:pPr>
        <w:spacing w:after="80"/>
      </w:pPr>
      <w:r>
        <w:rPr>
          <w:rFonts w:hint="eastAsia" w:ascii="微软雅黑" w:hAnsi="微软雅黑" w:eastAsia="微软雅黑"/>
          <w:b w:val="0"/>
          <w:sz w:val="21"/>
        </w:rPr>
        <w:t>七种范式并非线性递进，而是根据合作伙伴类型和场景特征灵活组合：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835"/>
      </w:tblGrid>
      <w:tr w14:paraId="488B4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C3E50"/>
          </w:tcPr>
          <w:p w14:paraId="3A7DAA82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合作伙伴类型</w:t>
            </w:r>
          </w:p>
        </w:tc>
        <w:tc>
          <w:tcPr>
            <w:tcW w:w="2268" w:type="dxa"/>
            <w:shd w:val="clear" w:color="auto" w:fill="2C3E50"/>
          </w:tcPr>
          <w:p w14:paraId="7044738E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推荐范式组合</w:t>
            </w:r>
          </w:p>
        </w:tc>
        <w:tc>
          <w:tcPr>
            <w:tcW w:w="2835" w:type="dxa"/>
            <w:shd w:val="clear" w:color="auto" w:fill="2C3E50"/>
          </w:tcPr>
          <w:p w14:paraId="4720D810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组合逻辑</w:t>
            </w:r>
          </w:p>
        </w:tc>
      </w:tr>
      <w:tr w14:paraId="59025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39330C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本体厂商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(越疆/擎朗等)</w:t>
            </w:r>
          </w:p>
        </w:tc>
        <w:tc>
          <w:tcPr>
            <w:tcW w:w="2268" w:type="dxa"/>
          </w:tcPr>
          <w:p w14:paraId="3AE204B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范式1(中间件)→范式3(Co-design)</w:t>
            </w:r>
          </w:p>
        </w:tc>
        <w:tc>
          <w:tcPr>
            <w:tcW w:w="2835" w:type="dxa"/>
          </w:tcPr>
          <w:p w14:paraId="4B2646C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先通过SDK嵌入建立技术依赖，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再升级为联合定义硬件</w:t>
            </w:r>
          </w:p>
        </w:tc>
      </w:tr>
      <w:tr w14:paraId="39665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CACD80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场景SI伙伴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(长虹等)</w:t>
            </w:r>
          </w:p>
        </w:tc>
        <w:tc>
          <w:tcPr>
            <w:tcW w:w="2268" w:type="dxa"/>
          </w:tcPr>
          <w:p w14:paraId="3DB84EE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范式2(三方方案)→范式5(直面对)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→范式4(股权锁定)</w:t>
            </w:r>
          </w:p>
        </w:tc>
        <w:tc>
          <w:tcPr>
            <w:tcW w:w="2835" w:type="dxa"/>
          </w:tcPr>
          <w:p w14:paraId="6D769E3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先联合方案验证价值，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再掌控客户界面，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最后通过股权绑定长期合作</w:t>
            </w:r>
          </w:p>
        </w:tc>
      </w:tr>
      <w:tr w14:paraId="3D755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B234A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终端场景方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(酒店/餐饮)</w:t>
            </w:r>
          </w:p>
        </w:tc>
        <w:tc>
          <w:tcPr>
            <w:tcW w:w="2268" w:type="dxa"/>
          </w:tcPr>
          <w:p w14:paraId="0B57DA6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范式5(直面对)→范式6(数据飞轮内循环)</w:t>
            </w:r>
          </w:p>
        </w:tc>
        <w:tc>
          <w:tcPr>
            <w:tcW w:w="2835" w:type="dxa"/>
          </w:tcPr>
          <w:p w14:paraId="15E6F7A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直接掌控客户关系，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以部署换数据，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启动飞轮循环</w:t>
            </w:r>
          </w:p>
        </w:tc>
      </w:tr>
      <w:tr w14:paraId="7F9F8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15CE4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大平台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(阿里/字节)</w:t>
            </w:r>
          </w:p>
        </w:tc>
        <w:tc>
          <w:tcPr>
            <w:tcW w:w="2268" w:type="dxa"/>
          </w:tcPr>
          <w:p w14:paraId="6915A78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范式4(股权)→范式7(标准)</w:t>
            </w:r>
          </w:p>
        </w:tc>
        <w:tc>
          <w:tcPr>
            <w:tcW w:w="2835" w:type="dxa"/>
          </w:tcPr>
          <w:p w14:paraId="61311A3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通过股权绑定战略资源，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共建行业标准生态</w:t>
            </w:r>
          </w:p>
        </w:tc>
      </w:tr>
      <w:tr w14:paraId="33E0C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B631BB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政府/高校</w:t>
            </w:r>
          </w:p>
        </w:tc>
        <w:tc>
          <w:tcPr>
            <w:tcW w:w="2268" w:type="dxa"/>
          </w:tcPr>
          <w:p w14:paraId="0445B2B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范式6(数据飞轮内循环)→范式7(标准)</w:t>
            </w:r>
          </w:p>
        </w:tc>
        <w:tc>
          <w:tcPr>
            <w:tcW w:w="2835" w:type="dxa"/>
          </w:tcPr>
          <w:p w14:paraId="5BED0F0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共建数据采集基建，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争取标准话语权</w:t>
            </w:r>
          </w:p>
        </w:tc>
      </w:tr>
    </w:tbl>
    <w:p w14:paraId="75837EAC">
      <w:r>
        <w:t>政府/国资（1/3）→ 范式6+7：关注名气和基础设施。通过数据飞轮和标准认证参与地方数据基建和标准建设。Fanny指出帕西尼35亿中15-20亿来自政府——政府资金占比需达1/3。</w:t>
      </w:r>
    </w:p>
    <w:p w14:paraId="0C561FAA">
      <w:r>
        <w:t>产业方/CVC（1/3）→ 范式3+4：关注业务协同和股权绑定。通过Co-design和引望模式股权锁定建立深度绑定。Eric明确"重点还是产业方"——杭州几家产业方非常感兴趣。</w:t>
      </w:r>
    </w:p>
    <w:p w14:paraId="5CDD7298">
      <w:r>
        <w:t>财务投资机构（1/3）→ 范式1+2+5：关注收入和差异化优势。用License收入、项目制收入和场景方案收入证明商业可行性。核心标签："手眼脑协同系统"，区别于通用大脑公司。</w:t>
      </w:r>
    </w:p>
    <w:p w14:paraId="28C16A47">
      <w:r>
        <w:t>Fanny提出融资盘的三类投资者各占1/3结构，以下为ROBOX范式与投资者类型的对应关系：</w:t>
      </w:r>
    </w:p>
    <w:p w14:paraId="0CFD2B6B">
      <w:pPr>
        <w:pStyle w:val="4"/>
      </w:pPr>
      <w:r>
        <w:t>投资者类型对应（基于多维资本Fanny三类1/3结构）</w:t>
      </w:r>
    </w:p>
    <w:p w14:paraId="4E82CC83">
      <w:pPr>
        <w:pStyle w:val="3"/>
      </w:pPr>
      <w:r>
        <w:rPr>
          <w:rFonts w:hint="eastAsia" w:ascii="微软雅黑" w:hAnsi="微软雅黑" w:eastAsia="微软雅黑"/>
          <w:color w:val="2C3E50"/>
        </w:rPr>
        <w:t>第六部分  ROBOX独特竞争优势</w:t>
      </w:r>
    </w:p>
    <w:p w14:paraId="5ABB2488">
      <w:pPr>
        <w:spacing w:after="80"/>
      </w:pPr>
      <w:r>
        <w:rPr>
          <w:rFonts w:hint="eastAsia" w:ascii="微软雅黑" w:hAnsi="微软雅黑" w:eastAsia="微软雅黑"/>
          <w:b w:val="0"/>
          <w:sz w:val="21"/>
        </w:rPr>
        <w:t>与同类算法公司（Skild AI、星源智造、NVIDIA GR00T等）相比，ROBOX的独特性在于：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3118"/>
      </w:tblGrid>
      <w:tr w14:paraId="7692C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C3E50"/>
          </w:tcPr>
          <w:p w14:paraId="193306FD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w="2268" w:type="dxa"/>
            <w:shd w:val="clear" w:color="auto" w:fill="2C3E50"/>
          </w:tcPr>
          <w:p w14:paraId="533845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Skild AI / NVIDIA GR00T</w:t>
            </w:r>
          </w:p>
        </w:tc>
        <w:tc>
          <w:tcPr>
            <w:tcW w:w="3118" w:type="dxa"/>
            <w:shd w:val="clear" w:color="auto" w:fill="2C3E50"/>
          </w:tcPr>
          <w:p w14:paraId="617F2E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ROBOX</w:t>
            </w:r>
          </w:p>
        </w:tc>
      </w:tr>
      <w:tr w14:paraId="22891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C49A68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定位</w:t>
            </w:r>
          </w:p>
        </w:tc>
        <w:tc>
          <w:tcPr>
            <w:tcW w:w="2268" w:type="dxa"/>
          </w:tcPr>
          <w:p w14:paraId="16CC27D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通用大脑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(与所有大脑竞争)</w:t>
            </w:r>
          </w:p>
        </w:tc>
        <w:tc>
          <w:tcPr>
            <w:tcW w:w="3118" w:type="dxa"/>
          </w:tcPr>
          <w:p w14:paraId="3A4D5E3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手眼脑协同系统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(与所有大脑共存互补)</w:t>
            </w:r>
          </w:p>
        </w:tc>
      </w:tr>
      <w:tr w14:paraId="7F7EA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F1BA61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可嵌入性</w:t>
            </w:r>
          </w:p>
        </w:tc>
        <w:tc>
          <w:tcPr>
            <w:tcW w:w="2268" w:type="dxa"/>
          </w:tcPr>
          <w:p w14:paraId="2B960DC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只能嵌入部分平台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(架构竞争)</w:t>
            </w:r>
          </w:p>
        </w:tc>
        <w:tc>
          <w:tcPr>
            <w:tcW w:w="3118" w:type="dxa"/>
          </w:tcPr>
          <w:p w14:paraId="16BE4B2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可同时接入多个平台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(触觉模块+System 1/0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作为互补组件)</w:t>
            </w:r>
          </w:p>
        </w:tc>
      </w:tr>
      <w:tr w14:paraId="48F1A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F4C3FA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数据壁垒</w:t>
            </w:r>
          </w:p>
        </w:tc>
        <w:tc>
          <w:tcPr>
            <w:tcW w:w="2268" w:type="dxa"/>
          </w:tcPr>
          <w:p w14:paraId="4F28064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视觉数据为主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(同质化竞争)</w:t>
            </w:r>
          </w:p>
        </w:tc>
        <w:tc>
          <w:tcPr>
            <w:tcW w:w="3118" w:type="dxa"/>
          </w:tcPr>
          <w:p w14:paraId="63D6456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Ego+触觉数据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(全行业最稀缺)</w:t>
            </w:r>
          </w:p>
        </w:tc>
      </w:tr>
      <w:tr w14:paraId="31B62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7171D2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竞争关系</w:t>
            </w:r>
          </w:p>
        </w:tc>
        <w:tc>
          <w:tcPr>
            <w:tcW w:w="2268" w:type="dxa"/>
          </w:tcPr>
          <w:p w14:paraId="01A9896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与本体厂商大脑竞争</w:t>
            </w:r>
          </w:p>
        </w:tc>
        <w:tc>
          <w:tcPr>
            <w:tcW w:w="3118" w:type="dxa"/>
          </w:tcPr>
          <w:p w14:paraId="670F5B7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与本体厂商互补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(补其触觉短板)</w:t>
            </w:r>
          </w:p>
        </w:tc>
      </w:tr>
      <w:tr w14:paraId="4A04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89CA9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类比</w:t>
            </w:r>
          </w:p>
        </w:tc>
        <w:tc>
          <w:tcPr>
            <w:tcW w:w="2268" w:type="dxa"/>
          </w:tcPr>
          <w:p w14:paraId="3A70FA6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操作系统(排他)</w:t>
            </w:r>
          </w:p>
        </w:tc>
        <w:tc>
          <w:tcPr>
            <w:tcW w:w="3118" w:type="dxa"/>
          </w:tcPr>
          <w:p w14:paraId="3341B21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GPU驱动(共存)</w:t>
            </w:r>
          </w:p>
        </w:tc>
      </w:tr>
    </w:tbl>
    <w:p w14:paraId="323BCA9C">
      <w:pPr>
        <w:spacing w:after="80"/>
      </w:pPr>
    </w:p>
    <w:p w14:paraId="7F1B85A6">
      <w:pPr>
        <w:spacing w:after="80"/>
      </w:pPr>
      <w:r>
        <w:rPr>
          <w:rFonts w:hint="eastAsia" w:ascii="微软雅黑" w:hAnsi="微软雅黑" w:eastAsia="微软雅黑"/>
          <w:b/>
          <w:color w:val="2C3E50"/>
          <w:sz w:val="21"/>
        </w:rPr>
        <w:t>核心结论：ROBOX不做"又一个通用大脑"与Skild/星源智造/NVIDIA GR00T正面竞争，而是做"手眼脑协同系统"——大脑(System 2/1/0)是核心产品，触觉(TacWM)是关键差异化，Ego数据是核心壁垒。这三者构成的能力三角，使ROBOX可以同时嵌入多个平台，与所有"大脑"共存互补。</w:t>
      </w:r>
    </w:p>
    <w:p w14:paraId="3030D921">
      <w:r>
        <w:t>5. 估值窗口：当前20亿投后估值（从30亿下调），在机构"被伤害"的市场水温下，是"便宜的好货"而非"降了也没人买"。Eric判断"先跑100公里"——用结果说话，不追求最完美估值。</w:t>
      </w:r>
    </w:p>
    <w:p w14:paraId="1E579087">
      <w:r>
        <w:t>4. 差异化壁垒明确：Ego数据领免6-12个月+触觉世界模型（TacWM）全球首个+System 2/1/0三层架构行业唯一。机构在"补枪"时，ROBOX提供的是已投组合中缺失的"手眼脑协同"能力，而非重复的大脑模型。</w:t>
      </w:r>
    </w:p>
    <w:p w14:paraId="5D1A5D3B">
      <w:r>
        <w:t>3. 未投本体的机构需要ROBOX作为"模型层"配置——具身智能赛道的"卖水人"。无论哪家本体厂商胜出，ROBOX的手眼脑协同系统都能嵌入。类比GPU驱动：无论哪家GPU厂商，都需要驱动程序。</w:t>
      </w:r>
    </w:p>
    <w:p w14:paraId="6BB20837">
      <w:r>
        <w:t>2. Eric的终局判断："前面50家公司做硬件/本体，后面可能就几家公司做数据/训练/算法"——ROBOX是"后面那几家公司"。投资逻辑从"投硬件"转向"投模型层"，ROBOX正是模型层标的。</w:t>
      </w:r>
    </w:p>
    <w:p w14:paraId="7D1318A4">
      <w:r>
        <w:t>1. ROBOX不是"又一个大脑公司"，而是"手眼脑协同系统"。与已投本体厂商（如宇树、智元）互补而非竞争——已投本体的机构需要ROBOX来让被投企业"活起来"，让硬件从"能动"升级到"能做"。</w:t>
      </w:r>
    </w:p>
    <w:p w14:paraId="50AB2704">
      <w:r>
        <w:t>多维资本Fanny指出，机构核心挑战是"补枪问题"——"我为什么要再加一个具身智能公司？"机构已投50+具身智能公司，"盘满90%还没赚到钱"，对新项目的第一反应是质疑而非兴趣。以下是基于ROBOX商业模式的回应逻辑：</w:t>
      </w:r>
    </w:p>
    <w:p w14:paraId="22B43462">
      <w:pPr>
        <w:pStyle w:val="4"/>
      </w:pPr>
      <w:r>
        <w:t>补枪问题回应：为什么机构必须加ROBOX</w:t>
      </w:r>
    </w:p>
    <w:p w14:paraId="2520DF40">
      <w:pPr>
        <w:pStyle w:val="3"/>
      </w:pPr>
      <w:r>
        <w:rPr>
          <w:rFonts w:hint="eastAsia" w:ascii="微软雅黑" w:hAnsi="微软雅黑" w:eastAsia="微软雅黑"/>
          <w:color w:val="2C3E50"/>
        </w:rPr>
        <w:t>第七部分  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"/>
        <w:gridCol w:w="2268"/>
        <w:gridCol w:w="1587"/>
      </w:tblGrid>
      <w:tr w14:paraId="335A2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C3E50"/>
          </w:tcPr>
          <w:p w14:paraId="7550FEBA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w="680" w:type="dxa"/>
            <w:shd w:val="clear" w:color="auto" w:fill="2C3E50"/>
          </w:tcPr>
          <w:p w14:paraId="382AFF59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w="2268" w:type="dxa"/>
            <w:shd w:val="clear" w:color="auto" w:fill="2C3E50"/>
          </w:tcPr>
          <w:p w14:paraId="79FC93C3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  <w:tc>
          <w:tcPr>
            <w:tcW w:w="1587" w:type="dxa"/>
            <w:shd w:val="clear" w:color="auto" w:fill="2C3E50"/>
          </w:tcPr>
          <w:p w14:paraId="670313F7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对应范式调整</w:t>
            </w:r>
          </w:p>
        </w:tc>
      </w:tr>
      <w:tr w14:paraId="17534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C4FCB6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本体厂商自研触觉算法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替代ROBOX</w:t>
            </w:r>
          </w:p>
        </w:tc>
        <w:tc>
          <w:tcPr>
            <w:tcW w:w="680" w:type="dxa"/>
          </w:tcPr>
          <w:p w14:paraId="6F1643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w="2268" w:type="dxa"/>
          </w:tcPr>
          <w:p w14:paraId="648A65F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通过范式3 Co-design深度绑定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硬件围绕算法设计，更换成本高</w:t>
            </w:r>
          </w:p>
        </w:tc>
        <w:tc>
          <w:tcPr>
            <w:tcW w:w="1587" w:type="dxa"/>
          </w:tcPr>
          <w:p w14:paraId="7FB6E62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加速范式3落地</w:t>
            </w:r>
          </w:p>
        </w:tc>
      </w:tr>
      <w:tr w14:paraId="29E1D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299BE0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竞争对手复制触觉技术路线</w:t>
            </w:r>
          </w:p>
        </w:tc>
        <w:tc>
          <w:tcPr>
            <w:tcW w:w="680" w:type="dxa"/>
          </w:tcPr>
          <w:p w14:paraId="118597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2268" w:type="dxa"/>
          </w:tcPr>
          <w:p w14:paraId="5566CC6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通过范式6数据飞轮内循环建立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数据网络效应，后入场者无数据可训</w:t>
            </w:r>
          </w:p>
        </w:tc>
        <w:tc>
          <w:tcPr>
            <w:tcW w:w="1587" w:type="dxa"/>
          </w:tcPr>
          <w:p w14:paraId="322D994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加速数据回流闭环</w:t>
            </w:r>
          </w:p>
        </w:tc>
      </w:tr>
      <w:tr w14:paraId="50994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6A664E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标准被竞争对手抢占</w:t>
            </w:r>
          </w:p>
        </w:tc>
        <w:tc>
          <w:tcPr>
            <w:tcW w:w="680" w:type="dxa"/>
          </w:tcPr>
          <w:p w14:paraId="3C92D3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w="2268" w:type="dxa"/>
          </w:tcPr>
          <w:p w14:paraId="054F5C0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通过范式7提前发布tech report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+参与国地中心联盟</w:t>
            </w:r>
          </w:p>
        </w:tc>
        <w:tc>
          <w:tcPr>
            <w:tcW w:w="1587" w:type="dxa"/>
          </w:tcPr>
          <w:p w14:paraId="1543375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提前布局标准</w:t>
            </w:r>
          </w:p>
        </w:tc>
      </w:tr>
      <w:tr w14:paraId="391C6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33B1DB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客户要求自研替代采购</w:t>
            </w:r>
          </w:p>
        </w:tc>
        <w:tc>
          <w:tcPr>
            <w:tcW w:w="680" w:type="dxa"/>
          </w:tcPr>
          <w:p w14:paraId="3AEE29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2268" w:type="dxa"/>
          </w:tcPr>
          <w:p w14:paraId="2E434CB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通过范式4股权锁定大客户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+范式5直接掌控客户界面</w:t>
            </w:r>
          </w:p>
        </w:tc>
        <w:tc>
          <w:tcPr>
            <w:tcW w:w="1587" w:type="dxa"/>
          </w:tcPr>
          <w:p w14:paraId="710C973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优先推进范式4+5</w:t>
            </w:r>
          </w:p>
        </w:tc>
      </w:tr>
      <w:tr w14:paraId="16823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181A13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触觉数据采集成本过高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飞轮无法启动</w:t>
            </w:r>
          </w:p>
        </w:tc>
        <w:tc>
          <w:tcPr>
            <w:tcW w:w="680" w:type="dxa"/>
          </w:tcPr>
          <w:p w14:paraId="509517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w="2268" w:type="dxa"/>
          </w:tcPr>
          <w:p w14:paraId="505F862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政府驱动数据采集基建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(青岛模式+无锡机制)</w:t>
            </w:r>
          </w:p>
        </w:tc>
        <w:tc>
          <w:tcPr>
            <w:tcW w:w="1587" w:type="dxa"/>
          </w:tcPr>
          <w:p w14:paraId="2D1D251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19"/>
              </w:rPr>
              <w:t>政府合作范式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sz w:val="19"/>
              </w:rPr>
              <w:t>优先推进</w:t>
            </w:r>
          </w:p>
        </w:tc>
      </w:tr>
    </w:tbl>
    <w:p w14:paraId="376445C4"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45CC0DAE">
      <w:pPr>
        <w:jc w:val="center"/>
      </w:pPr>
      <w:r>
        <w:rPr>
          <w:rFonts w:hint="eastAsia" w:ascii="微软雅黑" w:hAnsi="微软雅黑" w:eastAsia="微软雅黑"/>
          <w:color w:val="95A5A6"/>
          <w:sz w:val="18"/>
        </w:rPr>
        <w:t>— 本框架基于ROBOX五场投资人会议+一场FA沟通分析及行业标杆研究，仅供内部战略参考 —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6D3879"/>
    <w:rsid w:val="076766B5"/>
    <w:rsid w:val="0A157218"/>
    <w:rsid w:val="11184C1F"/>
    <w:rsid w:val="135E080B"/>
    <w:rsid w:val="180B1639"/>
    <w:rsid w:val="1FAE057F"/>
    <w:rsid w:val="287F6F5C"/>
    <w:rsid w:val="2C7F4490"/>
    <w:rsid w:val="32705150"/>
    <w:rsid w:val="4BF103A5"/>
    <w:rsid w:val="52657718"/>
    <w:rsid w:val="548C31C2"/>
    <w:rsid w:val="569F51AC"/>
    <w:rsid w:val="605421FE"/>
    <w:rsid w:val="677478C8"/>
    <w:rsid w:val="6F607449"/>
    <w:rsid w:val="7DA64D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76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6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8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8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79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8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8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72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4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71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70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5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6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73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8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3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7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38">
    <w:name w:val="Body Text 3 Char"/>
    <w:basedOn w:val="132"/>
    <w:link w:val="17"/>
    <w:qFormat/>
    <w:uiPriority w:val="99"/>
    <w:rPr>
      <w:sz w:val="16"/>
      <w:szCs w:val="16"/>
    </w:rPr>
  </w:style>
  <w:style w:type="paragraph" w:customStyle="1" w:styleId="139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40">
    <w:name w:val="Intense Quote Char"/>
    <w:basedOn w:val="13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1">
    <w:name w:val="Intense Quote"/>
    <w:basedOn w:val="1"/>
    <w:next w:val="1"/>
    <w:link w:val="165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2">
    <w:name w:val="Quote"/>
    <w:basedOn w:val="1"/>
    <w:next w:val="1"/>
    <w:link w:val="18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6">
    <w:name w:val="Header Char"/>
    <w:basedOn w:val="132"/>
    <w:link w:val="25"/>
    <w:qFormat/>
    <w:uiPriority w:val="99"/>
  </w:style>
  <w:style w:type="character" w:customStyle="1" w:styleId="147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4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9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0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51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2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53">
    <w:name w:val="List Paragraph"/>
    <w:basedOn w:val="1"/>
    <w:qFormat/>
    <w:uiPriority w:val="34"/>
    <w:pPr>
      <w:ind w:left="720"/>
      <w:contextualSpacing/>
    </w:pPr>
  </w:style>
  <w:style w:type="character" w:customStyle="1" w:styleId="154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55">
    <w:name w:val="Footer Char"/>
    <w:basedOn w:val="132"/>
    <w:link w:val="24"/>
    <w:qFormat/>
    <w:uiPriority w:val="99"/>
  </w:style>
  <w:style w:type="character" w:customStyle="1" w:styleId="156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57">
    <w:name w:val="Body Text 2 Char"/>
    <w:basedOn w:val="132"/>
    <w:link w:val="28"/>
    <w:qFormat/>
    <w:uiPriority w:val="99"/>
  </w:style>
  <w:style w:type="character" w:customStyle="1" w:styleId="158">
    <w:name w:val="Quote Char"/>
    <w:basedOn w:val="132"/>
    <w:link w:val="14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0">
    <w:name w:val="Body Text Char"/>
    <w:basedOn w:val="132"/>
    <w:link w:val="19"/>
    <w:qFormat/>
    <w:uiPriority w:val="99"/>
  </w:style>
  <w:style w:type="character" w:customStyle="1" w:styleId="161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2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4">
    <w:name w:val="Macro Text Char1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65">
    <w:name w:val="Intense Quote Char1"/>
    <w:basedOn w:val="132"/>
    <w:link w:val="14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Subtitle Char1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7">
    <w:name w:val="Heading 7 Char1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8">
    <w:name w:val="Heading 2 Char1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9">
    <w:name w:val="Subtle Reference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0">
    <w:name w:val="Body Text Char1"/>
    <w:basedOn w:val="132"/>
    <w:link w:val="19"/>
    <w:qFormat/>
    <w:uiPriority w:val="99"/>
  </w:style>
  <w:style w:type="character" w:customStyle="1" w:styleId="171">
    <w:name w:val="Body Text 3 Char1"/>
    <w:basedOn w:val="132"/>
    <w:link w:val="17"/>
    <w:qFormat/>
    <w:uiPriority w:val="99"/>
    <w:rPr>
      <w:sz w:val="16"/>
      <w:szCs w:val="16"/>
    </w:rPr>
  </w:style>
  <w:style w:type="character" w:customStyle="1" w:styleId="172">
    <w:name w:val="Heading 9 Char1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3">
    <w:name w:val="Body Text 2 Char1"/>
    <w:basedOn w:val="132"/>
    <w:link w:val="28"/>
    <w:qFormat/>
    <w:uiPriority w:val="99"/>
  </w:style>
  <w:style w:type="character" w:customStyle="1" w:styleId="174">
    <w:name w:val="Intense Reference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5">
    <w:name w:val="Book Title1"/>
    <w:basedOn w:val="132"/>
    <w:qFormat/>
    <w:uiPriority w:val="33"/>
    <w:rPr>
      <w:b/>
      <w:bCs/>
      <w:smallCaps/>
      <w:spacing w:val="5"/>
    </w:rPr>
  </w:style>
  <w:style w:type="character" w:customStyle="1" w:styleId="176">
    <w:name w:val="Heading 1 Char1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customStyle="1" w:styleId="177">
    <w:name w:val="TOC Heading1"/>
    <w:basedOn w:val="3"/>
    <w:next w:val="1"/>
    <w:semiHidden/>
    <w:unhideWhenUsed/>
    <w:qFormat/>
    <w:uiPriority w:val="39"/>
    <w:pPr>
      <w:outlineLvl w:val="9"/>
    </w:pPr>
  </w:style>
  <w:style w:type="character" w:customStyle="1" w:styleId="178">
    <w:name w:val="Intense Emphasis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9">
    <w:name w:val="Heading 5 Char1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80">
    <w:name w:val="Quote Char1"/>
    <w:basedOn w:val="132"/>
    <w:link w:val="14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81">
    <w:name w:val="Heading 4 Char1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2">
    <w:name w:val="Heading 6 Char1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83">
    <w:name w:val="Heading 3 Char1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4">
    <w:name w:val="Title Char1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85">
    <w:name w:val="Heading 8 Char1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86">
    <w:name w:val="Subtle Emphasis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1480</Words>
  <Characters>1846</Characters>
  <TotalTime>448</TotalTime>
  <ScaleCrop>false</ScaleCrop>
  <LinksUpToDate>false</LinksUpToDate>
  <CharactersWithSpaces>1895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2026-08-06T21:20:00Z</dcterms:created>
  <dc:creator>Lenovo</dc:creator>
  <cp:lastModifiedBy>Anson</cp:lastModifiedBy>
  <dcterms:modified xsi:type="dcterms:W3CDTF">2026-08-13T15:03:16Z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90B393B9293A4F0C8E68E7397896B652_12</vt:lpwstr>
  </property>
</Properties>
</file>