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B45D5">
      <w:pPr>
        <w:jc w:val="center"/>
      </w:pPr>
      <w:r>
        <w:rPr>
          <w:rFonts w:ascii="微软雅黑" w:hAnsi="微软雅黑" w:eastAsia="微软雅黑"/>
          <w:b/>
          <w:color w:val="1A1A2E"/>
          <w:sz w:val="44"/>
        </w:rPr>
        <w:t>ROBOX 投资人会议综合分析</w:t>
      </w:r>
      <w:r>
        <w:rPr>
          <w:rFonts w:ascii="微软雅黑" w:hAnsi="微软雅黑" w:eastAsia="微软雅黑"/>
          <w:b/>
          <w:color w:val="1A1A2E"/>
          <w:sz w:val="44"/>
        </w:rPr>
        <w:br w:type="textWrapping"/>
      </w:r>
      <w:r>
        <w:rPr>
          <w:rFonts w:ascii="微软雅黑" w:hAnsi="微软雅黑" w:eastAsia="微软雅黑"/>
          <w:b/>
          <w:color w:val="1A1A2E"/>
          <w:sz w:val="44"/>
        </w:rPr>
        <w:t>与战略建议</w:t>
      </w:r>
    </w:p>
    <w:p w14:paraId="26B5B279">
      <w:pPr>
        <w:spacing w:after="80"/>
        <w:jc w:val="center"/>
      </w:pPr>
      <w:r>
        <w:rPr>
          <w:rFonts w:ascii="微软雅黑" w:hAnsi="微软雅黑" w:eastAsia="微软雅黑"/>
          <w:color w:val="7F8C8D"/>
          <w:sz w:val="22"/>
        </w:rPr>
        <w:t>基于浙创投、杭实复啄、东方嘉富、光源资本、中金五场会议纪要</w:t>
      </w:r>
    </w:p>
    <w:p w14:paraId="77D4071B">
      <w:pPr>
        <w:spacing w:after="400"/>
        <w:jc w:val="center"/>
      </w:pPr>
      <w:r>
        <w:rPr>
          <w:rFonts w:ascii="微软雅黑" w:hAnsi="微软雅黑" w:eastAsia="微软雅黑"/>
          <w:color w:val="95A5A6"/>
          <w:sz w:val="20"/>
        </w:rPr>
        <w:t>2026年8月6日</w:t>
      </w:r>
    </w:p>
    <w:p w14:paraId="43C7EC36"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6A4AFC8F">
      <w:pPr>
        <w:pStyle w:val="3"/>
      </w:pPr>
      <w:r>
        <w:rPr>
          <w:rFonts w:ascii="微软雅黑" w:hAnsi="微软雅黑" w:eastAsia="微软雅黑"/>
          <w:color w:val="2C3E50"/>
        </w:rPr>
        <w:t>第一部分  会议概览</w:t>
      </w:r>
    </w:p>
    <w:p w14:paraId="243D80C4">
      <w:pPr>
        <w:spacing w:after="80"/>
      </w:pPr>
      <w:r>
        <w:rPr>
          <w:rFonts w:ascii="微软雅黑" w:hAnsi="微软雅黑" w:eastAsia="微软雅黑"/>
          <w:b w:val="0"/>
          <w:sz w:val="21"/>
        </w:rPr>
        <w:t>本报告整合了ROBOX在2026年8月5日至6日期间与五家投资机构/FA的会议纪要，涵盖国有资本、市场化基金、FA及券商投行等不同类型投资方，旨在全面梳理会议核心信息、识别跨会议关键模式，并为公司下一步战略行动提供参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680"/>
        <w:gridCol w:w="1417"/>
        <w:gridCol w:w="1134"/>
        <w:gridCol w:w="1984"/>
        <w:gridCol w:w="2835"/>
      </w:tblGrid>
      <w:tr w14:paraId="0C3ED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2C3E50"/>
          </w:tcPr>
          <w:p w14:paraId="70D5D69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680" w:type="dxa"/>
            <w:shd w:val="clear" w:color="auto" w:fill="2C3E50"/>
          </w:tcPr>
          <w:p w14:paraId="491C00A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1417" w:type="dxa"/>
            <w:shd w:val="clear" w:color="auto" w:fill="2C3E50"/>
          </w:tcPr>
          <w:p w14:paraId="77018E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机构/对象</w:t>
            </w:r>
          </w:p>
        </w:tc>
        <w:tc>
          <w:tcPr>
            <w:tcW w:w="1134" w:type="dxa"/>
            <w:shd w:val="clear" w:color="auto" w:fill="2C3E50"/>
          </w:tcPr>
          <w:p w14:paraId="4EA5AFB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984" w:type="dxa"/>
            <w:shd w:val="clear" w:color="auto" w:fill="2C3E50"/>
          </w:tcPr>
          <w:p w14:paraId="35C04C8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主要参会方</w:t>
            </w:r>
          </w:p>
        </w:tc>
        <w:tc>
          <w:tcPr>
            <w:tcW w:w="2835" w:type="dxa"/>
            <w:shd w:val="clear" w:color="auto" w:fill="2C3E50"/>
          </w:tcPr>
          <w:p w14:paraId="57316EA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核心关注点</w:t>
            </w:r>
          </w:p>
        </w:tc>
      </w:tr>
      <w:tr w14:paraId="28F48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43BCB42"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680" w:type="dxa"/>
          </w:tcPr>
          <w:p w14:paraId="18EC1FD6">
            <w:r>
              <w:rPr>
                <w:rFonts w:ascii="微软雅黑" w:hAnsi="微软雅黑" w:eastAsia="微软雅黑"/>
                <w:sz w:val="19"/>
              </w:rPr>
              <w:t>8/5</w:t>
            </w:r>
          </w:p>
        </w:tc>
        <w:tc>
          <w:tcPr>
            <w:tcW w:w="1417" w:type="dxa"/>
          </w:tcPr>
          <w:p w14:paraId="3D152DAB">
            <w:r>
              <w:rPr>
                <w:rFonts w:ascii="微软雅黑" w:hAnsi="微软雅黑" w:eastAsia="微软雅黑"/>
                <w:sz w:val="19"/>
              </w:rPr>
              <w:t>浙创投·沈千旸</w:t>
            </w:r>
          </w:p>
        </w:tc>
        <w:tc>
          <w:tcPr>
            <w:tcW w:w="1134" w:type="dxa"/>
          </w:tcPr>
          <w:p w14:paraId="18A0B05B">
            <w:r>
              <w:rPr>
                <w:rFonts w:ascii="微软雅黑" w:hAnsi="微软雅黑" w:eastAsia="微软雅黑"/>
                <w:sz w:val="19"/>
              </w:rPr>
              <w:t>国资VC</w:t>
            </w:r>
          </w:p>
        </w:tc>
        <w:tc>
          <w:tcPr>
            <w:tcW w:w="1984" w:type="dxa"/>
          </w:tcPr>
          <w:p w14:paraId="2CF5930D">
            <w:r>
              <w:rPr>
                <w:rFonts w:ascii="微软雅黑" w:hAnsi="微软雅黑" w:eastAsia="微软雅黑"/>
                <w:sz w:val="19"/>
              </w:rPr>
              <w:t>沈千旸；明修、田明、Eric Wang、Anson</w:t>
            </w:r>
          </w:p>
        </w:tc>
        <w:tc>
          <w:tcPr>
            <w:tcW w:w="2835" w:type="dxa"/>
          </w:tcPr>
          <w:p w14:paraId="3A4A6645">
            <w:r>
              <w:rPr>
                <w:rFonts w:ascii="微软雅黑" w:hAnsi="微软雅黑" w:eastAsia="微软雅黑"/>
                <w:sz w:val="19"/>
              </w:rPr>
              <w:t>团队能力、IP隔离、竞争对手对比（元力无限）、投资范围与时间线</w:t>
            </w:r>
          </w:p>
        </w:tc>
      </w:tr>
      <w:tr w14:paraId="1E112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0943DDC"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680" w:type="dxa"/>
          </w:tcPr>
          <w:p w14:paraId="6F6F6DA6">
            <w:r>
              <w:rPr>
                <w:rFonts w:ascii="微软雅黑" w:hAnsi="微软雅黑" w:eastAsia="微软雅黑"/>
                <w:sz w:val="19"/>
              </w:rPr>
              <w:t>8/6</w:t>
            </w:r>
          </w:p>
        </w:tc>
        <w:tc>
          <w:tcPr>
            <w:tcW w:w="1417" w:type="dxa"/>
          </w:tcPr>
          <w:p w14:paraId="2E2B25A3">
            <w:r>
              <w:rPr>
                <w:rFonts w:ascii="微软雅黑" w:hAnsi="微软雅黑" w:eastAsia="微软雅黑"/>
                <w:sz w:val="19"/>
              </w:rPr>
              <w:t>杭实复啄</w:t>
            </w:r>
          </w:p>
        </w:tc>
        <w:tc>
          <w:tcPr>
            <w:tcW w:w="1134" w:type="dxa"/>
          </w:tcPr>
          <w:p w14:paraId="7BCEB6C7">
            <w:r>
              <w:rPr>
                <w:rFonts w:ascii="微软雅黑" w:hAnsi="微软雅黑" w:eastAsia="微软雅黑"/>
                <w:sz w:val="19"/>
              </w:rPr>
              <w:t>国资(杭州银行/杭实)</w:t>
            </w:r>
          </w:p>
        </w:tc>
        <w:tc>
          <w:tcPr>
            <w:tcW w:w="1984" w:type="dxa"/>
          </w:tcPr>
          <w:p w14:paraId="52FC566B">
            <w:r>
              <w:rPr>
                <w:rFonts w:ascii="微软雅黑" w:hAnsi="微软雅黑" w:eastAsia="微软雅黑"/>
                <w:sz w:val="19"/>
              </w:rPr>
              <w:t>赵德利(赵老师)；明修、田明、Eric Wang、Anson</w:t>
            </w:r>
          </w:p>
        </w:tc>
        <w:tc>
          <w:tcPr>
            <w:tcW w:w="2835" w:type="dxa"/>
          </w:tcPr>
          <w:p w14:paraId="0B360AAE">
            <w:r>
              <w:rPr>
                <w:rFonts w:ascii="微软雅黑" w:hAnsi="微软雅黑" w:eastAsia="微软雅黑"/>
                <w:sz w:val="19"/>
              </w:rPr>
              <w:t>技术深度验证、Eric Wang背景与角色、商业节奏、数据飞轮</w:t>
            </w:r>
          </w:p>
        </w:tc>
      </w:tr>
      <w:tr w14:paraId="6C6D9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87285C3"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680" w:type="dxa"/>
          </w:tcPr>
          <w:p w14:paraId="491493B9">
            <w:r>
              <w:rPr>
                <w:rFonts w:ascii="微软雅黑" w:hAnsi="微软雅黑" w:eastAsia="微软雅黑"/>
                <w:sz w:val="19"/>
              </w:rPr>
              <w:t>8/6</w:t>
            </w:r>
          </w:p>
        </w:tc>
        <w:tc>
          <w:tcPr>
            <w:tcW w:w="1417" w:type="dxa"/>
          </w:tcPr>
          <w:p w14:paraId="55B38712">
            <w:r>
              <w:rPr>
                <w:rFonts w:ascii="微软雅黑" w:hAnsi="微软雅黑" w:eastAsia="微软雅黑"/>
                <w:sz w:val="19"/>
              </w:rPr>
              <w:t>东方嘉富·郑格</w:t>
            </w:r>
          </w:p>
        </w:tc>
        <w:tc>
          <w:tcPr>
            <w:tcW w:w="1134" w:type="dxa"/>
          </w:tcPr>
          <w:p w14:paraId="05E1DF0F">
            <w:r>
              <w:rPr>
                <w:rFonts w:ascii="微软雅黑" w:hAnsi="微软雅黑" w:eastAsia="微软雅黑"/>
                <w:sz w:val="19"/>
              </w:rPr>
              <w:t>国资(国家中小企业基金)</w:t>
            </w:r>
          </w:p>
        </w:tc>
        <w:tc>
          <w:tcPr>
            <w:tcW w:w="1984" w:type="dxa"/>
          </w:tcPr>
          <w:p w14:paraId="7A1AF5AB">
            <w:r>
              <w:rPr>
                <w:rFonts w:ascii="微软雅黑" w:hAnsi="微软雅黑" w:eastAsia="微软雅黑"/>
                <w:sz w:val="19"/>
              </w:rPr>
              <w:t>郑格；明修、田明、Anson</w:t>
            </w:r>
          </w:p>
        </w:tc>
        <w:tc>
          <w:tcPr>
            <w:tcW w:w="2835" w:type="dxa"/>
          </w:tcPr>
          <w:p w14:paraId="41D9FB11">
            <w:r>
              <w:rPr>
                <w:rFonts w:ascii="微软雅黑" w:hAnsi="微软雅黑" w:eastAsia="微软雅黑"/>
                <w:sz w:val="19"/>
              </w:rPr>
              <w:t>市场时机判断、竞争格局(千寻/西诺/破壳)、杭州vs北京政策落差</w:t>
            </w:r>
          </w:p>
        </w:tc>
      </w:tr>
      <w:tr w14:paraId="4EED9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A0D2B19"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680" w:type="dxa"/>
          </w:tcPr>
          <w:p w14:paraId="34CDC578">
            <w:r>
              <w:rPr>
                <w:rFonts w:ascii="微软雅黑" w:hAnsi="微软雅黑" w:eastAsia="微软雅黑"/>
                <w:sz w:val="19"/>
              </w:rPr>
              <w:t>8/5</w:t>
            </w:r>
          </w:p>
        </w:tc>
        <w:tc>
          <w:tcPr>
            <w:tcW w:w="1417" w:type="dxa"/>
          </w:tcPr>
          <w:p w14:paraId="5091C79E">
            <w:r>
              <w:rPr>
                <w:rFonts w:ascii="微软雅黑" w:hAnsi="微软雅黑" w:eastAsia="微软雅黑"/>
                <w:sz w:val="19"/>
              </w:rPr>
              <w:t>光源资本·权博</w:t>
            </w:r>
          </w:p>
        </w:tc>
        <w:tc>
          <w:tcPr>
            <w:tcW w:w="1134" w:type="dxa"/>
          </w:tcPr>
          <w:p w14:paraId="4936D925">
            <w:r>
              <w:rPr>
                <w:rFonts w:ascii="微软雅黑" w:hAnsi="微软雅黑" w:eastAsia="微软雅黑"/>
                <w:sz w:val="19"/>
              </w:rPr>
              <w:t>FA</w:t>
            </w:r>
          </w:p>
        </w:tc>
        <w:tc>
          <w:tcPr>
            <w:tcW w:w="1984" w:type="dxa"/>
          </w:tcPr>
          <w:p w14:paraId="77939196">
            <w:r>
              <w:rPr>
                <w:rFonts w:ascii="微软雅黑" w:hAnsi="微软雅黑" w:eastAsia="微软雅黑"/>
                <w:sz w:val="19"/>
              </w:rPr>
              <w:t>权博团队；明修、田明、Eric Wang</w:t>
            </w:r>
          </w:p>
        </w:tc>
        <w:tc>
          <w:tcPr>
            <w:tcW w:w="2835" w:type="dxa"/>
          </w:tcPr>
          <w:p w14:paraId="7CCC0F62">
            <w:r>
              <w:rPr>
                <w:rFonts w:ascii="微软雅黑" w:hAnsi="微软雅黑" w:eastAsia="微软雅黑"/>
                <w:sz w:val="19"/>
              </w:rPr>
              <w:t>技术最深度尽调(AR/diffusion/触觉/数据管线)、市场时机、FA合作意向</w:t>
            </w:r>
          </w:p>
        </w:tc>
      </w:tr>
      <w:tr w14:paraId="2B3DC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744BD34"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680" w:type="dxa"/>
          </w:tcPr>
          <w:p w14:paraId="4DC0C2D7">
            <w:r>
              <w:rPr>
                <w:rFonts w:ascii="微软雅黑" w:hAnsi="微软雅黑" w:eastAsia="微软雅黑"/>
                <w:sz w:val="19"/>
              </w:rPr>
              <w:t>8/5</w:t>
            </w:r>
          </w:p>
        </w:tc>
        <w:tc>
          <w:tcPr>
            <w:tcW w:w="1417" w:type="dxa"/>
          </w:tcPr>
          <w:p w14:paraId="7B9BA743">
            <w:r>
              <w:rPr>
                <w:rFonts w:ascii="微软雅黑" w:hAnsi="微软雅黑" w:eastAsia="微软雅黑"/>
                <w:sz w:val="19"/>
              </w:rPr>
              <w:t>中金</w:t>
            </w:r>
          </w:p>
        </w:tc>
        <w:tc>
          <w:tcPr>
            <w:tcW w:w="1134" w:type="dxa"/>
          </w:tcPr>
          <w:p w14:paraId="670C7643">
            <w:r>
              <w:rPr>
                <w:rFonts w:ascii="微软雅黑" w:hAnsi="微软雅黑" w:eastAsia="微软雅黑"/>
                <w:sz w:val="19"/>
              </w:rPr>
              <w:t>券商投行</w:t>
            </w:r>
          </w:p>
        </w:tc>
        <w:tc>
          <w:tcPr>
            <w:tcW w:w="1984" w:type="dxa"/>
          </w:tcPr>
          <w:p w14:paraId="7CD19A47">
            <w:r>
              <w:rPr>
                <w:rFonts w:ascii="微软雅黑" w:hAnsi="微软雅黑" w:eastAsia="微软雅黑"/>
                <w:sz w:val="19"/>
              </w:rPr>
              <w:t>中金团队；明修、田明</w:t>
            </w:r>
          </w:p>
        </w:tc>
        <w:tc>
          <w:tcPr>
            <w:tcW w:w="2835" w:type="dxa"/>
          </w:tcPr>
          <w:p w14:paraId="259B1772">
            <w:r>
              <w:rPr>
                <w:rFonts w:ascii="微软雅黑" w:hAnsi="微软雅黑" w:eastAsia="微软雅黑"/>
                <w:sz w:val="19"/>
              </w:rPr>
              <w:t>技术判断力验证、VLA scaling瓶颈、政府关系、潜在联合投资</w:t>
            </w:r>
          </w:p>
        </w:tc>
      </w:tr>
    </w:tbl>
    <w:p w14:paraId="377557AE">
      <w:pPr>
        <w:spacing w:after="80"/>
      </w:pPr>
    </w:p>
    <w:p w14:paraId="64D687E8">
      <w:pPr>
        <w:pStyle w:val="3"/>
      </w:pPr>
      <w:r>
        <w:rPr>
          <w:rFonts w:ascii="微软雅黑" w:hAnsi="微软雅黑" w:eastAsia="微软雅黑"/>
          <w:color w:val="2C3E50"/>
        </w:rPr>
        <w:t>第二部分  核心主题综合整理（跨会议合并）</w:t>
      </w:r>
    </w:p>
    <w:p w14:paraId="3E1F5CC8">
      <w:pPr>
        <w:spacing w:after="80"/>
      </w:pPr>
      <w:r>
        <w:rPr>
          <w:rFonts w:ascii="微软雅黑" w:hAnsi="微软雅黑" w:eastAsia="微软雅黑"/>
          <w:b w:val="0"/>
          <w:sz w:val="21"/>
        </w:rPr>
        <w:t>以下按主题归并五场会议中的核心信息，相同或相似内容已合并标注来源。来源标记：[浙创投]=浙创投沈千旸面谈；[杭实]=杭实复啄面谈；[东方嘉富]=东方嘉富郑格面谈；[光源]=FA光源资本权博沟通；[中金]=中金见面会。</w:t>
      </w:r>
    </w:p>
    <w:p w14:paraId="220F33AF">
      <w:pPr>
        <w:pStyle w:val="4"/>
      </w:pPr>
      <w:r>
        <w:rPr>
          <w:rFonts w:ascii="微软雅黑" w:hAnsi="微软雅黑" w:eastAsia="微软雅黑"/>
          <w:color w:val="34495E"/>
        </w:rPr>
        <w:t>2.1  团队与背景</w:t>
      </w:r>
    </w:p>
    <w:p w14:paraId="40E46D7A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实验室起源：</w:t>
      </w:r>
      <w:r>
        <w:rPr>
          <w:rFonts w:ascii="微软雅黑" w:hAnsi="微软雅黑" w:eastAsia="微软雅黑"/>
          <w:sz w:val="21"/>
        </w:rPr>
        <w:t>达摩院具身智能实验室成立于2024年3月，比蚂蚁灵波早6个月。首批10+核心TL（Team Lead，团队负责人）全部来自达摩院，涵盖算法、数据、系统工程等方向。[浙创投、杭实、中金]</w:t>
      </w:r>
    </w:p>
    <w:p w14:paraId="09E02FC6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核心创始人：</w:t>
      </w:r>
      <w:r>
        <w:rPr>
          <w:rFonts w:ascii="微软雅黑" w:hAnsi="微软雅黑" w:eastAsia="微软雅黑"/>
          <w:sz w:val="21"/>
        </w:rPr>
        <w:t>创始人明修（CTO），联合创始人田明。明修last day原定7月底，已延至8月10日。[浙创投、中金]</w:t>
      </w:r>
    </w:p>
    <w:p w14:paraId="521C88CB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CFO Eric Wang：</w:t>
      </w:r>
      <w:r>
        <w:rPr>
          <w:rFonts w:ascii="微软雅黑" w:hAnsi="微软雅黑" w:eastAsia="微软雅黑"/>
          <w:sz w:val="21"/>
        </w:rPr>
        <w:t>Eric Wang（王舜德），前阿里财务VP（汇报蔡崇信）→金山CFO→Rok</w:t>
      </w:r>
      <w:r>
        <w:rPr>
          <w:rFonts w:hint="eastAsia"/>
          <w:sz w:val="21"/>
          <w:lang w:val="en-US" w:eastAsia="zh-CN"/>
        </w:rPr>
        <w:t>id</w:t>
      </w:r>
      <w:r>
        <w:rPr>
          <w:rFonts w:ascii="微软雅黑" w:hAnsi="微软雅黑" w:eastAsia="微软雅黑"/>
          <w:sz w:val="21"/>
        </w:rPr>
        <w:t>（PICO）联合创始人，"退休两次"后被明修邀请出任CFO。Eric同时担任明修的创业导师角色，主导股权融资节奏和结果。[杭实、光源]</w:t>
      </w:r>
    </w:p>
    <w:p w14:paraId="007A3FBE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算法负责人：</w:t>
      </w:r>
      <w:r>
        <w:rPr>
          <w:rFonts w:ascii="微软雅黑" w:hAnsi="微软雅黑" w:eastAsia="微软雅黑"/>
          <w:sz w:val="21"/>
        </w:rPr>
        <w:t>算法负责人Google Scholar引用1万+，在具身智能领域有顶级学术影响力。[浙创投]</w:t>
      </w:r>
    </w:p>
    <w:p w14:paraId="788E2575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外部评价：</w:t>
      </w:r>
      <w:r>
        <w:rPr>
          <w:rFonts w:ascii="微软雅黑" w:hAnsi="微软雅黑" w:eastAsia="微软雅黑"/>
          <w:sz w:val="21"/>
        </w:rPr>
        <w:t>赵德利（赵老师）——杭实复啄方面，对ROBOX技术给予高度认可："国内做大脑最好的团队"。[杭实]</w:t>
      </w:r>
    </w:p>
    <w:p w14:paraId="36D311A7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政府关系：</w:t>
      </w:r>
      <w:r>
        <w:rPr>
          <w:rFonts w:ascii="微软雅黑" w:hAnsi="微软雅黑" w:eastAsia="微软雅黑"/>
          <w:sz w:val="21"/>
        </w:rPr>
        <w:t>明修主导政府关系（发改委/工信部），"省里面的关系都是因为他们找我们院，都是我出面去聊的"。中金愿意引荐政府侧资源。[中金]</w:t>
      </w:r>
    </w:p>
    <w:p w14:paraId="5E99DECF">
      <w:pPr>
        <w:pStyle w:val="4"/>
      </w:pPr>
      <w:r>
        <w:rPr>
          <w:rFonts w:ascii="微软雅黑" w:hAnsi="微软雅黑" w:eastAsia="微软雅黑"/>
          <w:color w:val="34495E"/>
        </w:rPr>
        <w:t>2.2  技术架构：System 2/1/0 三层分层体系</w:t>
      </w:r>
    </w:p>
    <w:p w14:paraId="06BEED9A">
      <w:pPr>
        <w:spacing w:after="80"/>
      </w:pPr>
      <w:r>
        <w:rPr>
          <w:rFonts w:ascii="微软雅黑" w:hAnsi="微软雅黑" w:eastAsia="微软雅黑"/>
          <w:b w:val="0"/>
          <w:sz w:val="20"/>
        </w:rPr>
        <w:t>ROBOX技术架构的核心创新是三层分层体系，五场会议中均做了重点介绍，叙事高度一致。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1191"/>
        <w:gridCol w:w="871"/>
        <w:gridCol w:w="1684"/>
        <w:gridCol w:w="1417"/>
        <w:gridCol w:w="1984"/>
      </w:tblGrid>
      <w:tr w14:paraId="1CDF2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2C3E50"/>
          </w:tcPr>
          <w:p w14:paraId="6748653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1134" w:type="dxa"/>
            <w:shd w:val="clear" w:color="auto" w:fill="2C3E50"/>
          </w:tcPr>
          <w:p w14:paraId="0215DA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w="850" w:type="dxa"/>
            <w:shd w:val="clear" w:color="auto" w:fill="2C3E50"/>
          </w:tcPr>
          <w:p w14:paraId="7262939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参数规模</w:t>
            </w:r>
          </w:p>
        </w:tc>
        <w:tc>
          <w:tcPr>
            <w:tcW w:w="1134" w:type="dxa"/>
            <w:shd w:val="clear" w:color="auto" w:fill="2C3E50"/>
          </w:tcPr>
          <w:p w14:paraId="4C577B9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架构</w:t>
            </w:r>
          </w:p>
        </w:tc>
        <w:tc>
          <w:tcPr>
            <w:tcW w:w="1417" w:type="dxa"/>
            <w:shd w:val="clear" w:color="auto" w:fill="2C3E50"/>
          </w:tcPr>
          <w:p w14:paraId="0EC1D4A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核心功能</w:t>
            </w:r>
          </w:p>
        </w:tc>
        <w:tc>
          <w:tcPr>
            <w:tcW w:w="1984" w:type="dxa"/>
            <w:shd w:val="clear" w:color="auto" w:fill="2C3E50"/>
          </w:tcPr>
          <w:p w14:paraId="6F26BF0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关键特性</w:t>
            </w:r>
          </w:p>
        </w:tc>
      </w:tr>
      <w:tr w14:paraId="7AE91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44729B6">
            <w:r>
              <w:rPr>
                <w:rFonts w:ascii="微软雅黑" w:hAnsi="微软雅黑" w:eastAsia="微软雅黑"/>
                <w:sz w:val="19"/>
              </w:rPr>
              <w:t>System 2</w:t>
            </w:r>
          </w:p>
        </w:tc>
        <w:tc>
          <w:tcPr>
            <w:tcW w:w="1134" w:type="dxa"/>
          </w:tcPr>
          <w:p w14:paraId="117F9FC7">
            <w:r>
              <w:rPr>
                <w:rFonts w:ascii="微软雅黑" w:hAnsi="微软雅黑" w:eastAsia="微软雅黑"/>
                <w:sz w:val="19"/>
              </w:rPr>
              <w:t>Rainbow Brain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(彩虹大脑)</w:t>
            </w:r>
          </w:p>
        </w:tc>
        <w:tc>
          <w:tcPr>
            <w:tcW w:w="850" w:type="dxa"/>
          </w:tcPr>
          <w:p w14:paraId="5D764F91">
            <w:r>
              <w:rPr>
                <w:rFonts w:ascii="微软雅黑" w:hAnsi="微软雅黑" w:eastAsia="微软雅黑"/>
                <w:sz w:val="19"/>
              </w:rPr>
              <w:t>122B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(千亿参数)</w:t>
            </w:r>
          </w:p>
        </w:tc>
        <w:tc>
          <w:tcPr>
            <w:tcW w:w="1134" w:type="dxa"/>
          </w:tcPr>
          <w:p w14:paraId="326D6077">
            <w:r>
              <w:rPr>
                <w:rFonts w:ascii="微软雅黑" w:hAnsi="微软雅黑" w:eastAsia="微软雅黑"/>
                <w:sz w:val="19"/>
              </w:rPr>
              <w:t>纯AR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(Autoregressive,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自回归)</w:t>
            </w:r>
          </w:p>
        </w:tc>
        <w:tc>
          <w:tcPr>
            <w:tcW w:w="1417" w:type="dxa"/>
          </w:tcPr>
          <w:p w14:paraId="34F7ECFA">
            <w:r>
              <w:rPr>
                <w:rFonts w:ascii="微软雅黑" w:hAnsi="微软雅黑" w:eastAsia="微软雅黑"/>
                <w:sz w:val="19"/>
              </w:rPr>
              <w:t>云端大脑：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世界理解与规划</w:t>
            </w:r>
          </w:p>
        </w:tc>
        <w:tc>
          <w:tcPr>
            <w:tcW w:w="1984" w:type="dxa"/>
          </w:tcPr>
          <w:p w14:paraId="6A7E0D44">
            <w:r>
              <w:rPr>
                <w:rFonts w:ascii="微软雅黑" w:hAnsi="微软雅黑" w:eastAsia="微软雅黑"/>
                <w:sz w:val="19"/>
              </w:rPr>
              <w:t>scaling无上限；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国内唯一被NVIDIA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Cosmos 3 benchmark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对比</w:t>
            </w:r>
          </w:p>
        </w:tc>
      </w:tr>
      <w:tr w14:paraId="5BEAB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1971363">
            <w:r>
              <w:rPr>
                <w:rFonts w:ascii="微软雅黑" w:hAnsi="微软雅黑" w:eastAsia="微软雅黑"/>
                <w:sz w:val="19"/>
              </w:rPr>
              <w:t>System 1</w:t>
            </w:r>
          </w:p>
        </w:tc>
        <w:tc>
          <w:tcPr>
            <w:tcW w:w="1134" w:type="dxa"/>
          </w:tcPr>
          <w:p w14:paraId="234165D8">
            <w:r>
              <w:rPr>
                <w:rFonts w:ascii="微软雅黑" w:hAnsi="微软雅黑" w:eastAsia="微软雅黑"/>
                <w:sz w:val="19"/>
              </w:rPr>
              <w:t>VLA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(Vision-Language-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Action)</w:t>
            </w:r>
          </w:p>
        </w:tc>
        <w:tc>
          <w:tcPr>
            <w:tcW w:w="850" w:type="dxa"/>
          </w:tcPr>
          <w:p w14:paraId="0076E67B">
            <w:r>
              <w:rPr>
                <w:rFonts w:ascii="微软雅黑" w:hAnsi="微软雅黑" w:eastAsia="微软雅黑"/>
                <w:sz w:val="19"/>
              </w:rPr>
              <w:t>从System 2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蒸馏</w:t>
            </w:r>
          </w:p>
        </w:tc>
        <w:tc>
          <w:tcPr>
            <w:tcW w:w="1134" w:type="dxa"/>
          </w:tcPr>
          <w:p w14:paraId="6ED4CBAF">
            <w:r>
              <w:rPr>
                <w:rFonts w:ascii="微软雅黑" w:hAnsi="微软雅黑" w:eastAsia="微软雅黑"/>
                <w:sz w:val="19"/>
              </w:rPr>
              <w:t>纯AR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(与System 2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同构)</w:t>
            </w:r>
          </w:p>
        </w:tc>
        <w:tc>
          <w:tcPr>
            <w:tcW w:w="1417" w:type="dxa"/>
          </w:tcPr>
          <w:p w14:paraId="11D0C32E">
            <w:r>
              <w:rPr>
                <w:rFonts w:ascii="微软雅黑" w:hAnsi="微软雅黑" w:eastAsia="微软雅黑"/>
                <w:sz w:val="19"/>
              </w:rPr>
              <w:t>端侧执行：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感知→决策→动作</w:t>
            </w:r>
          </w:p>
        </w:tc>
        <w:tc>
          <w:tcPr>
            <w:tcW w:w="1984" w:type="dxa"/>
          </w:tcPr>
          <w:p w14:paraId="2F5ADBA3">
            <w:r>
              <w:rPr>
                <w:rFonts w:ascii="微软雅黑" w:hAnsi="微软雅黑" w:eastAsia="微软雅黑"/>
                <w:sz w:val="19"/>
              </w:rPr>
              <w:t>与System 2通过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latent space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(潜空间)通信，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非自然语言——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业界首创</w:t>
            </w:r>
          </w:p>
        </w:tc>
      </w:tr>
      <w:tr w14:paraId="54ECE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1FFCFDC">
            <w:r>
              <w:rPr>
                <w:rFonts w:ascii="微软雅黑" w:hAnsi="微软雅黑" w:eastAsia="微软雅黑"/>
                <w:sz w:val="19"/>
              </w:rPr>
              <w:t>System 0</w:t>
            </w:r>
          </w:p>
        </w:tc>
        <w:tc>
          <w:tcPr>
            <w:tcW w:w="1134" w:type="dxa"/>
          </w:tcPr>
          <w:p w14:paraId="2C83359E">
            <w:r>
              <w:rPr>
                <w:rFonts w:ascii="微软雅黑" w:hAnsi="微软雅黑" w:eastAsia="微软雅黑"/>
                <w:sz w:val="19"/>
              </w:rPr>
              <w:t>行为基础模型</w:t>
            </w:r>
          </w:p>
        </w:tc>
        <w:tc>
          <w:tcPr>
            <w:tcW w:w="850" w:type="dxa"/>
          </w:tcPr>
          <w:p w14:paraId="60583F76"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w="1134" w:type="dxa"/>
          </w:tcPr>
          <w:p w14:paraId="01C03482"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w="1417" w:type="dxa"/>
          </w:tcPr>
          <w:p w14:paraId="602084E2">
            <w:r>
              <w:rPr>
                <w:rFonts w:ascii="微软雅黑" w:hAnsi="微软雅黑" w:eastAsia="微软雅黑"/>
                <w:sz w:val="19"/>
              </w:rPr>
              <w:t>高频电机控制</w:t>
            </w:r>
          </w:p>
        </w:tc>
        <w:tc>
          <w:tcPr>
            <w:tcW w:w="1984" w:type="dxa"/>
          </w:tcPr>
          <w:p w14:paraId="1A005485">
            <w:r>
              <w:rPr>
                <w:rFonts w:ascii="微软雅黑" w:hAnsi="微软雅黑" w:eastAsia="微软雅黑"/>
                <w:sz w:val="19"/>
              </w:rPr>
              <w:t>优于NVIDIA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SONIC；解决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底层控制问题</w:t>
            </w:r>
          </w:p>
        </w:tc>
      </w:tr>
    </w:tbl>
    <w:p w14:paraId="0059C477">
      <w:pPr>
        <w:spacing w:after="80"/>
      </w:pPr>
    </w:p>
    <w:p w14:paraId="2119DA09">
      <w:pPr>
        <w:spacing w:after="80"/>
      </w:pPr>
      <w:r>
        <w:rPr>
          <w:rFonts w:ascii="微软雅黑" w:hAnsi="微软雅黑" w:eastAsia="微软雅黑"/>
          <w:b/>
          <w:color w:val="2C3E50"/>
          <w:sz w:val="21"/>
        </w:rPr>
        <w:t>关键技术创新点：</w:t>
      </w:r>
    </w:p>
    <w:p w14:paraId="77D310C9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AR vs Diffusion：</w:t>
      </w:r>
      <w:r>
        <w:rPr>
          <w:rFonts w:ascii="微软雅黑" w:hAnsi="微软雅黑" w:eastAsia="微软雅黑"/>
          <w:sz w:val="21"/>
        </w:rPr>
        <w:t>System 2与System 1均采用纯AR (Autoregressive，自回归)架构，非diffusion（扩散模型）。明修指出：diffusion架构的VLA (Vision-Language-Action，视觉-语言-动作模型)存在scaling bottleneck（扩展瓶颈），AR架构可无限扩展。[光源、中金]</w:t>
      </w:r>
    </w:p>
    <w:p w14:paraId="66FF26AD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Latent Space通信：</w:t>
      </w:r>
      <w:r>
        <w:rPr>
          <w:rFonts w:ascii="微软雅黑" w:hAnsi="微软雅黑" w:eastAsia="微软雅黑"/>
          <w:sz w:val="21"/>
        </w:rPr>
        <w:t>System 2与System 1通过latent space（潜空间）通信，而非自然语言。这避免了语言描述的精度损失，是业界首创。[光源、中金、杭实]</w:t>
      </w:r>
    </w:p>
    <w:p w14:paraId="392EF6CD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Action VAE：</w:t>
      </w:r>
      <w:r>
        <w:rPr>
          <w:rFonts w:ascii="微软雅黑" w:hAnsi="微软雅黑" w:eastAsia="微软雅黑"/>
          <w:sz w:val="21"/>
        </w:rPr>
        <w:t>Action VAE (Action Variational Autoencoder，动作变分自编码器)将人手/机器人手轨迹编码为连续潜表示，避免OpenVLA等离散化动作的精度损失，解决chunk-to-chunk（块间）抖动问题。[光源]</w:t>
      </w:r>
    </w:p>
    <w:p w14:paraId="2D817B21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ViLoS消融实验：</w:t>
      </w:r>
      <w:r>
        <w:rPr>
          <w:rFonts w:ascii="微软雅黑" w:hAnsi="微软雅黑" w:eastAsia="微软雅黑"/>
          <w:sz w:val="21"/>
        </w:rPr>
        <w:t>ViLoS (Vision-Language-Style，视觉-语言-风格)消融实验完整量化了数据贡献：随机参数4.4% → +多模态初始化50% → +Ego数据84% → +Action VAE 90.6%。[光源、中金]</w:t>
      </w:r>
    </w:p>
    <w:p w14:paraId="7C1C6898">
      <w:pPr>
        <w:pStyle w:val="4"/>
      </w:pPr>
      <w:r>
        <w:rPr>
          <w:rFonts w:ascii="微软雅黑" w:hAnsi="微软雅黑" w:eastAsia="微软雅黑"/>
          <w:color w:val="34495E"/>
        </w:rPr>
        <w:t>2.3  触觉世界模型 (TacWM, Tactile World Model)</w:t>
      </w:r>
    </w:p>
    <w:p w14:paraId="06CA0430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战略定位：</w:t>
      </w:r>
      <w:r>
        <w:rPr>
          <w:rFonts w:ascii="微软雅黑" w:hAnsi="微软雅黑" w:eastAsia="微软雅黑"/>
          <w:sz w:val="21"/>
        </w:rPr>
        <w:t>明修在FA会议中明确："触觉是我们的一个重要手段"——定位为"重要手段"，而非公司唯一核心。[光源]</w:t>
      </w:r>
    </w:p>
    <w:p w14:paraId="726A8231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切入角度：</w:t>
      </w:r>
      <w:r>
        <w:rPr>
          <w:rFonts w:ascii="微软雅黑" w:hAnsi="微软雅黑" w:eastAsia="微软雅黑"/>
          <w:sz w:val="21"/>
        </w:rPr>
        <w:t>田明在浙创投资议中："在手的层面上，我们主要是从触觉来切入"——触觉是手层面工作的切入点。[浙创投]</w:t>
      </w:r>
    </w:p>
    <w:p w14:paraId="60209B66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发现过程：</w:t>
      </w:r>
      <w:r>
        <w:rPr>
          <w:rFonts w:ascii="微软雅黑" w:hAnsi="微软雅黑" w:eastAsia="微软雅黑"/>
          <w:sz w:val="21"/>
        </w:rPr>
        <w:t>在中金会议中明修表述："我们还在做这个过程中发现触觉是很关键的"——触觉是在研发过程中发现的关键能力，非初始 thesis。[中金]</w:t>
      </w:r>
    </w:p>
    <w:p w14:paraId="5B16063E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核心价值：</w:t>
      </w:r>
      <w:r>
        <w:rPr>
          <w:rFonts w:ascii="微软雅黑" w:hAnsi="微软雅黑" w:eastAsia="微软雅黑"/>
          <w:sz w:val="21"/>
        </w:rPr>
        <w:t>田明在中金会议强调："核心是大脑，这是最终交付价值最重要的环节"。[中金]</w:t>
      </w:r>
    </w:p>
    <w:p w14:paraId="57A81852">
      <w:pPr>
        <w:spacing w:after="80"/>
      </w:pPr>
    </w:p>
    <w:p w14:paraId="387905C0">
      <w:pPr>
        <w:spacing w:after="80"/>
      </w:pPr>
      <w:r>
        <w:rPr>
          <w:rFonts w:ascii="微软雅黑" w:hAnsi="微软雅黑" w:eastAsia="微软雅黑"/>
          <w:b/>
          <w:color w:val="2C3E50"/>
          <w:sz w:val="21"/>
        </w:rPr>
        <w:t>TacWM解决的工程问题：</w:t>
      </w:r>
    </w:p>
    <w:p w14:paraId="40902188">
      <w:pPr>
        <w:pStyle w:val="16"/>
        <w:spacing w:after="40"/>
        <w:ind w:left="1020"/>
      </w:pPr>
      <w:r>
        <w:rPr>
          <w:rFonts w:ascii="微软雅黑" w:hAnsi="微软雅黑" w:eastAsia="微软雅黑"/>
          <w:sz w:val="21"/>
        </w:rPr>
        <w:t>Contact-before（接触前）：视觉+触觉先验预测接触位置与力度</w:t>
      </w:r>
    </w:p>
    <w:p w14:paraId="1491A55E">
      <w:pPr>
        <w:pStyle w:val="16"/>
        <w:spacing w:after="40"/>
        <w:ind w:left="1020"/>
      </w:pPr>
      <w:r>
        <w:rPr>
          <w:rFonts w:ascii="微软雅黑" w:hAnsi="微软雅黑" w:eastAsia="微软雅黑"/>
          <w:sz w:val="21"/>
        </w:rPr>
        <w:t>Contact-after（接触后）：触觉世界模型用于抓握调整，视觉失效时触觉成为第一感知</w:t>
      </w:r>
    </w:p>
    <w:p w14:paraId="072A8586">
      <w:pPr>
        <w:pStyle w:val="16"/>
        <w:spacing w:after="40"/>
        <w:ind w:left="1020"/>
      </w:pPr>
      <w:r>
        <w:rPr>
          <w:rFonts w:ascii="微软雅黑" w:hAnsi="微软雅黑" w:eastAsia="微软雅黑"/>
          <w:sz w:val="21"/>
        </w:rPr>
        <w:t>明修从第一性原理论证："今天我们在这个操作，我看不见的情况下，我也可以去做这个动作……视觉失效的情况下，触觉就变成了第一"。[光源]</w:t>
      </w:r>
    </w:p>
    <w:p w14:paraId="7CF63342">
      <w:pPr>
        <w:spacing w:after="80"/>
      </w:pPr>
    </w:p>
    <w:p w14:paraId="3F0B17FD">
      <w:pPr>
        <w:spacing w:after="80"/>
      </w:pPr>
      <w:r>
        <w:rPr>
          <w:rFonts w:ascii="微软雅黑" w:hAnsi="微软雅黑" w:eastAsia="微软雅黑"/>
          <w:b/>
          <w:color w:val="2C3E50"/>
          <w:sz w:val="21"/>
        </w:rPr>
        <w:t>触觉数据采集管线（Pipeline）：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1984"/>
        <w:gridCol w:w="1417"/>
      </w:tblGrid>
      <w:tr w14:paraId="367D5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C3E50"/>
          </w:tcPr>
          <w:p w14:paraId="6D2AB62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2268" w:type="dxa"/>
            <w:shd w:val="clear" w:color="auto" w:fill="2C3E50"/>
          </w:tcPr>
          <w:p w14:paraId="5684ABA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w="1984" w:type="dxa"/>
            <w:shd w:val="clear" w:color="auto" w:fill="2C3E50"/>
          </w:tcPr>
          <w:p w14:paraId="5EE4D57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准确率/效果</w:t>
            </w:r>
          </w:p>
        </w:tc>
        <w:tc>
          <w:tcPr>
            <w:tcW w:w="1417" w:type="dxa"/>
            <w:shd w:val="clear" w:color="auto" w:fill="2C3E50"/>
          </w:tcPr>
          <w:p w14:paraId="38C47FF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 w14:paraId="1944A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711610">
            <w:r>
              <w:rPr>
                <w:rFonts w:ascii="微软雅黑" w:hAnsi="微软雅黑" w:eastAsia="微软雅黑"/>
                <w:sz w:val="19"/>
              </w:rPr>
              <w:t>1. 第一视角视频</w:t>
            </w:r>
          </w:p>
        </w:tc>
        <w:tc>
          <w:tcPr>
            <w:tcW w:w="2268" w:type="dxa"/>
          </w:tcPr>
          <w:p w14:paraId="060BF85C">
            <w:r>
              <w:rPr>
                <w:rFonts w:ascii="微软雅黑" w:hAnsi="微软雅黑" w:eastAsia="微软雅黑"/>
                <w:sz w:val="19"/>
              </w:rPr>
              <w:t>手机APP采集人手操作视频</w:t>
            </w:r>
          </w:p>
        </w:tc>
        <w:tc>
          <w:tcPr>
            <w:tcW w:w="1984" w:type="dxa"/>
          </w:tcPr>
          <w:p w14:paraId="321E5380">
            <w:r>
              <w:rPr>
                <w:rFonts w:ascii="微软雅黑" w:hAnsi="微软雅黑" w:eastAsia="微软雅黑"/>
                <w:sz w:val="19"/>
              </w:rPr>
              <w:t>原子动作提取</w:t>
            </w:r>
          </w:p>
        </w:tc>
        <w:tc>
          <w:tcPr>
            <w:tcW w:w="1417" w:type="dxa"/>
          </w:tcPr>
          <w:p w14:paraId="794BDDBB">
            <w:r>
              <w:rPr>
                <w:rFonts w:ascii="微软雅黑" w:hAnsi="微软雅黑" w:eastAsia="微软雅黑"/>
                <w:sz w:val="19"/>
              </w:rPr>
              <w:t>[光源、中金]</w:t>
            </w:r>
          </w:p>
        </w:tc>
      </w:tr>
      <w:tr w14:paraId="0884B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8AB5863">
            <w:r>
              <w:rPr>
                <w:rFonts w:ascii="微软雅黑" w:hAnsi="微软雅黑" w:eastAsia="微软雅黑"/>
                <w:sz w:val="19"/>
              </w:rPr>
              <w:t>2. 仿真学习</w:t>
            </w:r>
          </w:p>
        </w:tc>
        <w:tc>
          <w:tcPr>
            <w:tcW w:w="2268" w:type="dxa"/>
          </w:tcPr>
          <w:p w14:paraId="3531199E">
            <w:r>
              <w:rPr>
                <w:rFonts w:ascii="微软雅黑" w:hAnsi="微软雅黑" w:eastAsia="微软雅黑"/>
                <w:sz w:val="19"/>
              </w:rPr>
              <w:t>3D资产恢复 → 仿真环境学习</w:t>
            </w:r>
          </w:p>
        </w:tc>
        <w:tc>
          <w:tcPr>
            <w:tcW w:w="1984" w:type="dxa"/>
          </w:tcPr>
          <w:p w14:paraId="54FFC044">
            <w:r>
              <w:rPr>
                <w:rFonts w:ascii="微软雅黑" w:hAnsi="微软雅黑" w:eastAsia="微软雅黑"/>
                <w:sz w:val="19"/>
              </w:rPr>
              <w:t>~80%准确率</w:t>
            </w:r>
          </w:p>
        </w:tc>
        <w:tc>
          <w:tcPr>
            <w:tcW w:w="1417" w:type="dxa"/>
          </w:tcPr>
          <w:p w14:paraId="2E973F5B">
            <w:r>
              <w:rPr>
                <w:rFonts w:ascii="微软雅黑" w:hAnsi="微软雅黑" w:eastAsia="微软雅黑"/>
                <w:sz w:val="19"/>
              </w:rPr>
              <w:t>[光源]</w:t>
            </w:r>
          </w:p>
        </w:tc>
      </w:tr>
      <w:tr w14:paraId="52CAD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50F07EE">
            <w:r>
              <w:rPr>
                <w:rFonts w:ascii="微软雅黑" w:hAnsi="微软雅黑" w:eastAsia="微软雅黑"/>
                <w:sz w:val="19"/>
              </w:rPr>
              <w:t>3. 真机部署</w:t>
            </w:r>
          </w:p>
        </w:tc>
        <w:tc>
          <w:tcPr>
            <w:tcW w:w="2268" w:type="dxa"/>
          </w:tcPr>
          <w:p w14:paraId="4BFDF426">
            <w:r>
              <w:rPr>
                <w:rFonts w:ascii="微软雅黑" w:hAnsi="微软雅黑" w:eastAsia="微软雅黑"/>
                <w:sz w:val="19"/>
              </w:rPr>
              <w:t>仿真→真机迁移 (Sim-to-Real)</w:t>
            </w:r>
          </w:p>
        </w:tc>
        <w:tc>
          <w:tcPr>
            <w:tcW w:w="1984" w:type="dxa"/>
          </w:tcPr>
          <w:p w14:paraId="064B431A">
            <w:r>
              <w:rPr>
                <w:rFonts w:ascii="微软雅黑" w:hAnsi="微软雅黑" w:eastAsia="微软雅黑"/>
                <w:sz w:val="19"/>
              </w:rPr>
              <w:t>90%+成功率</w:t>
            </w:r>
          </w:p>
        </w:tc>
        <w:tc>
          <w:tcPr>
            <w:tcW w:w="1417" w:type="dxa"/>
          </w:tcPr>
          <w:p w14:paraId="792B0C38">
            <w:r>
              <w:rPr>
                <w:rFonts w:ascii="微软雅黑" w:hAnsi="微软雅黑" w:eastAsia="微软雅黑"/>
                <w:sz w:val="19"/>
              </w:rPr>
              <w:t>[光源]</w:t>
            </w:r>
          </w:p>
        </w:tc>
      </w:tr>
      <w:tr w14:paraId="2DB76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D378F0F">
            <w:r>
              <w:rPr>
                <w:rFonts w:ascii="微软雅黑" w:hAnsi="微软雅黑" w:eastAsia="微软雅黑"/>
                <w:sz w:val="19"/>
              </w:rPr>
              <w:t>4. 触觉手套采集</w:t>
            </w:r>
          </w:p>
        </w:tc>
        <w:tc>
          <w:tcPr>
            <w:tcW w:w="2268" w:type="dxa"/>
          </w:tcPr>
          <w:p w14:paraId="6F2FA1EB">
            <w:r>
              <w:rPr>
                <w:rFonts w:ascii="微软雅黑" w:hAnsi="微软雅黑" w:eastAsia="微软雅黑"/>
                <w:sz w:val="19"/>
              </w:rPr>
              <w:t>触觉手套采集同模态数据</w:t>
            </w:r>
          </w:p>
        </w:tc>
        <w:tc>
          <w:tcPr>
            <w:tcW w:w="1984" w:type="dxa"/>
          </w:tcPr>
          <w:p w14:paraId="46C28665">
            <w:r>
              <w:rPr>
                <w:rFonts w:ascii="微软雅黑" w:hAnsi="微软雅黑" w:eastAsia="微软雅黑"/>
                <w:sz w:val="19"/>
              </w:rPr>
              <w:t>与机器人手传感器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同模态，可规模化</w:t>
            </w:r>
          </w:p>
        </w:tc>
        <w:tc>
          <w:tcPr>
            <w:tcW w:w="1417" w:type="dxa"/>
          </w:tcPr>
          <w:p w14:paraId="59507673">
            <w:r>
              <w:rPr>
                <w:rFonts w:ascii="微软雅黑" w:hAnsi="微软雅黑" w:eastAsia="微软雅黑"/>
                <w:sz w:val="19"/>
              </w:rPr>
              <w:t>[光源]</w:t>
            </w:r>
          </w:p>
        </w:tc>
      </w:tr>
    </w:tbl>
    <w:p w14:paraId="25EE448E">
      <w:pPr>
        <w:spacing w:after="80"/>
      </w:pPr>
    </w:p>
    <w:p w14:paraId="7975359A">
      <w:pPr>
        <w:spacing w:after="80"/>
      </w:pPr>
      <w:r>
        <w:rPr>
          <w:rFonts w:ascii="微软雅黑" w:hAnsi="微软雅黑" w:eastAsia="微软雅黑"/>
          <w:b/>
          <w:color w:val="2C3E50"/>
          <w:sz w:val="21"/>
        </w:rPr>
        <w:t>触觉传感器选型：</w:t>
      </w:r>
    </w:p>
    <w:p w14:paraId="0D62BCDB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选用数觉（vision-based tactile sensor，基于视觉的触觉传感器）方案——精度最高、成本最低（约10元/个传感器），但结构刚性。[光源]</w:t>
      </w:r>
    </w:p>
    <w:p w14:paraId="0DEB311F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Touch Encoder（触觉编码器）设计为模态无关（modality-agnostic），可兼容未来不同类型触觉传感器输入，预留架构灵活性。[光源]</w:t>
      </w:r>
    </w:p>
    <w:p w14:paraId="04CFC834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对比方案：磁力式（精度低）、压电式（成本高）、压阻式（一致性差），均不如数觉方案。[光源]</w:t>
      </w:r>
    </w:p>
    <w:p w14:paraId="6663682B">
      <w:pPr>
        <w:pStyle w:val="4"/>
      </w:pPr>
      <w:r>
        <w:rPr>
          <w:rFonts w:ascii="微软雅黑" w:hAnsi="微软雅黑" w:eastAsia="微软雅黑"/>
          <w:color w:val="34495E"/>
        </w:rPr>
        <w:t>2.4  数据战略</w:t>
      </w:r>
    </w:p>
    <w:p w14:paraId="58D162EF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Ego数据先发优势：</w:t>
      </w:r>
      <w:r>
        <w:rPr>
          <w:rFonts w:ascii="微软雅黑" w:hAnsi="微软雅黑" w:eastAsia="微软雅黑"/>
          <w:sz w:val="21"/>
        </w:rPr>
        <w:t>ROBOX自2024年开始Ego (Egocentric，第一视角)数据采集，2025年8月发布ViLoS。行业跟随者在6-12个月后才开始，NVIDIA EgoSkill于2026年2月才发布。[光源、中金]</w:t>
      </w:r>
    </w:p>
    <w:p w14:paraId="65E07DFF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数据规模：</w:t>
      </w:r>
      <w:r>
        <w:rPr>
          <w:rFonts w:ascii="微软雅黑" w:hAnsi="微软雅黑" w:eastAsia="微软雅黑"/>
          <w:sz w:val="21"/>
        </w:rPr>
        <w:t>当前4000→8000小时；12个月目标50-100万小时。行业门槛在50万小时（北美领先），卢中青声称50万但实际有效仅7万。[中金、光源]</w:t>
      </w:r>
    </w:p>
    <w:p w14:paraId="0544727C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数据贡献量化：</w:t>
      </w:r>
      <w:r>
        <w:rPr>
          <w:rFonts w:ascii="微软雅黑" w:hAnsi="微软雅黑" w:eastAsia="微软雅黑"/>
          <w:sz w:val="21"/>
        </w:rPr>
        <w:t>Ego数据→多模态初始化→Action VAE，每一步都有消融实验量化贡献（4.4%→50%→84%→90.6%）。[光源、中金]</w:t>
      </w:r>
    </w:p>
    <w:p w14:paraId="00F4BE99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触觉数据瓶颈论：</w:t>
      </w:r>
      <w:r>
        <w:rPr>
          <w:rFonts w:ascii="微软雅黑" w:hAnsi="微软雅黑" w:eastAsia="微软雅黑"/>
          <w:sz w:val="21"/>
        </w:rPr>
        <w:t>明修指出："所有人都会跟您讲触觉世界模型……但所有人都没有再去直面一个问题……触觉的数据"——触觉数据是行业瓶颈，ROBOX通过采集管线突破。[光源]</w:t>
      </w:r>
    </w:p>
    <w:p w14:paraId="3C9375E1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数据飞轮概念：</w:t>
      </w:r>
      <w:r>
        <w:rPr>
          <w:rFonts w:ascii="微软雅黑" w:hAnsi="微软雅黑" w:eastAsia="微软雅黑"/>
          <w:sz w:val="21"/>
        </w:rPr>
        <w:t>数据飞轮：更多场景→更多数据→更强模型→更多场景部署。Eric在杭实会议中重点阐述。[杭实]</w:t>
      </w:r>
    </w:p>
    <w:p w14:paraId="70A498EC">
      <w:pPr>
        <w:pStyle w:val="4"/>
      </w:pPr>
      <w:r>
        <w:rPr>
          <w:rFonts w:ascii="微软雅黑" w:hAnsi="微软雅黑" w:eastAsia="微软雅黑"/>
          <w:color w:val="34495E"/>
        </w:rPr>
        <w:t>2.5  IP隔离（达摩院→新公司）</w:t>
      </w:r>
    </w:p>
    <w:p w14:paraId="75A0378D">
      <w:pPr>
        <w:spacing w:after="80"/>
      </w:pPr>
      <w:r>
        <w:rPr>
          <w:rFonts w:ascii="微软雅黑" w:hAnsi="微软雅黑" w:eastAsia="微软雅黑"/>
          <w:b w:val="0"/>
          <w:sz w:val="21"/>
        </w:rPr>
        <w:t>IP隔离是所有五场会议中被问及最多的问题，明修的表述在五场会议中高度一致：</w:t>
      </w:r>
    </w:p>
    <w:p w14:paraId="2A426B42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开源隔离：</w:t>
      </w:r>
      <w:r>
        <w:rPr>
          <w:rFonts w:ascii="微软雅黑" w:hAnsi="微软雅黑" w:eastAsia="微软雅黑"/>
          <w:sz w:val="21"/>
        </w:rPr>
        <w:t>所有模型已Apache 2.0开源，不属于达摩院专有。[五场会议均提及]</w:t>
      </w:r>
    </w:p>
    <w:p w14:paraId="03091D4A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核心承诺：</w:t>
      </w:r>
      <w:r>
        <w:rPr>
          <w:rFonts w:ascii="微软雅黑" w:hAnsi="微软雅黑" w:eastAsia="微软雅黑"/>
          <w:sz w:val="21"/>
        </w:rPr>
        <w:t>"不会有任何一行代码或一条数据从这里（达摩院）出来"。[中金、浙创投]</w:t>
      </w:r>
    </w:p>
    <w:p w14:paraId="45B5854A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版本对应：</w:t>
      </w:r>
      <w:r>
        <w:rPr>
          <w:rFonts w:ascii="微软雅黑" w:hAnsi="微软雅黑" w:eastAsia="微软雅黑"/>
          <w:sz w:val="21"/>
        </w:rPr>
        <w:t>达摩院内部1.5版本 = 新公司1.0版本。模型架构和算法框架是公开的，具体数据和训练在新公司重新完成。[中金、光源]</w:t>
      </w:r>
    </w:p>
    <w:p w14:paraId="31E4ECC3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高层知情：</w:t>
      </w:r>
      <w:r>
        <w:rPr>
          <w:rFonts w:ascii="微软雅黑" w:hAnsi="微软雅黑" w:eastAsia="微软雅黑"/>
          <w:sz w:val="21"/>
        </w:rPr>
        <w:t>行健（达摩院院长）和吴泳铭（阿里CEO）均知情并支持创业。[浙创投、中金]</w:t>
      </w:r>
    </w:p>
    <w:p w14:paraId="35721E5F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时间节点：</w:t>
      </w:r>
      <w:r>
        <w:rPr>
          <w:rFonts w:ascii="微软雅黑" w:hAnsi="微软雅黑" w:eastAsia="微软雅黑"/>
          <w:sz w:val="21"/>
        </w:rPr>
        <w:t>明修last day延至8月</w:t>
      </w:r>
      <w:r>
        <w:rPr>
          <w:rFonts w:hint="eastAsia"/>
          <w:sz w:val="21"/>
          <w:lang w:val="en-US" w:eastAsia="zh-CN"/>
        </w:rPr>
        <w:t>6</w:t>
      </w:r>
      <w:r>
        <w:rPr>
          <w:rFonts w:ascii="微软雅黑" w:hAnsi="微软雅黑" w:eastAsia="微软雅黑"/>
          <w:sz w:val="21"/>
        </w:rPr>
        <w:t>日（原定7月底），在此之前仍在达摩院履职。[浙创投、中金]</w:t>
      </w:r>
    </w:p>
    <w:p w14:paraId="601A5762">
      <w:pPr>
        <w:pStyle w:val="4"/>
      </w:pPr>
      <w:r>
        <w:rPr>
          <w:rFonts w:ascii="微软雅黑" w:hAnsi="微软雅黑" w:eastAsia="微软雅黑"/>
          <w:color w:val="34495E"/>
        </w:rPr>
        <w:t>2.6  融资计划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1134"/>
        <w:gridCol w:w="1134"/>
        <w:gridCol w:w="1417"/>
        <w:gridCol w:w="1701"/>
      </w:tblGrid>
      <w:tr w14:paraId="65389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C3E50"/>
          </w:tcPr>
          <w:p w14:paraId="597802B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轮次</w:t>
            </w:r>
          </w:p>
        </w:tc>
        <w:tc>
          <w:tcPr>
            <w:tcW w:w="1417" w:type="dxa"/>
            <w:shd w:val="clear" w:color="auto" w:fill="2C3E50"/>
          </w:tcPr>
          <w:p w14:paraId="74F4D4B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投后估值</w:t>
            </w:r>
          </w:p>
        </w:tc>
        <w:tc>
          <w:tcPr>
            <w:tcW w:w="1134" w:type="dxa"/>
            <w:shd w:val="clear" w:color="auto" w:fill="2C3E50"/>
          </w:tcPr>
          <w:p w14:paraId="43E43F1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融资额</w:t>
            </w:r>
          </w:p>
        </w:tc>
        <w:tc>
          <w:tcPr>
            <w:tcW w:w="1134" w:type="dxa"/>
            <w:shd w:val="clear" w:color="auto" w:fill="2C3E50"/>
          </w:tcPr>
          <w:p w14:paraId="7E3017F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出让比例</w:t>
            </w:r>
          </w:p>
        </w:tc>
        <w:tc>
          <w:tcPr>
            <w:tcW w:w="1417" w:type="dxa"/>
            <w:shd w:val="clear" w:color="auto" w:fill="2C3E50"/>
          </w:tcPr>
          <w:p w14:paraId="74391FE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时间节点</w:t>
            </w:r>
          </w:p>
        </w:tc>
        <w:tc>
          <w:tcPr>
            <w:tcW w:w="1701" w:type="dxa"/>
            <w:shd w:val="clear" w:color="auto" w:fill="2C3E50"/>
          </w:tcPr>
          <w:p w14:paraId="71AA7AC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 w14:paraId="36C49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E5EE9C9">
            <w:r>
              <w:rPr>
                <w:rFonts w:ascii="微软雅黑" w:hAnsi="微软雅黑" w:eastAsia="微软雅黑"/>
                <w:sz w:val="19"/>
              </w:rPr>
              <w:t>本轮（第一轮）</w:t>
            </w:r>
          </w:p>
        </w:tc>
        <w:tc>
          <w:tcPr>
            <w:tcW w:w="1417" w:type="dxa"/>
          </w:tcPr>
          <w:p w14:paraId="44D96FFA">
            <w:r>
              <w:rPr>
                <w:rFonts w:ascii="微软雅黑" w:hAnsi="微软雅黑" w:eastAsia="微软雅黑"/>
                <w:sz w:val="19"/>
              </w:rPr>
              <w:t>20亿</w:t>
            </w:r>
          </w:p>
        </w:tc>
        <w:tc>
          <w:tcPr>
            <w:tcW w:w="1134" w:type="dxa"/>
          </w:tcPr>
          <w:p w14:paraId="567D3D1B">
            <w:r>
              <w:rPr>
                <w:rFonts w:ascii="微软雅黑" w:hAnsi="微软雅黑" w:eastAsia="微软雅黑"/>
                <w:sz w:val="19"/>
              </w:rPr>
              <w:t>2亿</w:t>
            </w:r>
          </w:p>
        </w:tc>
        <w:tc>
          <w:tcPr>
            <w:tcW w:w="1134" w:type="dxa"/>
          </w:tcPr>
          <w:p w14:paraId="13F605F3"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w="1417" w:type="dxa"/>
          </w:tcPr>
          <w:p w14:paraId="7E8FF9BA">
            <w:r>
              <w:rPr>
                <w:rFonts w:ascii="微软雅黑" w:hAnsi="微软雅黑" w:eastAsia="微软雅黑"/>
                <w:sz w:val="19"/>
              </w:rPr>
              <w:t>8月中旬close</w:t>
            </w:r>
          </w:p>
        </w:tc>
        <w:tc>
          <w:tcPr>
            <w:tcW w:w="1701" w:type="dxa"/>
          </w:tcPr>
          <w:p w14:paraId="4C3ABF6C">
            <w:r>
              <w:rPr>
                <w:rFonts w:ascii="微软雅黑" w:hAnsi="微软雅黑" w:eastAsia="微软雅黑"/>
                <w:sz w:val="19"/>
              </w:rPr>
              <w:t>[浙创投、杭实、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东方嘉富、光源、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中金]</w:t>
            </w:r>
          </w:p>
        </w:tc>
      </w:tr>
      <w:tr w14:paraId="43C8A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908D3E">
            <w:r>
              <w:rPr>
                <w:rFonts w:ascii="微软雅黑" w:hAnsi="微软雅黑" w:eastAsia="微软雅黑"/>
                <w:sz w:val="19"/>
              </w:rPr>
              <w:t>下一轮（第二轮）</w:t>
            </w:r>
          </w:p>
        </w:tc>
        <w:tc>
          <w:tcPr>
            <w:tcW w:w="1417" w:type="dxa"/>
          </w:tcPr>
          <w:p w14:paraId="75D2CBDD">
            <w:r>
              <w:rPr>
                <w:rFonts w:ascii="微软雅黑" w:hAnsi="微软雅黑" w:eastAsia="微软雅黑"/>
                <w:sz w:val="19"/>
              </w:rPr>
              <w:t>40-50亿</w:t>
            </w:r>
          </w:p>
        </w:tc>
        <w:tc>
          <w:tcPr>
            <w:tcW w:w="1134" w:type="dxa"/>
          </w:tcPr>
          <w:p w14:paraId="631F3064"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w="1134" w:type="dxa"/>
          </w:tcPr>
          <w:p w14:paraId="359A7C0A"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w="1417" w:type="dxa"/>
          </w:tcPr>
          <w:p w14:paraId="12CC391A">
            <w:r>
              <w:rPr>
                <w:rFonts w:ascii="微软雅黑" w:hAnsi="微软雅黑" w:eastAsia="微软雅黑"/>
                <w:sz w:val="19"/>
              </w:rPr>
              <w:t>"马上就开"</w:t>
            </w:r>
          </w:p>
        </w:tc>
        <w:tc>
          <w:tcPr>
            <w:tcW w:w="1701" w:type="dxa"/>
          </w:tcPr>
          <w:p w14:paraId="688B97CF">
            <w:r>
              <w:rPr>
                <w:rFonts w:ascii="微软雅黑" w:hAnsi="微软雅黑" w:eastAsia="微软雅黑"/>
                <w:sz w:val="19"/>
              </w:rPr>
              <w:t>[中金、杭实]</w:t>
            </w:r>
          </w:p>
        </w:tc>
      </w:tr>
    </w:tbl>
    <w:p w14:paraId="2D5A5A1B">
      <w:pPr>
        <w:spacing w:after="80"/>
      </w:pPr>
    </w:p>
    <w:p w14:paraId="245AA7DC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当前状态：</w:t>
      </w:r>
      <w:r>
        <w:rPr>
          <w:rFonts w:hint="eastAsia"/>
          <w:b/>
          <w:sz w:val="21"/>
          <w:lang w:val="en-US" w:eastAsia="zh-CN"/>
        </w:rPr>
        <w:t>红杉</w:t>
      </w:r>
      <w:r>
        <w:rPr>
          <w:rFonts w:ascii="微软雅黑" w:hAnsi="微软雅黑" w:eastAsia="微软雅黑"/>
          <w:sz w:val="21"/>
        </w:rPr>
        <w:t>TS (Term Sheet，投资意向书)尚未签署。[内部信息]</w:t>
      </w:r>
    </w:p>
    <w:p w14:paraId="0AF1944F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算力储备：</w:t>
      </w:r>
      <w:r>
        <w:rPr>
          <w:rFonts w:ascii="微软雅黑" w:hAnsi="微软雅黑" w:eastAsia="微软雅黑"/>
          <w:sz w:val="21"/>
        </w:rPr>
        <w:t>256-1000张H100算力卡，已锁定6个月用量。[光源]</w:t>
      </w:r>
    </w:p>
    <w:p w14:paraId="17640388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浙创投范围：</w:t>
      </w:r>
      <w:r>
        <w:rPr>
          <w:rFonts w:ascii="微软雅黑" w:hAnsi="微软雅黑" w:eastAsia="微软雅黑"/>
          <w:sz w:val="21"/>
        </w:rPr>
        <w:t>浙创投投资范围：早期2000-4000万，舒适区8000万-1.2亿。[浙创投]</w:t>
      </w:r>
    </w:p>
    <w:p w14:paraId="65503A26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东方嘉富范围：</w:t>
      </w:r>
      <w:r>
        <w:rPr>
          <w:rFonts w:ascii="微软雅黑" w:hAnsi="微软雅黑" w:eastAsia="微软雅黑"/>
          <w:sz w:val="21"/>
        </w:rPr>
        <w:t>东方嘉富单笔3000-5000万，最大可达1亿。需法律尽调。[东方嘉富]</w:t>
      </w:r>
    </w:p>
    <w:p w14:paraId="2E0CB148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中金意向：</w:t>
      </w:r>
      <w:r>
        <w:rPr>
          <w:rFonts w:ascii="微软雅黑" w:hAnsi="微软雅黑" w:eastAsia="微软雅黑"/>
          <w:sz w:val="21"/>
        </w:rPr>
        <w:t>中金可能"联合几个"参与，具备技术判断力（追问VLA scaling瓶颈、多机器人co-training）。[中金]</w:t>
      </w:r>
    </w:p>
    <w:p w14:paraId="78CFF578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光源资本：</w:t>
      </w:r>
      <w:r>
        <w:rPr>
          <w:rFonts w:ascii="微软雅黑" w:hAnsi="微软雅黑" w:eastAsia="微软雅黑"/>
          <w:sz w:val="21"/>
        </w:rPr>
        <w:t>光源资本FA履历：B站/快手/云深处/西诺，有具身智能赛道经验。[光源]</w:t>
      </w:r>
    </w:p>
    <w:p w14:paraId="783413D8">
      <w:pPr>
        <w:pStyle w:val="4"/>
      </w:pPr>
      <w:r>
        <w:rPr>
          <w:rFonts w:ascii="微软雅黑" w:hAnsi="微软雅黑" w:eastAsia="微软雅黑"/>
          <w:color w:val="34495E"/>
        </w:rPr>
        <w:t>2.7  竞争格局</w:t>
      </w:r>
    </w:p>
    <w:p w14:paraId="7DA5D3F2">
      <w:pPr>
        <w:spacing w:after="80"/>
      </w:pPr>
      <w:r>
        <w:rPr>
          <w:rFonts w:ascii="微软雅黑" w:hAnsi="微软雅黑" w:eastAsia="微软雅黑"/>
          <w:b w:val="0"/>
          <w:sz w:val="21"/>
        </w:rPr>
        <w:t>与蚂蚁灵波的三点差异（在东方嘉富和光源会议中均提及，表述一致）：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1984"/>
        <w:gridCol w:w="1701"/>
      </w:tblGrid>
      <w:tr w14:paraId="051DC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C3E50"/>
          </w:tcPr>
          <w:p w14:paraId="15C2EB8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1984" w:type="dxa"/>
            <w:shd w:val="clear" w:color="auto" w:fill="2C3E50"/>
          </w:tcPr>
          <w:p w14:paraId="06ABEE0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ROBOX</w:t>
            </w:r>
          </w:p>
        </w:tc>
        <w:tc>
          <w:tcPr>
            <w:tcW w:w="1984" w:type="dxa"/>
            <w:shd w:val="clear" w:color="auto" w:fill="2C3E50"/>
          </w:tcPr>
          <w:p w14:paraId="27D6B7C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宁波/蚂蚁灵波</w:t>
            </w:r>
          </w:p>
        </w:tc>
        <w:tc>
          <w:tcPr>
            <w:tcW w:w="1701" w:type="dxa"/>
            <w:shd w:val="clear" w:color="auto" w:fill="2C3E50"/>
          </w:tcPr>
          <w:p w14:paraId="3E665CC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 w14:paraId="05B28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65F1B9D">
            <w:r>
              <w:rPr>
                <w:rFonts w:ascii="微软雅黑" w:hAnsi="微软雅黑" w:eastAsia="微软雅黑"/>
                <w:sz w:val="19"/>
              </w:rPr>
              <w:t>技术重心</w:t>
            </w:r>
          </w:p>
        </w:tc>
        <w:tc>
          <w:tcPr>
            <w:tcW w:w="1984" w:type="dxa"/>
          </w:tcPr>
          <w:p w14:paraId="524466D1">
            <w:r>
              <w:rPr>
                <w:rFonts w:ascii="微软雅黑" w:hAnsi="微软雅黑" w:eastAsia="微软雅黑"/>
                <w:sz w:val="19"/>
              </w:rPr>
              <w:t>System 2（大脑）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做底层基础模型</w:t>
            </w:r>
          </w:p>
        </w:tc>
        <w:tc>
          <w:tcPr>
            <w:tcW w:w="1984" w:type="dxa"/>
          </w:tcPr>
          <w:p w14:paraId="76E9986B">
            <w:r>
              <w:rPr>
                <w:rFonts w:ascii="微软雅黑" w:hAnsi="微软雅黑" w:eastAsia="微软雅黑"/>
                <w:sz w:val="19"/>
              </w:rPr>
              <w:t>System 1（应用层）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做VLA应用</w:t>
            </w:r>
          </w:p>
        </w:tc>
        <w:tc>
          <w:tcPr>
            <w:tcW w:w="1701" w:type="dxa"/>
          </w:tcPr>
          <w:p w14:paraId="6B7EDEDD">
            <w:r>
              <w:rPr>
                <w:rFonts w:ascii="微软雅黑" w:hAnsi="微软雅黑" w:eastAsia="微软雅黑"/>
                <w:sz w:val="19"/>
              </w:rPr>
              <w:t>[东方嘉富、光源]</w:t>
            </w:r>
          </w:p>
        </w:tc>
      </w:tr>
      <w:tr w14:paraId="16A23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D313F8C">
            <w:r>
              <w:rPr>
                <w:rFonts w:ascii="微软雅黑" w:hAnsi="微软雅黑" w:eastAsia="微软雅黑"/>
                <w:sz w:val="19"/>
              </w:rPr>
              <w:t>数据先发</w:t>
            </w:r>
          </w:p>
        </w:tc>
        <w:tc>
          <w:tcPr>
            <w:tcW w:w="1984" w:type="dxa"/>
          </w:tcPr>
          <w:p w14:paraId="7ECC93A5">
            <w:r>
              <w:rPr>
                <w:rFonts w:ascii="微软雅黑" w:hAnsi="微软雅黑" w:eastAsia="微软雅黑"/>
                <w:sz w:val="19"/>
              </w:rPr>
              <w:t>Ego数据领先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6-12个月</w:t>
            </w:r>
          </w:p>
        </w:tc>
        <w:tc>
          <w:tcPr>
            <w:tcW w:w="1984" w:type="dxa"/>
          </w:tcPr>
          <w:p w14:paraId="7A3EEB44">
            <w:r>
              <w:rPr>
                <w:rFonts w:ascii="微软雅黑" w:hAnsi="微软雅黑" w:eastAsia="微软雅黑"/>
                <w:sz w:val="19"/>
              </w:rPr>
              <w:t>跟随者</w:t>
            </w:r>
          </w:p>
        </w:tc>
        <w:tc>
          <w:tcPr>
            <w:tcW w:w="1701" w:type="dxa"/>
          </w:tcPr>
          <w:p w14:paraId="3D98228C">
            <w:r>
              <w:rPr>
                <w:rFonts w:ascii="微软雅黑" w:hAnsi="微软雅黑" w:eastAsia="微软雅黑"/>
                <w:sz w:val="19"/>
              </w:rPr>
              <w:t>[东方嘉富、光源]</w:t>
            </w:r>
          </w:p>
        </w:tc>
      </w:tr>
      <w:tr w14:paraId="7B299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4CF2AFA">
            <w:r>
              <w:rPr>
                <w:rFonts w:ascii="微软雅黑" w:hAnsi="微软雅黑" w:eastAsia="微软雅黑"/>
                <w:sz w:val="19"/>
              </w:rPr>
              <w:t>资本效率</w:t>
            </w:r>
          </w:p>
        </w:tc>
        <w:tc>
          <w:tcPr>
            <w:tcW w:w="1984" w:type="dxa"/>
          </w:tcPr>
          <w:p w14:paraId="2F3459BF">
            <w:r>
              <w:rPr>
                <w:rFonts w:ascii="微软雅黑" w:hAnsi="微软雅黑" w:eastAsia="微软雅黑"/>
                <w:sz w:val="19"/>
              </w:rPr>
              <w:t>50人团队</w:t>
            </w:r>
          </w:p>
        </w:tc>
        <w:tc>
          <w:tcPr>
            <w:tcW w:w="1984" w:type="dxa"/>
          </w:tcPr>
          <w:p w14:paraId="6F4F793A">
            <w:r>
              <w:rPr>
                <w:rFonts w:ascii="微软雅黑" w:hAnsi="微软雅黑" w:eastAsia="微软雅黑"/>
                <w:sz w:val="19"/>
              </w:rPr>
              <w:t>200人团队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(约2x效率差)</w:t>
            </w:r>
          </w:p>
        </w:tc>
        <w:tc>
          <w:tcPr>
            <w:tcW w:w="1701" w:type="dxa"/>
          </w:tcPr>
          <w:p w14:paraId="55AFE2C0">
            <w:r>
              <w:rPr>
                <w:rFonts w:ascii="微软雅黑" w:hAnsi="微软雅黑" w:eastAsia="微软雅黑"/>
                <w:sz w:val="19"/>
              </w:rPr>
              <w:t>[东方嘉富、光源]</w:t>
            </w:r>
          </w:p>
        </w:tc>
      </w:tr>
    </w:tbl>
    <w:p w14:paraId="6229EE5B">
      <w:pPr>
        <w:spacing w:after="80"/>
      </w:pPr>
    </w:p>
    <w:p w14:paraId="77497A82">
      <w:pPr>
        <w:spacing w:after="80"/>
      </w:pPr>
      <w:r>
        <w:rPr>
          <w:rFonts w:ascii="微软雅黑" w:hAnsi="微软雅黑" w:eastAsia="微软雅黑"/>
          <w:b/>
          <w:color w:val="2C3E50"/>
          <w:sz w:val="21"/>
        </w:rPr>
        <w:t>对其他竞争对手的评价：</w:t>
      </w:r>
    </w:p>
    <w:p w14:paraId="7BC4435C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魔心：</w:t>
      </w:r>
      <w:r>
        <w:rPr>
          <w:rFonts w:ascii="微软雅黑" w:hAnsi="微软雅黑" w:eastAsia="微软雅黑"/>
          <w:sz w:val="21"/>
        </w:rPr>
        <w:t>明修评价："没有tech report（技术报告）、没有真机demo（演示），1B/2B端侧模型不配叫世界模型"，"更像演说家"，估值80亿。[中金]</w:t>
      </w:r>
    </w:p>
    <w:p w14:paraId="2BFA07CC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NVIDIA Cosmos 3：</w:t>
      </w:r>
      <w:r>
        <w:rPr>
          <w:rFonts w:ascii="微软雅黑" w:hAnsi="微软雅黑" w:eastAsia="微软雅黑"/>
          <w:sz w:val="21"/>
        </w:rPr>
        <w:t>耦合架构，无法在端侧部署大模型；被ROBOX作为benchmark对比对象。[中金、光源]</w:t>
      </w:r>
    </w:p>
    <w:p w14:paraId="3CB3A442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General Bot：</w:t>
      </w:r>
      <w:r>
        <w:rPr>
          <w:rFonts w:ascii="微软雅黑" w:hAnsi="微软雅黑" w:eastAsia="微软雅黑"/>
          <w:sz w:val="21"/>
        </w:rPr>
        <w:t>只有System 1/2两层，没有System 0行为基础模型。[中金]</w:t>
      </w:r>
    </w:p>
    <w:p w14:paraId="4536ED10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东方嘉富portfolio：</w:t>
      </w:r>
      <w:r>
        <w:rPr>
          <w:rFonts w:ascii="微软雅黑" w:hAnsi="微软雅黑" w:eastAsia="微软雅黑"/>
          <w:sz w:val="21"/>
        </w:rPr>
        <w:t>郑格投资组合中：千寻（大脑）、西诺（灵巧手，7亿→140亿估值）、破壳（许华哲，第三视角，"刚起步"）。[东方嘉富]</w:t>
      </w:r>
    </w:p>
    <w:p w14:paraId="50035C21">
      <w:pPr>
        <w:pStyle w:val="16"/>
        <w:spacing w:after="40"/>
        <w:ind w:left="567"/>
      </w:pPr>
      <w:r>
        <w:rPr>
          <w:rFonts w:hint="eastAsia"/>
          <w:b/>
          <w:sz w:val="21"/>
          <w:lang w:val="en-US" w:eastAsia="zh-CN"/>
        </w:rPr>
        <w:t>原</w:t>
      </w:r>
      <w:r>
        <w:rPr>
          <w:rFonts w:ascii="微软雅黑" w:hAnsi="微软雅黑" w:eastAsia="微软雅黑"/>
          <w:b/>
          <w:sz w:val="21"/>
        </w:rPr>
        <w:t>力无限：</w:t>
      </w:r>
      <w:r>
        <w:rPr>
          <w:rFonts w:ascii="微软雅黑" w:hAnsi="微软雅黑" w:eastAsia="微软雅黑"/>
          <w:sz w:val="21"/>
        </w:rPr>
        <w:t>沈千旸提及元力无限白总，评价"像一条灵活的狗"——灵活性高但技术深度存疑。[浙创投]</w:t>
      </w:r>
    </w:p>
    <w:p w14:paraId="616932AE">
      <w:pPr>
        <w:pStyle w:val="4"/>
      </w:pPr>
      <w:r>
        <w:rPr>
          <w:rFonts w:ascii="微软雅黑" w:hAnsi="微软雅黑" w:eastAsia="微软雅黑"/>
          <w:color w:val="34495E"/>
        </w:rPr>
        <w:t>2.8  商业路径</w:t>
      </w:r>
    </w:p>
    <w:p w14:paraId="035BE220">
      <w:pPr>
        <w:spacing w:after="80"/>
      </w:pPr>
      <w:r>
        <w:rPr>
          <w:rFonts w:ascii="微软雅黑" w:hAnsi="微软雅黑" w:eastAsia="微软雅黑"/>
          <w:b w:val="0"/>
          <w:sz w:val="21"/>
        </w:rPr>
        <w:t>三阶段路径（在杭实、FA、东方嘉富会议中均有阐述）：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1417"/>
        <w:gridCol w:w="2551"/>
        <w:gridCol w:w="1417"/>
      </w:tblGrid>
      <w:tr w14:paraId="11C75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C3E50"/>
          </w:tcPr>
          <w:p w14:paraId="34EA58D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1134" w:type="dxa"/>
            <w:shd w:val="clear" w:color="auto" w:fill="2C3E50"/>
          </w:tcPr>
          <w:p w14:paraId="769D039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w="1417" w:type="dxa"/>
            <w:shd w:val="clear" w:color="auto" w:fill="2C3E50"/>
          </w:tcPr>
          <w:p w14:paraId="0189464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w="2551" w:type="dxa"/>
            <w:shd w:val="clear" w:color="auto" w:fill="2C3E50"/>
          </w:tcPr>
          <w:p w14:paraId="02EBC74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关键场景</w:t>
            </w:r>
          </w:p>
        </w:tc>
        <w:tc>
          <w:tcPr>
            <w:tcW w:w="1417" w:type="dxa"/>
            <w:shd w:val="clear" w:color="auto" w:fill="2C3E50"/>
          </w:tcPr>
          <w:p w14:paraId="6CFF5F6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 w14:paraId="53437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9E30E5">
            <w:r>
              <w:rPr>
                <w:rFonts w:ascii="微软雅黑" w:hAnsi="微软雅黑" w:eastAsia="微软雅黑"/>
                <w:sz w:val="19"/>
              </w:rPr>
              <w:t>TPF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(Technology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Product Fit)</w:t>
            </w:r>
          </w:p>
        </w:tc>
        <w:tc>
          <w:tcPr>
            <w:tcW w:w="1134" w:type="dxa"/>
          </w:tcPr>
          <w:p w14:paraId="3872E0DC">
            <w:r>
              <w:rPr>
                <w:rFonts w:ascii="微软雅黑" w:hAnsi="微软雅黑" w:eastAsia="微软雅黑"/>
                <w:sz w:val="19"/>
              </w:rPr>
              <w:t>0-12个月</w:t>
            </w:r>
          </w:p>
        </w:tc>
        <w:tc>
          <w:tcPr>
            <w:tcW w:w="1417" w:type="dxa"/>
          </w:tcPr>
          <w:p w14:paraId="65050D97">
            <w:r>
              <w:rPr>
                <w:rFonts w:ascii="微软雅黑" w:hAnsi="微软雅黑" w:eastAsia="微软雅黑"/>
                <w:sz w:val="19"/>
              </w:rPr>
              <w:t>技术-产品验证</w:t>
            </w:r>
          </w:p>
        </w:tc>
        <w:tc>
          <w:tcPr>
            <w:tcW w:w="2551" w:type="dxa"/>
          </w:tcPr>
          <w:p w14:paraId="02DA2800">
            <w:r>
              <w:rPr>
                <w:rFonts w:ascii="微软雅黑" w:hAnsi="微软雅黑" w:eastAsia="微软雅黑"/>
                <w:sz w:val="19"/>
              </w:rPr>
              <w:t>商业服务：酒店/餐饮/文旅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(长虹集团为SI合作伙伴)</w:t>
            </w:r>
          </w:p>
        </w:tc>
        <w:tc>
          <w:tcPr>
            <w:tcW w:w="1417" w:type="dxa"/>
          </w:tcPr>
          <w:p w14:paraId="26ADA8A6">
            <w:r>
              <w:rPr>
                <w:rFonts w:ascii="微软雅黑" w:hAnsi="微软雅黑" w:eastAsia="微软雅黑"/>
                <w:sz w:val="19"/>
              </w:rPr>
              <w:t>[杭实、光源、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东方嘉富]</w:t>
            </w:r>
          </w:p>
        </w:tc>
      </w:tr>
      <w:tr w14:paraId="28FC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3BBB110">
            <w:r>
              <w:rPr>
                <w:rFonts w:ascii="微软雅黑" w:hAnsi="微软雅黑" w:eastAsia="微软雅黑"/>
                <w:sz w:val="19"/>
              </w:rPr>
              <w:t>场景验证</w:t>
            </w:r>
          </w:p>
        </w:tc>
        <w:tc>
          <w:tcPr>
            <w:tcW w:w="1134" w:type="dxa"/>
          </w:tcPr>
          <w:p w14:paraId="13CBEE20">
            <w:r>
              <w:rPr>
                <w:rFonts w:ascii="微软雅黑" w:hAnsi="微软雅黑" w:eastAsia="微软雅黑"/>
                <w:sz w:val="19"/>
              </w:rPr>
              <w:t>12-24个月</w:t>
            </w:r>
          </w:p>
        </w:tc>
        <w:tc>
          <w:tcPr>
            <w:tcW w:w="1417" w:type="dxa"/>
          </w:tcPr>
          <w:p w14:paraId="30DC7397">
            <w:r>
              <w:rPr>
                <w:rFonts w:ascii="微软雅黑" w:hAnsi="微软雅黑" w:eastAsia="微软雅黑"/>
                <w:sz w:val="19"/>
              </w:rPr>
              <w:t>商业闭环验证</w:t>
            </w:r>
          </w:p>
        </w:tc>
        <w:tc>
          <w:tcPr>
            <w:tcW w:w="2551" w:type="dxa"/>
          </w:tcPr>
          <w:p w14:paraId="75FBC0B7">
            <w:r>
              <w:rPr>
                <w:rFonts w:ascii="微软雅黑" w:hAnsi="微软雅黑" w:eastAsia="微软雅黑"/>
                <w:sz w:val="19"/>
              </w:rPr>
              <w:t>康养(港大合作)、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移动餐车(西湖/洛阳/四川文旅)</w:t>
            </w:r>
          </w:p>
        </w:tc>
        <w:tc>
          <w:tcPr>
            <w:tcW w:w="1417" w:type="dxa"/>
          </w:tcPr>
          <w:p w14:paraId="3F9E06F9">
            <w:r>
              <w:rPr>
                <w:rFonts w:ascii="微软雅黑" w:hAnsi="微软雅黑" w:eastAsia="微软雅黑"/>
                <w:sz w:val="19"/>
              </w:rPr>
              <w:t>[杭实、光源]</w:t>
            </w:r>
          </w:p>
        </w:tc>
      </w:tr>
      <w:tr w14:paraId="730E6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90C8F87">
            <w:r>
              <w:rPr>
                <w:rFonts w:ascii="微软雅黑" w:hAnsi="微软雅黑" w:eastAsia="微软雅黑"/>
                <w:sz w:val="19"/>
              </w:rPr>
              <w:t>家庭进入</w:t>
            </w:r>
          </w:p>
        </w:tc>
        <w:tc>
          <w:tcPr>
            <w:tcW w:w="1134" w:type="dxa"/>
          </w:tcPr>
          <w:p w14:paraId="1D1FAC5A">
            <w:r>
              <w:rPr>
                <w:rFonts w:ascii="微软雅黑" w:hAnsi="微软雅黑" w:eastAsia="微软雅黑"/>
                <w:sz w:val="19"/>
              </w:rPr>
              <w:t>24-36个月</w:t>
            </w:r>
          </w:p>
        </w:tc>
        <w:tc>
          <w:tcPr>
            <w:tcW w:w="1417" w:type="dxa"/>
          </w:tcPr>
          <w:p w14:paraId="607B33A8">
            <w:r>
              <w:rPr>
                <w:rFonts w:ascii="微软雅黑" w:hAnsi="微软雅黑" w:eastAsia="微软雅黑"/>
                <w:sz w:val="19"/>
              </w:rPr>
              <w:t>家庭场景部署</w:t>
            </w:r>
          </w:p>
        </w:tc>
        <w:tc>
          <w:tcPr>
            <w:tcW w:w="2551" w:type="dxa"/>
          </w:tcPr>
          <w:p w14:paraId="16660A32">
            <w:r>
              <w:rPr>
                <w:rFonts w:ascii="微软雅黑" w:hAnsi="微软雅黑" w:eastAsia="微软雅黑"/>
                <w:sz w:val="19"/>
              </w:rPr>
              <w:t>康养喂饭、做菜、家务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(技能包订阅月6000元)</w:t>
            </w:r>
          </w:p>
        </w:tc>
        <w:tc>
          <w:tcPr>
            <w:tcW w:w="1417" w:type="dxa"/>
          </w:tcPr>
          <w:p w14:paraId="509B9A24">
            <w:r>
              <w:rPr>
                <w:rFonts w:ascii="微软雅黑" w:hAnsi="微软雅黑" w:eastAsia="微软雅黑"/>
                <w:sz w:val="19"/>
              </w:rPr>
              <w:t>[中金、杭实]</w:t>
            </w:r>
          </w:p>
        </w:tc>
      </w:tr>
    </w:tbl>
    <w:p w14:paraId="05855EC1">
      <w:pPr>
        <w:spacing w:after="80"/>
      </w:pPr>
    </w:p>
    <w:p w14:paraId="6924793E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明确不做：</w:t>
      </w:r>
      <w:r>
        <w:rPr>
          <w:rFonts w:ascii="微软雅黑" w:hAnsi="微软雅黑" w:eastAsia="微软雅黑"/>
          <w:sz w:val="21"/>
        </w:rPr>
        <w:t>明修明确不做工业场景："搬箱子只占工厂工作的0.x%，数据多样性差"。[中金、光源]</w:t>
      </w:r>
    </w:p>
    <w:p w14:paraId="62216DBA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硬件合作：</w:t>
      </w:r>
      <w:r>
        <w:rPr>
          <w:rFonts w:ascii="微软雅黑" w:hAnsi="微软雅黑" w:eastAsia="微软雅黑"/>
          <w:sz w:val="21"/>
        </w:rPr>
        <w:t>因诺特（灵巧手）co-design，</w:t>
      </w:r>
      <w:r>
        <w:rPr>
          <w:rFonts w:hint="eastAsia"/>
          <w:sz w:val="21"/>
          <w:lang w:val="en-US" w:eastAsia="zh-CN"/>
        </w:rPr>
        <w:t>舞肌</w:t>
      </w:r>
      <w:r>
        <w:rPr>
          <w:rFonts w:ascii="微软雅黑" w:hAnsi="微软雅黑" w:eastAsia="微软雅黑"/>
          <w:sz w:val="21"/>
        </w:rPr>
        <w:t>合作开发。ROBOX不自研灵巧手量产。[杭实、光源]</w:t>
      </w:r>
    </w:p>
    <w:p w14:paraId="6DE46C5D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合作伙伴矩阵：</w:t>
      </w:r>
      <w:r>
        <w:rPr>
          <w:rFonts w:ascii="微软雅黑" w:hAnsi="微软雅黑" w:eastAsia="微软雅黑"/>
          <w:sz w:val="21"/>
        </w:rPr>
        <w:t>PICO（采集设备）、歌尔光学（光学）、长虹（商业场景）、港大（康复）、天玑（臂）。[多场会议]</w:t>
      </w:r>
    </w:p>
    <w:p w14:paraId="46A631E8">
      <w:pPr>
        <w:pStyle w:val="16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公司定位：</w:t>
      </w:r>
      <w:r>
        <w:rPr>
          <w:rFonts w:ascii="微软雅黑" w:hAnsi="微软雅黑" w:eastAsia="微软雅黑"/>
          <w:sz w:val="21"/>
        </w:rPr>
        <w:t>公司定位："用人类知识真正去教会机器人改变物理世界"；产品："手眼脑协同的物理智能系统"。[中金]</w:t>
      </w:r>
    </w:p>
    <w:p w14:paraId="39AC6634">
      <w:pPr>
        <w:pStyle w:val="4"/>
      </w:pPr>
      <w:r>
        <w:rPr>
          <w:rFonts w:ascii="微软雅黑" w:hAnsi="微软雅黑" w:eastAsia="微软雅黑"/>
          <w:color w:val="34495E"/>
        </w:rPr>
        <w:t>2.9  市场时机判断（五方分歧）</w:t>
      </w:r>
    </w:p>
    <w:p w14:paraId="0EFB6E72">
      <w:pPr>
        <w:spacing w:after="80"/>
      </w:pPr>
      <w:r>
        <w:rPr>
          <w:rFonts w:ascii="微软雅黑" w:hAnsi="微软雅黑" w:eastAsia="微软雅黑"/>
          <w:b w:val="0"/>
          <w:sz w:val="21"/>
        </w:rPr>
        <w:t>五家投资方对当前市场时机的判断存在显著分歧，这是跨会议分析中最重要的发现之一：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2268"/>
        <w:gridCol w:w="2268"/>
      </w:tblGrid>
      <w:tr w14:paraId="62A01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C3E50"/>
          </w:tcPr>
          <w:p w14:paraId="0C3264F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投资方</w:t>
            </w:r>
          </w:p>
        </w:tc>
        <w:tc>
          <w:tcPr>
            <w:tcW w:w="1134" w:type="dxa"/>
            <w:shd w:val="clear" w:color="auto" w:fill="2C3E50"/>
          </w:tcPr>
          <w:p w14:paraId="3B0A5F9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态度</w:t>
            </w:r>
          </w:p>
        </w:tc>
        <w:tc>
          <w:tcPr>
            <w:tcW w:w="2268" w:type="dxa"/>
            <w:shd w:val="clear" w:color="auto" w:fill="2C3E50"/>
          </w:tcPr>
          <w:p w14:paraId="14D4677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核心判断</w:t>
            </w:r>
          </w:p>
        </w:tc>
        <w:tc>
          <w:tcPr>
            <w:tcW w:w="2268" w:type="dxa"/>
            <w:shd w:val="clear" w:color="auto" w:fill="2C3E50"/>
          </w:tcPr>
          <w:p w14:paraId="63B8629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依据</w:t>
            </w:r>
          </w:p>
        </w:tc>
      </w:tr>
      <w:tr w14:paraId="227E0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83BA30">
            <w:r>
              <w:rPr>
                <w:rFonts w:ascii="微软雅黑" w:hAnsi="微软雅黑" w:eastAsia="微软雅黑"/>
                <w:sz w:val="19"/>
              </w:rPr>
              <w:t>浙创投·沈千旸</w:t>
            </w:r>
          </w:p>
        </w:tc>
        <w:tc>
          <w:tcPr>
            <w:tcW w:w="1134" w:type="dxa"/>
          </w:tcPr>
          <w:p w14:paraId="73456C3E">
            <w:r>
              <w:rPr>
                <w:rFonts w:ascii="微软雅黑" w:hAnsi="微软雅黑" w:eastAsia="微软雅黑"/>
                <w:sz w:val="19"/>
              </w:rPr>
              <w:t>积极</w:t>
            </w:r>
          </w:p>
        </w:tc>
        <w:tc>
          <w:tcPr>
            <w:tcW w:w="2268" w:type="dxa"/>
          </w:tcPr>
          <w:p w14:paraId="73A86467">
            <w:r>
              <w:rPr>
                <w:rFonts w:ascii="微软雅黑" w:hAnsi="微软雅黑" w:eastAsia="微软雅黑"/>
                <w:sz w:val="19"/>
              </w:rPr>
              <w:t>"有使命感、非常有活力"</w:t>
            </w:r>
          </w:p>
        </w:tc>
        <w:tc>
          <w:tcPr>
            <w:tcW w:w="2268" w:type="dxa"/>
          </w:tcPr>
          <w:p w14:paraId="37A68AAA">
            <w:r>
              <w:rPr>
                <w:rFonts w:ascii="微软雅黑" w:hAnsi="微软雅黑" w:eastAsia="微软雅黑"/>
                <w:sz w:val="19"/>
              </w:rPr>
              <w:t>团队特质打动；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国资灵活性高</w:t>
            </w:r>
          </w:p>
        </w:tc>
      </w:tr>
      <w:tr w14:paraId="45BD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F501E9">
            <w:r>
              <w:rPr>
                <w:rFonts w:ascii="微软雅黑" w:hAnsi="微软雅黑" w:eastAsia="微软雅黑"/>
                <w:sz w:val="19"/>
              </w:rPr>
              <w:t>杭实·赵德利</w:t>
            </w:r>
          </w:p>
        </w:tc>
        <w:tc>
          <w:tcPr>
            <w:tcW w:w="1134" w:type="dxa"/>
          </w:tcPr>
          <w:p w14:paraId="34224DC4">
            <w:r>
              <w:rPr>
                <w:rFonts w:ascii="微软雅黑" w:hAnsi="微软雅黑" w:eastAsia="微软雅黑"/>
                <w:sz w:val="19"/>
              </w:rPr>
              <w:t>积极</w:t>
            </w:r>
          </w:p>
        </w:tc>
        <w:tc>
          <w:tcPr>
            <w:tcW w:w="2268" w:type="dxa"/>
          </w:tcPr>
          <w:p w14:paraId="03E6E0DB">
            <w:r>
              <w:rPr>
                <w:rFonts w:ascii="微软雅黑" w:hAnsi="微软雅黑" w:eastAsia="微软雅黑"/>
                <w:sz w:val="19"/>
              </w:rPr>
              <w:t>"国内做大脑最好的团队"</w:t>
            </w:r>
          </w:p>
        </w:tc>
        <w:tc>
          <w:tcPr>
            <w:tcW w:w="2268" w:type="dxa"/>
          </w:tcPr>
          <w:p w14:paraId="50D81BA7">
            <w:r>
              <w:rPr>
                <w:rFonts w:ascii="微软雅黑" w:hAnsi="微软雅黑" w:eastAsia="微软雅黑"/>
                <w:sz w:val="19"/>
              </w:rPr>
              <w:t>技术认可；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Eric Wang加持</w:t>
            </w:r>
          </w:p>
        </w:tc>
      </w:tr>
      <w:tr w14:paraId="04F22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9A60D71">
            <w:r>
              <w:rPr>
                <w:rFonts w:ascii="微软雅黑" w:hAnsi="微软雅黑" w:eastAsia="微软雅黑"/>
                <w:sz w:val="19"/>
              </w:rPr>
              <w:t>东方嘉富·郑格</w:t>
            </w:r>
          </w:p>
        </w:tc>
        <w:tc>
          <w:tcPr>
            <w:tcW w:w="1134" w:type="dxa"/>
          </w:tcPr>
          <w:p w14:paraId="4320CD25">
            <w:r>
              <w:rPr>
                <w:rFonts w:ascii="微软雅黑" w:hAnsi="微软雅黑" w:eastAsia="微软雅黑"/>
                <w:sz w:val="19"/>
              </w:rPr>
              <w:t>谨慎</w:t>
            </w:r>
          </w:p>
        </w:tc>
        <w:tc>
          <w:tcPr>
            <w:tcW w:w="2268" w:type="dxa"/>
          </w:tcPr>
          <w:p w14:paraId="2D0EA527">
            <w:r>
              <w:rPr>
                <w:rFonts w:ascii="微软雅黑" w:hAnsi="微软雅黑" w:eastAsia="微软雅黑"/>
                <w:sz w:val="19"/>
              </w:rPr>
              <w:t>"不是特别好的时间"</w:t>
            </w:r>
          </w:p>
        </w:tc>
        <w:tc>
          <w:tcPr>
            <w:tcW w:w="2268" w:type="dxa"/>
          </w:tcPr>
          <w:p w14:paraId="4E91DD41">
            <w:r>
              <w:rPr>
                <w:rFonts w:ascii="微软雅黑" w:hAnsi="微软雅黑" w:eastAsia="微软雅黑"/>
                <w:sz w:val="19"/>
              </w:rPr>
              <w:t>宇树IPO对二级打击；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资金集中半导体；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AI商业化落地担忧</w:t>
            </w:r>
          </w:p>
        </w:tc>
      </w:tr>
      <w:tr w14:paraId="76422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20A6D02">
            <w:r>
              <w:rPr>
                <w:rFonts w:ascii="微软雅黑" w:hAnsi="微软雅黑" w:eastAsia="微软雅黑"/>
                <w:sz w:val="19"/>
              </w:rPr>
              <w:t>光源·权博</w:t>
            </w:r>
          </w:p>
        </w:tc>
        <w:tc>
          <w:tcPr>
            <w:tcW w:w="1134" w:type="dxa"/>
          </w:tcPr>
          <w:p w14:paraId="3F51497C">
            <w:r>
              <w:rPr>
                <w:rFonts w:ascii="微软雅黑" w:hAnsi="微软雅黑" w:eastAsia="微软雅黑"/>
                <w:sz w:val="19"/>
              </w:rPr>
              <w:t>谨慎</w:t>
            </w:r>
          </w:p>
        </w:tc>
        <w:tc>
          <w:tcPr>
            <w:tcW w:w="2268" w:type="dxa"/>
          </w:tcPr>
          <w:p w14:paraId="44244A69">
            <w:r>
              <w:rPr>
                <w:rFonts w:ascii="微软雅黑" w:hAnsi="微软雅黑" w:eastAsia="微软雅黑"/>
                <w:sz w:val="19"/>
              </w:rPr>
              <w:t>"观望态度更多一些"</w:t>
            </w:r>
          </w:p>
        </w:tc>
        <w:tc>
          <w:tcPr>
            <w:tcW w:w="2268" w:type="dxa"/>
          </w:tcPr>
          <w:p w14:paraId="1ABD2111">
            <w:r>
              <w:rPr>
                <w:rFonts w:ascii="微软雅黑" w:hAnsi="微软雅黑" w:eastAsia="微软雅黑"/>
                <w:sz w:val="19"/>
              </w:rPr>
              <w:t>市场情绪观望；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"资金便宜本身是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其他的风险"；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融资速度明显放缓</w:t>
            </w:r>
          </w:p>
        </w:tc>
      </w:tr>
      <w:tr w14:paraId="7105B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BDD97AB">
            <w:r>
              <w:rPr>
                <w:rFonts w:ascii="微软雅黑" w:hAnsi="微软雅黑" w:eastAsia="微软雅黑"/>
                <w:sz w:val="19"/>
              </w:rPr>
              <w:t>中金</w:t>
            </w:r>
          </w:p>
        </w:tc>
        <w:tc>
          <w:tcPr>
            <w:tcW w:w="1134" w:type="dxa"/>
          </w:tcPr>
          <w:p w14:paraId="4AB892EF">
            <w:r>
              <w:rPr>
                <w:rFonts w:ascii="微软雅黑" w:hAnsi="微软雅黑" w:eastAsia="微软雅黑"/>
                <w:sz w:val="19"/>
              </w:rPr>
              <w:t>中性偏积极</w:t>
            </w:r>
          </w:p>
        </w:tc>
        <w:tc>
          <w:tcPr>
            <w:tcW w:w="2268" w:type="dxa"/>
          </w:tcPr>
          <w:p w14:paraId="795F824F">
            <w:r>
              <w:rPr>
                <w:rFonts w:ascii="微软雅黑" w:hAnsi="微软雅黑" w:eastAsia="微软雅黑"/>
                <w:sz w:val="19"/>
              </w:rPr>
              <w:t>"时间比偏好更重要，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要追时间"</w:t>
            </w:r>
          </w:p>
        </w:tc>
        <w:tc>
          <w:tcPr>
            <w:tcW w:w="2268" w:type="dxa"/>
          </w:tcPr>
          <w:p w14:paraId="4CCDCFA0">
            <w:r>
              <w:rPr>
                <w:rFonts w:ascii="微软雅黑" w:hAnsi="微软雅黑" w:eastAsia="微软雅黑"/>
                <w:sz w:val="19"/>
              </w:rPr>
              <w:t>技术判断力强；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可能联合投资；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政府关系价值高</w:t>
            </w:r>
          </w:p>
        </w:tc>
      </w:tr>
    </w:tbl>
    <w:p w14:paraId="4D4A6EE8">
      <w:r>
        <w:br w:type="page"/>
      </w:r>
    </w:p>
    <w:p w14:paraId="248C4114">
      <w:pPr>
        <w:pStyle w:val="3"/>
      </w:pPr>
      <w:r>
        <w:rPr>
          <w:rFonts w:ascii="微软雅黑" w:hAnsi="微软雅黑" w:eastAsia="微软雅黑"/>
          <w:color w:val="2C3E50"/>
        </w:rPr>
        <w:t>第三部分  Q&amp;A综合整理（按主题合并）</w:t>
      </w:r>
    </w:p>
    <w:p w14:paraId="1AC35DFA">
      <w:pPr>
        <w:spacing w:after="80"/>
      </w:pPr>
      <w:r>
        <w:rPr>
          <w:rFonts w:ascii="微软雅黑" w:hAnsi="微软雅黑" w:eastAsia="微软雅黑"/>
          <w:b w:val="0"/>
          <w:sz w:val="21"/>
        </w:rPr>
        <w:t>以下将五场会议中的问答内容按主题归并，相同或相似问题合并处理，标注各问题来源。</w:t>
      </w:r>
    </w:p>
    <w:p w14:paraId="212069B2">
      <w:pPr>
        <w:spacing w:before="160" w:after="40"/>
      </w:pPr>
      <w:r>
        <w:rPr>
          <w:rFonts w:ascii="微软雅黑" w:hAnsi="微软雅黑" w:eastAsia="微软雅黑"/>
          <w:b/>
          <w:color w:val="E74C3C"/>
          <w:sz w:val="21"/>
        </w:rPr>
        <w:t>【IP隔离】</w:t>
      </w:r>
      <w:r>
        <w:rPr>
          <w:rFonts w:ascii="微软雅黑" w:hAnsi="微软雅黑" w:eastAsia="微软雅黑"/>
          <w:b/>
          <w:color w:val="2C3E50"/>
          <w:sz w:val="21"/>
        </w:rPr>
        <w:t>Q: 如何确保与达摩院的IP（知识产权）隔离？新公司的技术是否依赖达摩院的代码或数据？</w:t>
      </w:r>
    </w:p>
    <w:p w14:paraId="1CC61720">
      <w:pPr>
        <w:spacing w:after="40"/>
      </w:pPr>
      <w:r>
        <w:rPr>
          <w:rFonts w:ascii="微软雅黑" w:hAnsi="微软雅黑" w:eastAsia="微软雅黑"/>
          <w:i/>
          <w:color w:val="95A5A6"/>
          <w:sz w:val="18"/>
        </w:rPr>
        <w:t xml:space="preserve">  来源：[浙创投、杭实、东方嘉富、光源、中金] — 五场会议均被问及</w:t>
      </w:r>
    </w:p>
    <w:p w14:paraId="1629348F">
      <w:pPr>
        <w:spacing w:after="120"/>
        <w:ind w:left="283"/>
      </w:pPr>
      <w:r>
        <w:rPr>
          <w:rFonts w:ascii="微软雅黑" w:hAnsi="微软雅黑" w:eastAsia="微软雅黑"/>
          <w:color w:val="333333"/>
          <w:sz w:val="20"/>
        </w:rPr>
        <w:t>A: 所有模型均已Apache 2.0开源，不属于达摩院专有。明修明确承诺"不会有任何一行代码或一条数据从这里出来"。达摩院内部1.5版本 = 新公司1.0版本——模型架构和算法框架是公开的，具体数据和训练在新公司重新完成。行健（达摩院院长）和吴泳铭（阿里CEO）均知情并支持创业。</w:t>
      </w:r>
    </w:p>
    <w:p w14:paraId="2F62340B">
      <w:pPr>
        <w:spacing w:before="160" w:after="40"/>
      </w:pPr>
      <w:r>
        <w:rPr>
          <w:rFonts w:ascii="微软雅黑" w:hAnsi="微软雅黑" w:eastAsia="微软雅黑"/>
          <w:b/>
          <w:color w:val="E74C3C"/>
          <w:sz w:val="21"/>
        </w:rPr>
        <w:t>【触觉技术】</w:t>
      </w:r>
      <w:r>
        <w:rPr>
          <w:rFonts w:ascii="微软雅黑" w:hAnsi="微软雅黑" w:eastAsia="微软雅黑"/>
          <w:b/>
          <w:color w:val="2C3E50"/>
          <w:sz w:val="21"/>
        </w:rPr>
        <w:t>Q: 触觉在大模型中到底是正规则（enabler）还是反规则（disabler）？触觉数据的拐点何时到来？</w:t>
      </w:r>
    </w:p>
    <w:p w14:paraId="21585480">
      <w:pPr>
        <w:spacing w:after="40"/>
      </w:pPr>
      <w:r>
        <w:rPr>
          <w:rFonts w:ascii="微软雅黑" w:hAnsi="微软雅黑" w:eastAsia="微软雅黑"/>
          <w:i/>
          <w:color w:val="95A5A6"/>
          <w:sz w:val="18"/>
        </w:rPr>
        <w:t xml:space="preserve">  来源：[光源] — 最深度触觉技术讨论；[中金] 补充数据管线细节</w:t>
      </w:r>
    </w:p>
    <w:p w14:paraId="64F9B5B7">
      <w:pPr>
        <w:spacing w:after="120"/>
        <w:ind w:left="283"/>
      </w:pPr>
      <w:r>
        <w:rPr>
          <w:rFonts w:ascii="微软雅黑" w:hAnsi="微软雅黑" w:eastAsia="微软雅黑"/>
          <w:color w:val="333333"/>
          <w:sz w:val="20"/>
        </w:rPr>
        <w:t>A: 明修从第一性原理回答：人手操作中，"我看不见的情况下也可以做这个动作……视觉失效的情况下，触觉就变成了第一"。触觉不是正/反规则的问题，而是感知层不可或缺的一环。所有人都在讲触觉世界模型，但没有人直面触觉数据的问题——ROBOX通过采集管线（手机APP→仿真→真机→触觉手套）解决数据瓶颈。FA认可"触觉方向没问题"，但拐点和爆点时间尚不明确。</w:t>
      </w:r>
    </w:p>
    <w:p w14:paraId="426F5730">
      <w:pPr>
        <w:spacing w:before="160" w:after="40"/>
      </w:pPr>
      <w:r>
        <w:rPr>
          <w:rFonts w:ascii="微软雅黑" w:hAnsi="微软雅黑" w:eastAsia="微软雅黑"/>
          <w:b/>
          <w:color w:val="E74C3C"/>
          <w:sz w:val="21"/>
        </w:rPr>
        <w:t>【触觉传感器】</w:t>
      </w:r>
      <w:r>
        <w:rPr>
          <w:rFonts w:ascii="微软雅黑" w:hAnsi="微软雅黑" w:eastAsia="微软雅黑"/>
          <w:b/>
          <w:color w:val="2C3E50"/>
          <w:sz w:val="21"/>
        </w:rPr>
        <w:t>Q: 为什么选择数觉（vision-based tactile sensor）方案？与其他方案（磁力/压电/压阻）相比有何优劣？</w:t>
      </w:r>
    </w:p>
    <w:p w14:paraId="305F52B5">
      <w:pPr>
        <w:spacing w:after="40"/>
      </w:pPr>
      <w:r>
        <w:rPr>
          <w:rFonts w:ascii="微软雅黑" w:hAnsi="微软雅黑" w:eastAsia="微软雅黑"/>
          <w:i/>
          <w:color w:val="95A5A6"/>
          <w:sz w:val="18"/>
        </w:rPr>
        <w:t xml:space="preserve">  来源：[光源]</w:t>
      </w:r>
    </w:p>
    <w:p w14:paraId="1CFEC605">
      <w:pPr>
        <w:spacing w:after="120"/>
        <w:ind w:left="283"/>
      </w:pPr>
      <w:r>
        <w:rPr>
          <w:rFonts w:ascii="微软雅黑" w:hAnsi="微软雅黑" w:eastAsia="微软雅黑"/>
          <w:color w:val="333333"/>
          <w:sz w:val="20"/>
        </w:rPr>
        <w:t>A: 数觉方案精度最高、成本最低（约10元/个传感器），但结构刚性。磁力式精度不足，压电式成本过高，压阻式一致性差。ROBOX同时设计Touch Encoder（触觉编码器）为模态无关架构，可兼容未来不同类型触觉传感器输入，预留架构灵活性。</w:t>
      </w:r>
    </w:p>
    <w:p w14:paraId="749CD0AA">
      <w:pPr>
        <w:spacing w:before="160" w:after="40"/>
      </w:pPr>
      <w:r>
        <w:rPr>
          <w:rFonts w:ascii="微软雅黑" w:hAnsi="微软雅黑" w:eastAsia="微软雅黑"/>
          <w:b/>
          <w:color w:val="E74C3C"/>
          <w:sz w:val="21"/>
        </w:rPr>
        <w:t>【架构选择】</w:t>
      </w:r>
      <w:r>
        <w:rPr>
          <w:rFonts w:ascii="微软雅黑" w:hAnsi="微软雅黑" w:eastAsia="微软雅黑"/>
          <w:b/>
          <w:color w:val="2C3E50"/>
          <w:sz w:val="21"/>
        </w:rPr>
        <w:t>Q: 为什么选择AR (Autoregressive)架构而不是diffusion（扩散模型）？两者在VLA场景的优劣？</w:t>
      </w:r>
    </w:p>
    <w:p w14:paraId="2B99D59A">
      <w:pPr>
        <w:spacing w:after="40"/>
      </w:pPr>
      <w:r>
        <w:rPr>
          <w:rFonts w:ascii="微软雅黑" w:hAnsi="微软雅黑" w:eastAsia="微软雅黑"/>
          <w:i/>
          <w:color w:val="95A5A6"/>
          <w:sz w:val="18"/>
        </w:rPr>
        <w:t xml:space="preserve">  来源：[光源、中金]</w:t>
      </w:r>
    </w:p>
    <w:p w14:paraId="3A067B1C">
      <w:pPr>
        <w:spacing w:after="120"/>
        <w:ind w:left="283"/>
      </w:pPr>
      <w:r>
        <w:rPr>
          <w:rFonts w:ascii="微软雅黑" w:hAnsi="微软雅黑" w:eastAsia="微软雅黑"/>
          <w:color w:val="333333"/>
          <w:sz w:val="20"/>
        </w:rPr>
        <w:t>A: 明修指出diffusion架构的VLA存在scaling bottleneck（扩展瓶颈），无法有效扩大规模。AR架构可无限扩展，且System 2和System 1均采用AR架构，两者通过latent space（潜空间）通信——非自然语言，避免精度损失。这是业界首创的架构选择。</w:t>
      </w:r>
    </w:p>
    <w:p w14:paraId="37AD872A">
      <w:pPr>
        <w:spacing w:before="160" w:after="40"/>
      </w:pPr>
      <w:r>
        <w:rPr>
          <w:rFonts w:ascii="微软雅黑" w:hAnsi="微软雅黑" w:eastAsia="微软雅黑"/>
          <w:b/>
          <w:color w:val="E74C3C"/>
          <w:sz w:val="21"/>
        </w:rPr>
        <w:t>【竞争对比】</w:t>
      </w:r>
      <w:r>
        <w:rPr>
          <w:rFonts w:ascii="微软雅黑" w:hAnsi="微软雅黑" w:eastAsia="微软雅黑"/>
          <w:b/>
          <w:color w:val="2C3E50"/>
          <w:sz w:val="21"/>
        </w:rPr>
        <w:t>Q: ROBOX与蚂蚁灵波的核心差异是什么？</w:t>
      </w:r>
    </w:p>
    <w:p w14:paraId="67E4735E">
      <w:pPr>
        <w:spacing w:after="40"/>
      </w:pPr>
      <w:r>
        <w:rPr>
          <w:rFonts w:ascii="微软雅黑" w:hAnsi="微软雅黑" w:eastAsia="微软雅黑"/>
          <w:i/>
          <w:color w:val="95A5A6"/>
          <w:sz w:val="18"/>
        </w:rPr>
        <w:t xml:space="preserve">  来源：[东方嘉富、光源] — 两场会议表述一致</w:t>
      </w:r>
    </w:p>
    <w:p w14:paraId="0191F708">
      <w:pPr>
        <w:spacing w:after="120"/>
        <w:ind w:left="283"/>
      </w:pPr>
      <w:r>
        <w:rPr>
          <w:rFonts w:ascii="微软雅黑" w:hAnsi="微软雅黑" w:eastAsia="微软雅黑"/>
          <w:color w:val="333333"/>
          <w:sz w:val="20"/>
        </w:rPr>
        <w:t>A: 三点差异：(1) ROBOX做System 2底层基础模型，</w:t>
      </w:r>
      <w:r>
        <w:rPr>
          <w:rFonts w:hint="eastAsia"/>
          <w:color w:val="333333"/>
          <w:sz w:val="20"/>
          <w:lang w:val="en-US" w:eastAsia="zh-CN"/>
        </w:rPr>
        <w:t>灵波</w:t>
      </w:r>
      <w:r>
        <w:rPr>
          <w:rFonts w:ascii="微软雅黑" w:hAnsi="微软雅黑" w:eastAsia="微软雅黑"/>
          <w:color w:val="333333"/>
          <w:sz w:val="20"/>
        </w:rPr>
        <w:t>做System 1应用层VLA；(2) ROBOX的Ego数据领先6-12个月，行业跟随者2026年才开始；(3) 资本效率：ROBOX用50人做到宁波200人的产出，约2倍效率差。</w:t>
      </w:r>
    </w:p>
    <w:p w14:paraId="027E5E0E">
      <w:pPr>
        <w:spacing w:before="160" w:after="40"/>
      </w:pPr>
      <w:r>
        <w:rPr>
          <w:rFonts w:ascii="微软雅黑" w:hAnsi="微软雅黑" w:eastAsia="微软雅黑"/>
          <w:b/>
          <w:color w:val="E74C3C"/>
          <w:sz w:val="21"/>
        </w:rPr>
        <w:t>【竞争对比】</w:t>
      </w:r>
      <w:r>
        <w:rPr>
          <w:rFonts w:ascii="微软雅黑" w:hAnsi="微软雅黑" w:eastAsia="微软雅黑"/>
          <w:b/>
          <w:color w:val="2C3E50"/>
          <w:sz w:val="21"/>
        </w:rPr>
        <w:t>Q: 如何看待魔心的竞争？</w:t>
      </w:r>
    </w:p>
    <w:p w14:paraId="15934092">
      <w:pPr>
        <w:spacing w:after="40"/>
      </w:pPr>
      <w:r>
        <w:rPr>
          <w:rFonts w:ascii="微软雅黑" w:hAnsi="微软雅黑" w:eastAsia="微软雅黑"/>
          <w:i/>
          <w:color w:val="95A5A6"/>
          <w:sz w:val="18"/>
        </w:rPr>
        <w:t xml:space="preserve">  来源：[中金]</w:t>
      </w:r>
    </w:p>
    <w:p w14:paraId="6FD0AF65">
      <w:pPr>
        <w:spacing w:after="120"/>
        <w:ind w:left="283"/>
      </w:pPr>
      <w:r>
        <w:rPr>
          <w:rFonts w:ascii="微软雅黑" w:hAnsi="微软雅黑" w:eastAsia="微软雅黑"/>
          <w:color w:val="333333"/>
          <w:sz w:val="20"/>
        </w:rPr>
        <w:t>A: 明修评价：魔心"没有tech report（技术报告）、没有真机demo（演示）"，1B/2B端侧模型"不配叫世界模型"，"更像演说家"，估值80亿。中金团队对此评价展现了技术判断力。</w:t>
      </w:r>
    </w:p>
    <w:p w14:paraId="46FA26DD">
      <w:pPr>
        <w:spacing w:before="160" w:after="40"/>
      </w:pPr>
      <w:r>
        <w:rPr>
          <w:rFonts w:ascii="微软雅黑" w:hAnsi="微软雅黑" w:eastAsia="微软雅黑"/>
          <w:b/>
          <w:color w:val="E74C3C"/>
          <w:sz w:val="21"/>
        </w:rPr>
        <w:t>【市场时机】</w:t>
      </w:r>
      <w:r>
        <w:rPr>
          <w:rFonts w:ascii="微软雅黑" w:hAnsi="微软雅黑" w:eastAsia="微软雅黑"/>
          <w:b/>
          <w:color w:val="2C3E50"/>
          <w:sz w:val="21"/>
        </w:rPr>
        <w:t>Q: 当前是否是融资的好时机？市场情绪如何？</w:t>
      </w:r>
    </w:p>
    <w:p w14:paraId="0C1DBDC9">
      <w:pPr>
        <w:spacing w:after="40"/>
      </w:pPr>
      <w:r>
        <w:rPr>
          <w:rFonts w:ascii="微软雅黑" w:hAnsi="微软雅黑" w:eastAsia="微软雅黑"/>
          <w:i/>
          <w:color w:val="95A5A6"/>
          <w:sz w:val="18"/>
        </w:rPr>
        <w:t xml:space="preserve">  来源：[东方嘉富、光源] — 谨慎判断；[浙创投、杭实] — 积极；[中金] — 中性</w:t>
      </w:r>
    </w:p>
    <w:p w14:paraId="597FD052">
      <w:pPr>
        <w:spacing w:after="120"/>
        <w:ind w:left="283"/>
      </w:pPr>
      <w:r>
        <w:rPr>
          <w:rFonts w:ascii="微软雅黑" w:hAnsi="微软雅黑" w:eastAsia="微软雅黑"/>
          <w:color w:val="333333"/>
          <w:sz w:val="20"/>
        </w:rPr>
        <w:t>A: 各方判断分歧明显——</w:t>
      </w:r>
      <w:r>
        <w:rPr>
          <w:rFonts w:ascii="微软雅黑" w:hAnsi="微软雅黑" w:eastAsia="微软雅黑"/>
          <w:color w:val="333333"/>
          <w:sz w:val="20"/>
        </w:rPr>
        <w:br w:type="textWrapping"/>
      </w:r>
      <w:r>
        <w:rPr>
          <w:rFonts w:ascii="微软雅黑" w:hAnsi="微软雅黑" w:eastAsia="微软雅黑"/>
          <w:color w:val="333333"/>
          <w:sz w:val="20"/>
        </w:rPr>
        <w:t>浙创投：团队"有使命感、有活力"，态度积极；</w:t>
      </w:r>
      <w:r>
        <w:rPr>
          <w:rFonts w:ascii="微软雅黑" w:hAnsi="微软雅黑" w:eastAsia="微软雅黑"/>
          <w:color w:val="333333"/>
          <w:sz w:val="20"/>
        </w:rPr>
        <w:br w:type="textWrapping"/>
      </w:r>
      <w:r>
        <w:rPr>
          <w:rFonts w:ascii="微软雅黑" w:hAnsi="微软雅黑" w:eastAsia="微软雅黑"/>
          <w:color w:val="333333"/>
          <w:sz w:val="20"/>
        </w:rPr>
        <w:t>杭实：赵德利"国内做大脑最好的团队"，Eric Wang"第二段创业"的兴奋感；</w:t>
      </w:r>
      <w:r>
        <w:rPr>
          <w:rFonts w:ascii="微软雅黑" w:hAnsi="微软雅黑" w:eastAsia="微软雅黑"/>
          <w:color w:val="333333"/>
          <w:sz w:val="20"/>
        </w:rPr>
        <w:br w:type="textWrapping"/>
      </w:r>
      <w:r>
        <w:rPr>
          <w:rFonts w:ascii="微软雅黑" w:hAnsi="微软雅黑" w:eastAsia="微软雅黑"/>
          <w:color w:val="333333"/>
          <w:sz w:val="20"/>
        </w:rPr>
        <w:t>东方嘉富郑格："不是特别好的时间"，宇树IPO"对很多二级都是打击"，资金集中在半导体，"AI商业化落地和赚钱的问题"是市场担忧；</w:t>
      </w:r>
      <w:r>
        <w:rPr>
          <w:rFonts w:ascii="微软雅黑" w:hAnsi="微软雅黑" w:eastAsia="微软雅黑"/>
          <w:color w:val="333333"/>
          <w:sz w:val="20"/>
        </w:rPr>
        <w:br w:type="textWrapping"/>
      </w:r>
      <w:r>
        <w:rPr>
          <w:rFonts w:ascii="微软雅黑" w:hAnsi="微软雅黑" w:eastAsia="微软雅黑"/>
          <w:color w:val="333333"/>
          <w:sz w:val="20"/>
        </w:rPr>
        <w:t>光源权博："从市场周期上来说，确实现在不是个特别好的时间"，"大家还在看，速度明显比那个时候要慢"，"资金这么便宜本身就是其他的风险"，"整个市场的情绪……观望的态度更多一些"；</w:t>
      </w:r>
      <w:r>
        <w:rPr>
          <w:rFonts w:ascii="微软雅黑" w:hAnsi="微软雅黑" w:eastAsia="微软雅黑"/>
          <w:color w:val="333333"/>
          <w:sz w:val="20"/>
        </w:rPr>
        <w:br w:type="textWrapping"/>
      </w:r>
      <w:r>
        <w:rPr>
          <w:rFonts w:ascii="微软雅黑" w:hAnsi="微软雅黑" w:eastAsia="微软雅黑"/>
          <w:color w:val="333333"/>
          <w:sz w:val="20"/>
        </w:rPr>
        <w:t>中金："时间比偏好更重要，要追时间"——强调速度优先于估值偏好。</w:t>
      </w:r>
    </w:p>
    <w:p w14:paraId="2B2B2FA4">
      <w:pPr>
        <w:spacing w:before="160" w:after="40"/>
      </w:pPr>
      <w:r>
        <w:rPr>
          <w:rFonts w:ascii="微软雅黑" w:hAnsi="微软雅黑" w:eastAsia="微软雅黑"/>
          <w:b/>
          <w:color w:val="E74C3C"/>
          <w:sz w:val="21"/>
        </w:rPr>
        <w:t>【融资计划】</w:t>
      </w:r>
      <w:r>
        <w:rPr>
          <w:rFonts w:ascii="微软雅黑" w:hAnsi="微软雅黑" w:eastAsia="微软雅黑"/>
          <w:b/>
          <w:color w:val="2C3E50"/>
          <w:sz w:val="21"/>
        </w:rPr>
        <w:t>Q: 本轮和下一轮融资的具体计划？算力如何保障？</w:t>
      </w:r>
    </w:p>
    <w:p w14:paraId="3E4DD6A5">
      <w:pPr>
        <w:spacing w:after="40"/>
      </w:pPr>
      <w:r>
        <w:rPr>
          <w:rFonts w:ascii="微软雅黑" w:hAnsi="微软雅黑" w:eastAsia="微软雅黑"/>
          <w:i/>
          <w:color w:val="95A5A6"/>
          <w:sz w:val="18"/>
        </w:rPr>
        <w:t xml:space="preserve">  来源：[浙创投、杭实、东方嘉富、光源、中金] — 五场会议均涉及</w:t>
      </w:r>
    </w:p>
    <w:p w14:paraId="066B7AC1">
      <w:pPr>
        <w:spacing w:after="120"/>
        <w:ind w:left="283"/>
      </w:pPr>
      <w:r>
        <w:rPr>
          <w:rFonts w:ascii="微软雅黑" w:hAnsi="微软雅黑" w:eastAsia="微软雅黑"/>
          <w:color w:val="333333"/>
          <w:sz w:val="20"/>
        </w:rPr>
        <w:t>A: 本轮（第一轮）：投后20亿估值，融2亿（出让10%），8月中旬close。下一轮：40-50亿估值，"马上就开"。算力：256-1000张H100算力卡，已锁定6个月用量。</w:t>
      </w:r>
      <w:r>
        <w:rPr>
          <w:rFonts w:hint="eastAsia"/>
          <w:color w:val="333333"/>
          <w:sz w:val="20"/>
          <w:lang w:val="en-US" w:eastAsia="zh-CN"/>
        </w:rPr>
        <w:t>红杉</w:t>
      </w:r>
      <w:r>
        <w:rPr>
          <w:rFonts w:ascii="微软雅黑" w:hAnsi="微软雅黑" w:eastAsia="微软雅黑"/>
          <w:color w:val="333333"/>
          <w:sz w:val="20"/>
        </w:rPr>
        <w:t>TS尚未签署。</w:t>
      </w:r>
    </w:p>
    <w:p w14:paraId="4CFC09B6">
      <w:pPr>
        <w:spacing w:before="160" w:after="40"/>
        <w:rPr>
          <w:color w:val="00B050"/>
        </w:rPr>
      </w:pPr>
      <w:r>
        <w:rPr>
          <w:rFonts w:ascii="微软雅黑" w:hAnsi="微软雅黑" w:eastAsia="微软雅黑"/>
          <w:b/>
          <w:color w:val="E74C3C"/>
          <w:sz w:val="21"/>
        </w:rPr>
        <w:t>【商业路径】</w:t>
      </w:r>
      <w:r>
        <w:rPr>
          <w:rFonts w:ascii="微软雅黑" w:hAnsi="微软雅黑" w:eastAsia="微软雅黑"/>
          <w:b/>
          <w:color w:val="00B050"/>
          <w:sz w:val="21"/>
        </w:rPr>
        <w:t>Q: ROBOX如何实现商业化？为什么选择商业服务而非工业场景？</w:t>
      </w:r>
    </w:p>
    <w:p w14:paraId="455ECE5F">
      <w:pPr>
        <w:spacing w:after="40"/>
        <w:rPr>
          <w:color w:val="00B050"/>
        </w:rPr>
      </w:pPr>
      <w:r>
        <w:rPr>
          <w:rFonts w:ascii="微软雅黑" w:hAnsi="微软雅黑" w:eastAsia="微软雅黑"/>
          <w:i/>
          <w:color w:val="00B050"/>
          <w:sz w:val="18"/>
        </w:rPr>
        <w:t xml:space="preserve">  来源：[杭实、光源、东方嘉富、中金]</w:t>
      </w:r>
    </w:p>
    <w:p w14:paraId="179F95AD">
      <w:pPr>
        <w:spacing w:after="120"/>
        <w:ind w:left="283"/>
        <w:rPr>
          <w:color w:val="00B050"/>
        </w:rPr>
      </w:pPr>
      <w:r>
        <w:rPr>
          <w:rFonts w:ascii="微软雅黑" w:hAnsi="微软雅黑" w:eastAsia="微软雅黑"/>
          <w:color w:val="00B050"/>
          <w:sz w:val="20"/>
        </w:rPr>
        <w:t>A: 三阶段路径：TPF 0-12月（商业服务：酒店/餐饮/文旅，长虹集团为SI合作伙伴）→场景验证12-24月（康养/移动餐车）→家庭进入24-36月（技能包订阅月6000元）。不做工业：搬箱子只占工厂工作0.x%，数据多样性差。公司定位"用人类知识真正去教会机器人改变物理世界"，产品是"手眼脑协同的物理智能系统"。</w:t>
      </w:r>
    </w:p>
    <w:p w14:paraId="1A801CFE">
      <w:pPr>
        <w:spacing w:before="160" w:after="40"/>
      </w:pPr>
      <w:r>
        <w:rPr>
          <w:rFonts w:ascii="微软雅黑" w:hAnsi="微软雅黑" w:eastAsia="微软雅黑"/>
          <w:b/>
          <w:color w:val="E74C3C"/>
          <w:sz w:val="21"/>
        </w:rPr>
        <w:t>【数据战略】</w:t>
      </w:r>
      <w:r>
        <w:rPr>
          <w:rFonts w:ascii="微软雅黑" w:hAnsi="微软雅黑" w:eastAsia="微软雅黑"/>
          <w:b/>
          <w:color w:val="2C3E50"/>
          <w:sz w:val="21"/>
        </w:rPr>
        <w:t>Q: 数据规模多大？如何量化各数据类型的贡献？Ego数据先发优势能保持多久？</w:t>
      </w:r>
    </w:p>
    <w:p w14:paraId="39E0F286">
      <w:pPr>
        <w:spacing w:after="40"/>
      </w:pPr>
      <w:r>
        <w:rPr>
          <w:rFonts w:ascii="微软雅黑" w:hAnsi="微软雅黑" w:eastAsia="微软雅黑"/>
          <w:i/>
          <w:color w:val="95A5A6"/>
          <w:sz w:val="18"/>
        </w:rPr>
        <w:t xml:space="preserve">  来源：[光源、中金]</w:t>
      </w:r>
    </w:p>
    <w:p w14:paraId="15C13589">
      <w:pPr>
        <w:spacing w:after="120"/>
        <w:ind w:left="283"/>
      </w:pPr>
      <w:r>
        <w:rPr>
          <w:rFonts w:ascii="微软雅黑" w:hAnsi="微软雅黑" w:eastAsia="微软雅黑"/>
          <w:color w:val="333333"/>
          <w:sz w:val="20"/>
        </w:rPr>
        <w:t>A: 当前4000-8000小时，12个月目标50-100万小时。行业门槛50万小时（北美领先），卢中青声称50万但有效仅7万。ViLoS消融实验完整量化数据贡献：随机参数4.4% → +多模态初始化50% → +Ego数据84% → +Action VAE 90.6%。ROBOX自2024年开始Ego采集，2025年8月发布ViLoS，比NVIDIA EgoSkill（2026年2月）早5-6个月。</w:t>
      </w:r>
    </w:p>
    <w:p w14:paraId="46757C69">
      <w:pPr>
        <w:spacing w:before="160" w:after="40"/>
      </w:pPr>
      <w:r>
        <w:rPr>
          <w:rFonts w:ascii="微软雅黑" w:hAnsi="微软雅黑" w:eastAsia="微软雅黑"/>
          <w:b/>
          <w:color w:val="E74C3C"/>
          <w:sz w:val="21"/>
        </w:rPr>
        <w:t>【政府关系】</w:t>
      </w:r>
      <w:r>
        <w:rPr>
          <w:rFonts w:ascii="微软雅黑" w:hAnsi="微软雅黑" w:eastAsia="微软雅黑"/>
          <w:b/>
          <w:color w:val="2C3E50"/>
          <w:sz w:val="21"/>
        </w:rPr>
        <w:t>Q: 政府关系如何运作？杭州与北京的政策支持差距如何看？</w:t>
      </w:r>
    </w:p>
    <w:p w14:paraId="684D5726">
      <w:pPr>
        <w:spacing w:after="40"/>
      </w:pPr>
      <w:r>
        <w:rPr>
          <w:rFonts w:ascii="微软雅黑" w:hAnsi="微软雅黑" w:eastAsia="微软雅黑"/>
          <w:i/>
          <w:color w:val="95A5A6"/>
          <w:sz w:val="18"/>
        </w:rPr>
        <w:t xml:space="preserve">  来源：[东方嘉富、中金、浙创投]</w:t>
      </w:r>
    </w:p>
    <w:p w14:paraId="5475A840">
      <w:pPr>
        <w:spacing w:after="120"/>
        <w:ind w:left="283"/>
      </w:pPr>
      <w:r>
        <w:rPr>
          <w:rFonts w:ascii="微软雅黑" w:hAnsi="微软雅黑" w:eastAsia="微软雅黑"/>
          <w:color w:val="333333"/>
          <w:sz w:val="20"/>
        </w:rPr>
        <w:t>A: 明修主导政府关系（发改委/工信部），"省里面的关系都是因为他们找我们院，都是我出面去聊的"。中金愿意引荐政府侧资源。东方嘉富郑格指出杭州vs北京政策落差：杭州3000万 vs 北京10亿支持力度，千寻可能因此搬北京。余杭区政策：海创未来领军人才三年1200万研发+300万房租；算力券市级2.5亿/年+省级5亿。明修last day前余杭信息需保密。</w:t>
      </w:r>
    </w:p>
    <w:p w14:paraId="1548074B">
      <w:pPr>
        <w:spacing w:before="160" w:after="40"/>
      </w:pPr>
      <w:r>
        <w:rPr>
          <w:rFonts w:ascii="微软雅黑" w:hAnsi="微软雅黑" w:eastAsia="微软雅黑"/>
          <w:b/>
          <w:color w:val="E74C3C"/>
          <w:sz w:val="21"/>
        </w:rPr>
        <w:t>【团队角色】</w:t>
      </w:r>
      <w:r>
        <w:rPr>
          <w:rFonts w:ascii="微软雅黑" w:hAnsi="微软雅黑" w:eastAsia="微软雅黑"/>
          <w:b/>
          <w:color w:val="2C3E50"/>
          <w:sz w:val="21"/>
        </w:rPr>
        <w:t>Q: Eric Wang（王舜德）的背景和在团队中的角色？</w:t>
      </w:r>
    </w:p>
    <w:p w14:paraId="6A846A1B">
      <w:pPr>
        <w:spacing w:after="40"/>
      </w:pPr>
      <w:r>
        <w:rPr>
          <w:rFonts w:ascii="微软雅黑" w:hAnsi="微软雅黑" w:eastAsia="微软雅黑"/>
          <w:i/>
          <w:color w:val="95A5A6"/>
          <w:sz w:val="18"/>
        </w:rPr>
        <w:t xml:space="preserve">  来源：[杭实、光源]</w:t>
      </w:r>
    </w:p>
    <w:p w14:paraId="65D949FB">
      <w:pPr>
        <w:spacing w:after="120"/>
        <w:ind w:left="283"/>
      </w:pPr>
      <w:r>
        <w:rPr>
          <w:rFonts w:ascii="微软雅黑" w:hAnsi="微软雅黑" w:eastAsia="微软雅黑"/>
          <w:color w:val="333333"/>
          <w:sz w:val="20"/>
        </w:rPr>
        <w:t>A: Eric Wang自我介绍：前阿里财务VP（汇报蔡崇信）→金山CFO→Rocket（PICO）联合创始人，"退休两次"后被明修邀请出任CFO。Eric在会议中强调"商业节奏"和"管理能力"，表现出"第二段创业"的兴奋感。他同时担任明修的创业导师角色，主导股权融资节奏和结果。Eric到岗后，融资配合角色可由Anson交接给Eric。</w:t>
      </w:r>
    </w:p>
    <w:p w14:paraId="11464DD3">
      <w:pPr>
        <w:spacing w:before="160" w:after="40"/>
      </w:pPr>
      <w:r>
        <w:rPr>
          <w:rFonts w:ascii="微软雅黑" w:hAnsi="微软雅黑" w:eastAsia="微软雅黑"/>
          <w:b/>
          <w:color w:val="E74C3C"/>
          <w:sz w:val="21"/>
        </w:rPr>
        <w:t>【技术深度】</w:t>
      </w:r>
      <w:r>
        <w:rPr>
          <w:rFonts w:ascii="微软雅黑" w:hAnsi="微软雅黑" w:eastAsia="微软雅黑"/>
          <w:b/>
          <w:color w:val="2C3E50"/>
          <w:sz w:val="21"/>
        </w:rPr>
        <w:t>Q: Unified Action Space（统一动作空间）多机器人co-training（协同训练）是否带来全面提升？</w:t>
      </w:r>
    </w:p>
    <w:p w14:paraId="4D712661">
      <w:pPr>
        <w:spacing w:after="40"/>
      </w:pPr>
      <w:r>
        <w:rPr>
          <w:rFonts w:ascii="微软雅黑" w:hAnsi="微软雅黑" w:eastAsia="微软雅黑"/>
          <w:i/>
          <w:color w:val="95A5A6"/>
          <w:sz w:val="18"/>
        </w:rPr>
        <w:t xml:space="preserve">  来源：[中金]</w:t>
      </w:r>
    </w:p>
    <w:p w14:paraId="0DBFEE34">
      <w:pPr>
        <w:spacing w:after="120"/>
        <w:ind w:left="283"/>
      </w:pPr>
      <w:r>
        <w:rPr>
          <w:rFonts w:ascii="微软雅黑" w:hAnsi="微软雅黑" w:eastAsia="微软雅黑"/>
          <w:color w:val="333333"/>
          <w:sz w:val="20"/>
        </w:rPr>
        <w:t>A: 中金团队追问此问题，展现了技术判断力。ROBOX通过Unified Action Space实现不同机器人之间的协同训练，ViLoS数据对此提供了支撑。中金对此问题的追问表明其具备深度技术评估能力。</w:t>
      </w:r>
    </w:p>
    <w:p w14:paraId="46DA76FC">
      <w:pPr>
        <w:spacing w:before="160" w:after="40"/>
      </w:pPr>
      <w:r>
        <w:rPr>
          <w:rFonts w:ascii="微软雅黑" w:hAnsi="微软雅黑" w:eastAsia="微软雅黑"/>
          <w:b/>
          <w:color w:val="E74C3C"/>
          <w:sz w:val="21"/>
        </w:rPr>
        <w:t>【投资流程】</w:t>
      </w:r>
      <w:r>
        <w:rPr>
          <w:rFonts w:ascii="微软雅黑" w:hAnsi="微软雅黑" w:eastAsia="微软雅黑"/>
          <w:b/>
          <w:color w:val="2C3E50"/>
          <w:sz w:val="21"/>
        </w:rPr>
        <w:t>Q: 浙创投的投资决策时间线和流程？</w:t>
      </w:r>
    </w:p>
    <w:p w14:paraId="251668CD">
      <w:pPr>
        <w:spacing w:after="40"/>
      </w:pPr>
      <w:r>
        <w:rPr>
          <w:rFonts w:ascii="微软雅黑" w:hAnsi="微软雅黑" w:eastAsia="微软雅黑"/>
          <w:i/>
          <w:color w:val="95A5A6"/>
          <w:sz w:val="18"/>
        </w:rPr>
        <w:t xml:space="preserve">  来源：[浙创投]</w:t>
      </w:r>
    </w:p>
    <w:p w14:paraId="41E66BEB">
      <w:pPr>
        <w:spacing w:after="120"/>
        <w:ind w:left="283"/>
      </w:pPr>
      <w:r>
        <w:rPr>
          <w:rFonts w:ascii="微软雅黑" w:hAnsi="微软雅黑" w:eastAsia="微软雅黑"/>
          <w:color w:val="333333"/>
          <w:sz w:val="20"/>
        </w:rPr>
        <w:t>A: 沈千旸表示国资灵活性较高，但需要走内部流程。投资范围：早期2000-4000万，舒适区8000万-1.2亿。明修last day（8月10日）前余杭相关信息需保密。沈千旸对ROBOX团队评价积极："有使命感、非常有活力"。</w:t>
      </w:r>
    </w:p>
    <w:p w14:paraId="70E180AB">
      <w:r>
        <w:br w:type="page"/>
      </w:r>
    </w:p>
    <w:p w14:paraId="634447A4">
      <w:pPr>
        <w:pStyle w:val="3"/>
      </w:pPr>
      <w:r>
        <w:rPr>
          <w:rFonts w:ascii="微软雅黑" w:hAnsi="微软雅黑" w:eastAsia="微软雅黑"/>
          <w:color w:val="2C3E50"/>
        </w:rPr>
        <w:t>第四部分  投资人态度对比矩阵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17"/>
        <w:gridCol w:w="1417"/>
        <w:gridCol w:w="1417"/>
        <w:gridCol w:w="1417"/>
        <w:gridCol w:w="1417"/>
      </w:tblGrid>
      <w:tr w14:paraId="745ED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C3E50"/>
          </w:tcPr>
          <w:p w14:paraId="35E9AED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1417" w:type="dxa"/>
            <w:shd w:val="clear" w:color="auto" w:fill="2C3E50"/>
          </w:tcPr>
          <w:p w14:paraId="6B405CE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浙创投</w:t>
            </w:r>
          </w:p>
        </w:tc>
        <w:tc>
          <w:tcPr>
            <w:tcW w:w="1417" w:type="dxa"/>
            <w:shd w:val="clear" w:color="auto" w:fill="2C3E50"/>
          </w:tcPr>
          <w:p w14:paraId="338218A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杭实复啄</w:t>
            </w:r>
          </w:p>
        </w:tc>
        <w:tc>
          <w:tcPr>
            <w:tcW w:w="1417" w:type="dxa"/>
            <w:shd w:val="clear" w:color="auto" w:fill="2C3E50"/>
          </w:tcPr>
          <w:p w14:paraId="07289F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东方嘉富</w:t>
            </w:r>
          </w:p>
        </w:tc>
        <w:tc>
          <w:tcPr>
            <w:tcW w:w="1417" w:type="dxa"/>
            <w:shd w:val="clear" w:color="auto" w:fill="2C3E50"/>
          </w:tcPr>
          <w:p w14:paraId="7694D5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光源资本</w:t>
            </w:r>
          </w:p>
        </w:tc>
        <w:tc>
          <w:tcPr>
            <w:tcW w:w="1417" w:type="dxa"/>
            <w:shd w:val="clear" w:color="auto" w:fill="2C3E50"/>
          </w:tcPr>
          <w:p w14:paraId="4AC86AE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中金</w:t>
            </w:r>
          </w:p>
        </w:tc>
      </w:tr>
      <w:tr w14:paraId="37566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48AAF3A">
            <w:r>
              <w:rPr>
                <w:rFonts w:ascii="微软雅黑" w:hAnsi="微软雅黑" w:eastAsia="微软雅黑"/>
                <w:sz w:val="19"/>
              </w:rPr>
              <w:t>机构类型</w:t>
            </w:r>
          </w:p>
        </w:tc>
        <w:tc>
          <w:tcPr>
            <w:tcW w:w="1417" w:type="dxa"/>
          </w:tcPr>
          <w:p w14:paraId="720B68FD">
            <w:r>
              <w:rPr>
                <w:rFonts w:ascii="微软雅黑" w:hAnsi="微软雅黑" w:eastAsia="微软雅黑"/>
                <w:sz w:val="19"/>
              </w:rPr>
              <w:t>国资VC</w:t>
            </w:r>
          </w:p>
        </w:tc>
        <w:tc>
          <w:tcPr>
            <w:tcW w:w="1417" w:type="dxa"/>
          </w:tcPr>
          <w:p w14:paraId="37D648E7">
            <w:r>
              <w:rPr>
                <w:rFonts w:ascii="微软雅黑" w:hAnsi="微软雅黑" w:eastAsia="微软雅黑"/>
                <w:sz w:val="19"/>
              </w:rPr>
              <w:t>国资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(杭州银行/杭实)</w:t>
            </w:r>
          </w:p>
        </w:tc>
        <w:tc>
          <w:tcPr>
            <w:tcW w:w="1417" w:type="dxa"/>
          </w:tcPr>
          <w:p w14:paraId="1109A57D">
            <w:r>
              <w:rPr>
                <w:rFonts w:ascii="微软雅黑" w:hAnsi="微软雅黑" w:eastAsia="微软雅黑"/>
                <w:sz w:val="19"/>
              </w:rPr>
              <w:t>国资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(国家中小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企业基金)</w:t>
            </w:r>
          </w:p>
        </w:tc>
        <w:tc>
          <w:tcPr>
            <w:tcW w:w="1417" w:type="dxa"/>
          </w:tcPr>
          <w:p w14:paraId="62B3780A">
            <w:r>
              <w:rPr>
                <w:rFonts w:ascii="微软雅黑" w:hAnsi="微软雅黑" w:eastAsia="微软雅黑"/>
                <w:sz w:val="19"/>
              </w:rPr>
              <w:t>FA</w:t>
            </w:r>
          </w:p>
        </w:tc>
        <w:tc>
          <w:tcPr>
            <w:tcW w:w="1417" w:type="dxa"/>
          </w:tcPr>
          <w:p w14:paraId="750304BA">
            <w:r>
              <w:rPr>
                <w:rFonts w:ascii="微软雅黑" w:hAnsi="微软雅黑" w:eastAsia="微软雅黑"/>
                <w:sz w:val="19"/>
              </w:rPr>
              <w:t>券商投行</w:t>
            </w:r>
          </w:p>
        </w:tc>
      </w:tr>
      <w:tr w14:paraId="7129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6CD4C3B">
            <w:r>
              <w:rPr>
                <w:rFonts w:ascii="微软雅黑" w:hAnsi="微软雅黑" w:eastAsia="微软雅黑"/>
                <w:sz w:val="19"/>
              </w:rPr>
              <w:t>投资范围</w:t>
            </w:r>
          </w:p>
        </w:tc>
        <w:tc>
          <w:tcPr>
            <w:tcW w:w="1417" w:type="dxa"/>
          </w:tcPr>
          <w:p w14:paraId="0D11346A">
            <w:r>
              <w:rPr>
                <w:rFonts w:ascii="微软雅黑" w:hAnsi="微软雅黑" w:eastAsia="微软雅黑"/>
                <w:sz w:val="19"/>
              </w:rPr>
              <w:t>2000-4000万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舒适区: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8000万-1.2亿</w:t>
            </w:r>
          </w:p>
        </w:tc>
        <w:tc>
          <w:tcPr>
            <w:tcW w:w="1417" w:type="dxa"/>
          </w:tcPr>
          <w:p w14:paraId="0A2A13E9">
            <w:r>
              <w:rPr>
                <w:rFonts w:ascii="微软雅黑" w:hAnsi="微软雅黑" w:eastAsia="微软雅黑"/>
                <w:sz w:val="19"/>
              </w:rPr>
              <w:t>待定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(Eric对接)</w:t>
            </w:r>
          </w:p>
        </w:tc>
        <w:tc>
          <w:tcPr>
            <w:tcW w:w="1417" w:type="dxa"/>
          </w:tcPr>
          <w:p w14:paraId="65442F96">
            <w:r>
              <w:rPr>
                <w:rFonts w:ascii="微软雅黑" w:hAnsi="微软雅黑" w:eastAsia="微软雅黑"/>
                <w:sz w:val="19"/>
              </w:rPr>
              <w:t>3000-5000万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最大1亿</w:t>
            </w:r>
          </w:p>
        </w:tc>
        <w:tc>
          <w:tcPr>
            <w:tcW w:w="1417" w:type="dxa"/>
          </w:tcPr>
          <w:p w14:paraId="7B884735">
            <w:r>
              <w:rPr>
                <w:rFonts w:ascii="微软雅黑" w:hAnsi="微软雅黑" w:eastAsia="微软雅黑"/>
                <w:sz w:val="19"/>
              </w:rPr>
              <w:t>FA服务费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(帮融资)</w:t>
            </w:r>
          </w:p>
        </w:tc>
        <w:tc>
          <w:tcPr>
            <w:tcW w:w="1417" w:type="dxa"/>
          </w:tcPr>
          <w:p w14:paraId="34591BBD">
            <w:r>
              <w:rPr>
                <w:rFonts w:ascii="微软雅黑" w:hAnsi="微软雅黑" w:eastAsia="微软雅黑"/>
                <w:sz w:val="19"/>
              </w:rPr>
              <w:t>可能"联合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几个"参与</w:t>
            </w:r>
          </w:p>
        </w:tc>
      </w:tr>
      <w:tr w14:paraId="3DD00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832A722">
            <w:r>
              <w:rPr>
                <w:rFonts w:ascii="微软雅黑" w:hAnsi="微软雅黑" w:eastAsia="微软雅黑"/>
                <w:sz w:val="19"/>
              </w:rPr>
              <w:t>技术判断力</w:t>
            </w:r>
          </w:p>
        </w:tc>
        <w:tc>
          <w:tcPr>
            <w:tcW w:w="1417" w:type="dxa"/>
          </w:tcPr>
          <w:p w14:paraId="0767EB88">
            <w:r>
              <w:rPr>
                <w:rFonts w:ascii="微软雅黑" w:hAnsi="微软雅黑" w:eastAsia="微软雅黑"/>
                <w:sz w:val="19"/>
              </w:rPr>
              <w:t>中等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(关注团队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和对比)</w:t>
            </w:r>
          </w:p>
        </w:tc>
        <w:tc>
          <w:tcPr>
            <w:tcW w:w="1417" w:type="dxa"/>
          </w:tcPr>
          <w:p w14:paraId="34D3A5B0">
            <w:r>
              <w:rPr>
                <w:rFonts w:ascii="微软雅黑" w:hAnsi="微软雅黑" w:eastAsia="微软雅黑"/>
                <w:sz w:val="19"/>
              </w:rPr>
              <w:t>较高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(赵德利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技术认可)</w:t>
            </w:r>
          </w:p>
        </w:tc>
        <w:tc>
          <w:tcPr>
            <w:tcW w:w="1417" w:type="dxa"/>
          </w:tcPr>
          <w:p w14:paraId="05AE303F">
            <w:r>
              <w:rPr>
                <w:rFonts w:ascii="微软雅黑" w:hAnsi="微软雅黑" w:eastAsia="微软雅黑"/>
                <w:sz w:val="19"/>
              </w:rPr>
              <w:t>中等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(关注市场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和竞争)</w:t>
            </w:r>
          </w:p>
        </w:tc>
        <w:tc>
          <w:tcPr>
            <w:tcW w:w="1417" w:type="dxa"/>
          </w:tcPr>
          <w:p w14:paraId="18C028A8">
            <w:r>
              <w:rPr>
                <w:rFonts w:ascii="微软雅黑" w:hAnsi="微软雅黑" w:eastAsia="微软雅黑"/>
                <w:sz w:val="19"/>
              </w:rPr>
              <w:t>最高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(AR/diffusion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/触觉深度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尽调)</w:t>
            </w:r>
          </w:p>
        </w:tc>
        <w:tc>
          <w:tcPr>
            <w:tcW w:w="1417" w:type="dxa"/>
          </w:tcPr>
          <w:p w14:paraId="0AA908AA">
            <w:r>
              <w:rPr>
                <w:rFonts w:ascii="微软雅黑" w:hAnsi="微软雅黑" w:eastAsia="微软雅黑"/>
                <w:sz w:val="19"/>
              </w:rPr>
              <w:t>高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(追问VLA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scaling瓶颈)</w:t>
            </w:r>
          </w:p>
        </w:tc>
      </w:tr>
      <w:tr w14:paraId="60BA1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5AC5AD8">
            <w:r>
              <w:rPr>
                <w:rFonts w:ascii="微软雅黑" w:hAnsi="微软雅黑" w:eastAsia="微软雅黑"/>
                <w:sz w:val="19"/>
              </w:rPr>
              <w:t>市场时机判断</w:t>
            </w:r>
          </w:p>
        </w:tc>
        <w:tc>
          <w:tcPr>
            <w:tcW w:w="1417" w:type="dxa"/>
          </w:tcPr>
          <w:p w14:paraId="291C6F71">
            <w:r>
              <w:rPr>
                <w:rFonts w:ascii="微软雅黑" w:hAnsi="微软雅黑" w:eastAsia="微软雅黑"/>
                <w:sz w:val="19"/>
              </w:rPr>
              <w:t>积极</w:t>
            </w:r>
          </w:p>
        </w:tc>
        <w:tc>
          <w:tcPr>
            <w:tcW w:w="1417" w:type="dxa"/>
          </w:tcPr>
          <w:p w14:paraId="51A0B507">
            <w:r>
              <w:rPr>
                <w:rFonts w:ascii="微软雅黑" w:hAnsi="微软雅黑" w:eastAsia="微软雅黑"/>
                <w:sz w:val="19"/>
              </w:rPr>
              <w:t>积极</w:t>
            </w:r>
          </w:p>
        </w:tc>
        <w:tc>
          <w:tcPr>
            <w:tcW w:w="1417" w:type="dxa"/>
          </w:tcPr>
          <w:p w14:paraId="61825B33">
            <w:r>
              <w:rPr>
                <w:rFonts w:ascii="微软雅黑" w:hAnsi="微软雅黑" w:eastAsia="微软雅黑"/>
                <w:sz w:val="19"/>
              </w:rPr>
              <w:t>谨慎</w:t>
            </w:r>
          </w:p>
        </w:tc>
        <w:tc>
          <w:tcPr>
            <w:tcW w:w="1417" w:type="dxa"/>
          </w:tcPr>
          <w:p w14:paraId="11BE0F29">
            <w:r>
              <w:rPr>
                <w:rFonts w:ascii="微软雅黑" w:hAnsi="微软雅黑" w:eastAsia="微软雅黑"/>
                <w:sz w:val="19"/>
              </w:rPr>
              <w:t>谨慎</w:t>
            </w:r>
          </w:p>
        </w:tc>
        <w:tc>
          <w:tcPr>
            <w:tcW w:w="1417" w:type="dxa"/>
          </w:tcPr>
          <w:p w14:paraId="01C3A2F4">
            <w:r>
              <w:rPr>
                <w:rFonts w:ascii="微软雅黑" w:hAnsi="微软雅黑" w:eastAsia="微软雅黑"/>
                <w:sz w:val="19"/>
              </w:rPr>
              <w:t>中性偏积极</w:t>
            </w:r>
          </w:p>
        </w:tc>
      </w:tr>
      <w:tr w14:paraId="1E0D5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DAF2817">
            <w:r>
              <w:rPr>
                <w:rFonts w:ascii="微软雅黑" w:hAnsi="微软雅黑" w:eastAsia="微软雅黑"/>
                <w:sz w:val="19"/>
              </w:rPr>
              <w:t>核心顾虑</w:t>
            </w:r>
          </w:p>
        </w:tc>
        <w:tc>
          <w:tcPr>
            <w:tcW w:w="1417" w:type="dxa"/>
          </w:tcPr>
          <w:p w14:paraId="6709AB47">
            <w:r>
              <w:rPr>
                <w:rFonts w:ascii="微软雅黑" w:hAnsi="微软雅黑" w:eastAsia="微软雅黑"/>
                <w:sz w:val="19"/>
              </w:rPr>
              <w:t>团队"什么都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自己做"？</w:t>
            </w:r>
          </w:p>
        </w:tc>
        <w:tc>
          <w:tcPr>
            <w:tcW w:w="1417" w:type="dxa"/>
          </w:tcPr>
          <w:p w14:paraId="1B5DBBC0">
            <w:r>
              <w:rPr>
                <w:rFonts w:ascii="微软雅黑" w:hAnsi="微软雅黑" w:eastAsia="微软雅黑"/>
                <w:sz w:val="19"/>
              </w:rPr>
              <w:t>商业节奏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管理能力</w:t>
            </w:r>
          </w:p>
        </w:tc>
        <w:tc>
          <w:tcPr>
            <w:tcW w:w="1417" w:type="dxa"/>
          </w:tcPr>
          <w:p w14:paraId="63727F54">
            <w:r>
              <w:rPr>
                <w:rFonts w:ascii="微软雅黑" w:hAnsi="微软雅黑" w:eastAsia="微软雅黑"/>
                <w:sz w:val="19"/>
              </w:rPr>
              <w:t>市场时机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竞争格局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法律尽调</w:t>
            </w:r>
          </w:p>
        </w:tc>
        <w:tc>
          <w:tcPr>
            <w:tcW w:w="1417" w:type="dxa"/>
          </w:tcPr>
          <w:p w14:paraId="67FCF321">
            <w:r>
              <w:rPr>
                <w:rFonts w:ascii="微软雅黑" w:hAnsi="微软雅黑" w:eastAsia="微软雅黑"/>
                <w:sz w:val="19"/>
              </w:rPr>
              <w:t>市场情绪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融资速度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估值预期</w:t>
            </w:r>
          </w:p>
        </w:tc>
        <w:tc>
          <w:tcPr>
            <w:tcW w:w="1417" w:type="dxa"/>
          </w:tcPr>
          <w:p w14:paraId="389DF6BF">
            <w:r>
              <w:rPr>
                <w:rFonts w:ascii="微软雅黑" w:hAnsi="微软雅黑" w:eastAsia="微软雅黑"/>
                <w:sz w:val="19"/>
              </w:rPr>
              <w:t>IP隔离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(已部分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解答)</w:t>
            </w:r>
          </w:p>
        </w:tc>
      </w:tr>
      <w:tr w14:paraId="72CD3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14DA1D9">
            <w:r>
              <w:rPr>
                <w:rFonts w:ascii="微软雅黑" w:hAnsi="微软雅黑" w:eastAsia="微软雅黑"/>
                <w:sz w:val="19"/>
              </w:rPr>
              <w:t>推进可能性</w:t>
            </w:r>
          </w:p>
        </w:tc>
        <w:tc>
          <w:tcPr>
            <w:tcW w:w="1417" w:type="dxa"/>
          </w:tcPr>
          <w:p w14:paraId="2335BE4E">
            <w:r>
              <w:rPr>
                <w:rFonts w:ascii="微软雅黑" w:hAnsi="微软雅黑" w:eastAsia="微软雅黑"/>
                <w:sz w:val="19"/>
              </w:rPr>
              <w:t>中高</w:t>
            </w:r>
          </w:p>
        </w:tc>
        <w:tc>
          <w:tcPr>
            <w:tcW w:w="1417" w:type="dxa"/>
          </w:tcPr>
          <w:p w14:paraId="5189D4C2">
            <w:r>
              <w:rPr>
                <w:rFonts w:ascii="微软雅黑" w:hAnsi="微软雅黑" w:eastAsia="微软雅黑"/>
                <w:sz w:val="19"/>
              </w:rPr>
              <w:t>中高</w:t>
            </w:r>
          </w:p>
        </w:tc>
        <w:tc>
          <w:tcPr>
            <w:tcW w:w="1417" w:type="dxa"/>
          </w:tcPr>
          <w:p w14:paraId="788173D7">
            <w:r>
              <w:rPr>
                <w:rFonts w:ascii="微软雅黑" w:hAnsi="微软雅黑" w:eastAsia="微软雅黑"/>
                <w:sz w:val="19"/>
              </w:rPr>
              <w:t>中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(需尽调)</w:t>
            </w:r>
          </w:p>
        </w:tc>
        <w:tc>
          <w:tcPr>
            <w:tcW w:w="1417" w:type="dxa"/>
          </w:tcPr>
          <w:p w14:paraId="0D191F0C">
            <w:r>
              <w:rPr>
                <w:rFonts w:ascii="微软雅黑" w:hAnsi="微软雅黑" w:eastAsia="微软雅黑"/>
                <w:sz w:val="19"/>
              </w:rPr>
              <w:t>高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(FA合作)</w:t>
            </w:r>
          </w:p>
        </w:tc>
        <w:tc>
          <w:tcPr>
            <w:tcW w:w="1417" w:type="dxa"/>
          </w:tcPr>
          <w:p w14:paraId="7BE70AD6">
            <w:r>
              <w:rPr>
                <w:rFonts w:ascii="微软雅黑" w:hAnsi="微软雅黑" w:eastAsia="微软雅黑"/>
                <w:sz w:val="19"/>
              </w:rPr>
              <w:t>中高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(联合参与)</w:t>
            </w:r>
          </w:p>
        </w:tc>
      </w:tr>
      <w:tr w14:paraId="72A17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91F91EE">
            <w:r>
              <w:rPr>
                <w:rFonts w:ascii="微软雅黑" w:hAnsi="微软雅黑" w:eastAsia="微软雅黑"/>
                <w:sz w:val="19"/>
              </w:rPr>
              <w:t>关键人</w:t>
            </w:r>
          </w:p>
        </w:tc>
        <w:tc>
          <w:tcPr>
            <w:tcW w:w="1417" w:type="dxa"/>
          </w:tcPr>
          <w:p w14:paraId="5F9841F7">
            <w:r>
              <w:rPr>
                <w:rFonts w:ascii="微软雅黑" w:hAnsi="微软雅黑" w:eastAsia="微软雅黑"/>
                <w:sz w:val="19"/>
              </w:rPr>
              <w:t>沈千旸</w:t>
            </w:r>
          </w:p>
        </w:tc>
        <w:tc>
          <w:tcPr>
            <w:tcW w:w="1417" w:type="dxa"/>
          </w:tcPr>
          <w:p w14:paraId="150B7E45">
            <w:r>
              <w:rPr>
                <w:rFonts w:ascii="微软雅黑" w:hAnsi="微软雅黑" w:eastAsia="微软雅黑"/>
                <w:sz w:val="19"/>
              </w:rPr>
              <w:t>赵德利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(Eric关系)</w:t>
            </w:r>
          </w:p>
        </w:tc>
        <w:tc>
          <w:tcPr>
            <w:tcW w:w="1417" w:type="dxa"/>
          </w:tcPr>
          <w:p w14:paraId="4CD3B7EF">
            <w:r>
              <w:rPr>
                <w:rFonts w:ascii="微软雅黑" w:hAnsi="微软雅黑" w:eastAsia="微软雅黑"/>
                <w:sz w:val="19"/>
              </w:rPr>
              <w:t>郑格</w:t>
            </w:r>
          </w:p>
        </w:tc>
        <w:tc>
          <w:tcPr>
            <w:tcW w:w="1417" w:type="dxa"/>
          </w:tcPr>
          <w:p w14:paraId="740D76D1">
            <w:r>
              <w:rPr>
                <w:rFonts w:ascii="微软雅黑" w:hAnsi="微软雅黑" w:eastAsia="微软雅黑"/>
                <w:sz w:val="19"/>
              </w:rPr>
              <w:t>权博</w:t>
            </w:r>
          </w:p>
        </w:tc>
        <w:tc>
          <w:tcPr>
            <w:tcW w:w="1417" w:type="dxa"/>
          </w:tcPr>
          <w:p w14:paraId="10AF21B3"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</w:tr>
      <w:tr w14:paraId="7D008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088C4F1">
            <w:r>
              <w:rPr>
                <w:rFonts w:ascii="微软雅黑" w:hAnsi="微软雅黑" w:eastAsia="微软雅黑"/>
                <w:sz w:val="19"/>
              </w:rPr>
              <w:t>Anson切入点</w:t>
            </w:r>
          </w:p>
        </w:tc>
        <w:tc>
          <w:tcPr>
            <w:tcW w:w="1417" w:type="dxa"/>
          </w:tcPr>
          <w:p w14:paraId="192687B0">
            <w:r>
              <w:rPr>
                <w:rFonts w:ascii="微软雅黑" w:hAnsi="微软雅黑" w:eastAsia="微软雅黑"/>
                <w:sz w:val="19"/>
              </w:rPr>
              <w:t>余杭属地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政府关系</w:t>
            </w:r>
          </w:p>
        </w:tc>
        <w:tc>
          <w:tcPr>
            <w:tcW w:w="1417" w:type="dxa"/>
          </w:tcPr>
          <w:p w14:paraId="044CC2F7">
            <w:r>
              <w:rPr>
                <w:rFonts w:ascii="微软雅黑" w:hAnsi="微软雅黑" w:eastAsia="微软雅黑"/>
                <w:sz w:val="19"/>
              </w:rPr>
              <w:t>Eric peer-level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关系建立</w:t>
            </w:r>
          </w:p>
        </w:tc>
        <w:tc>
          <w:tcPr>
            <w:tcW w:w="1417" w:type="dxa"/>
          </w:tcPr>
          <w:p w14:paraId="5884EB42">
            <w:r>
              <w:rPr>
                <w:rFonts w:ascii="微软雅黑" w:hAnsi="微软雅黑" w:eastAsia="微软雅黑"/>
                <w:sz w:val="19"/>
              </w:rPr>
              <w:t>政策落差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解读</w:t>
            </w:r>
          </w:p>
        </w:tc>
        <w:tc>
          <w:tcPr>
            <w:tcW w:w="1417" w:type="dxa"/>
          </w:tcPr>
          <w:p w14:paraId="1216CC6A">
            <w:r>
              <w:rPr>
                <w:rFonts w:ascii="微软雅黑" w:hAnsi="微软雅黑" w:eastAsia="微软雅黑"/>
                <w:sz w:val="19"/>
              </w:rPr>
              <w:t>投资人心态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洞察</w:t>
            </w:r>
          </w:p>
        </w:tc>
        <w:tc>
          <w:tcPr>
            <w:tcW w:w="1417" w:type="dxa"/>
          </w:tcPr>
          <w:p w14:paraId="23345B03">
            <w:r>
              <w:rPr>
                <w:rFonts w:ascii="微软雅黑" w:hAnsi="微软雅黑" w:eastAsia="微软雅黑"/>
                <w:sz w:val="19"/>
              </w:rPr>
              <w:t>政府关系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引荐配合</w:t>
            </w:r>
          </w:p>
        </w:tc>
      </w:tr>
    </w:tbl>
    <w:p w14:paraId="6D38A572">
      <w:r>
        <w:br w:type="page"/>
      </w:r>
    </w:p>
    <w:p w14:paraId="3A9EDE78">
      <w:pPr>
        <w:pStyle w:val="3"/>
      </w:pPr>
      <w:r>
        <w:rPr>
          <w:rFonts w:ascii="微软雅黑" w:hAnsi="微软雅黑" w:eastAsia="微软雅黑"/>
          <w:color w:val="2C3E50"/>
        </w:rPr>
        <w:t>第五部分  关键发现与判断</w:t>
      </w:r>
    </w:p>
    <w:p w14:paraId="5526C377">
      <w:pPr>
        <w:pStyle w:val="4"/>
      </w:pPr>
      <w:r>
        <w:rPr>
          <w:rFonts w:ascii="微软雅黑" w:hAnsi="微软雅黑" w:eastAsia="微软雅黑"/>
          <w:color w:val="34495E"/>
        </w:rPr>
        <w:t>5.1  技术叙事一致性评估</w:t>
      </w:r>
    </w:p>
    <w:p w14:paraId="58E12FBB">
      <w:pPr>
        <w:spacing w:after="80"/>
      </w:pPr>
      <w:r>
        <w:rPr>
          <w:rFonts w:ascii="微软雅黑" w:hAnsi="微软雅黑" w:eastAsia="微软雅黑"/>
          <w:b/>
          <w:color w:val="27AE60"/>
          <w:sz w:val="21"/>
        </w:rPr>
        <w:t>结论：五场会议中，ROBOX团队的技术叙事高度一致，未出现矛盾表述。</w:t>
      </w:r>
    </w:p>
    <w:p w14:paraId="221AD11F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System 2/1/0三层架构、122B参数、AR vs diffusion、latent space通信——五场会议表述完全一致</w:t>
      </w:r>
    </w:p>
    <w:p w14:paraId="371C5AA6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IP隔离叙事完全一致：Apache 2.0开源 → 无代码/数据带出 → 内部1.5=新公司1.0 → 行健/吴泳铭知情</w:t>
      </w:r>
    </w:p>
    <w:p w14:paraId="46F58CE1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融资数字一致：本轮20亿/2亿/10%，下轮40-50亿</w:t>
      </w:r>
    </w:p>
    <w:p w14:paraId="064C81C2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竞争对比叙事一致：vs宁波三点差异、vs魔心"演说家"评价</w:t>
      </w:r>
    </w:p>
    <w:p w14:paraId="1BF39E7E">
      <w:pPr>
        <w:spacing w:after="80"/>
      </w:pPr>
      <w:r>
        <w:rPr>
          <w:rFonts w:ascii="微软雅黑" w:hAnsi="微软雅黑" w:eastAsia="微软雅黑"/>
          <w:b w:val="0"/>
          <w:color w:val="7F8C8D"/>
          <w:sz w:val="20"/>
        </w:rPr>
        <w:t>一致性说明团队已形成成熟的pitch话术体系，但也需注意：过于一致的叙事在面对深度尽调时可能需要更多差异化证据支撑。</w:t>
      </w:r>
    </w:p>
    <w:p w14:paraId="48190924">
      <w:pPr>
        <w:pStyle w:val="4"/>
      </w:pPr>
      <w:r>
        <w:rPr>
          <w:rFonts w:ascii="微软雅黑" w:hAnsi="微软雅黑" w:eastAsia="微软雅黑"/>
          <w:color w:val="34495E"/>
        </w:rPr>
        <w:t>5.2  市场时机判断的分歧</w:t>
      </w:r>
    </w:p>
    <w:p w14:paraId="22DA16AE">
      <w:pPr>
        <w:spacing w:after="80"/>
      </w:pPr>
      <w:r>
        <w:rPr>
          <w:rFonts w:ascii="微软雅黑" w:hAnsi="微软雅黑" w:eastAsia="微软雅黑"/>
          <w:b/>
          <w:color w:val="E74C3C"/>
          <w:sz w:val="21"/>
        </w:rPr>
        <w:t>这是最关键的跨会议发现：五家投资方对市场时机的判断分为两个阵营。</w:t>
      </w:r>
    </w:p>
    <w:p w14:paraId="1AAA198F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积极方（浙创投、杭实）：被团队特质打动，赵德利技术认可度高。但两家均为国资，决策周期较长</w:t>
      </w:r>
    </w:p>
    <w:p w14:paraId="32C8777D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谨慎方（东方嘉富、光源）：宇树IPO对二级市场情绪冲击大，资金集中半导体，AI商业化落地担忧弥漫市场</w:t>
      </w:r>
    </w:p>
    <w:p w14:paraId="257274EA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中性方（中金）："时间比偏好更重要"——暗示宁可估值让步也要快速close</w:t>
      </w:r>
    </w:p>
    <w:p w14:paraId="5B6B12D8">
      <w:pPr>
        <w:spacing w:after="80"/>
      </w:pPr>
      <w:r>
        <w:rPr>
          <w:rFonts w:ascii="微软雅黑" w:hAnsi="微软雅黑" w:eastAsia="微软雅黑"/>
          <w:b/>
          <w:color w:val="2C3E50"/>
          <w:sz w:val="21"/>
        </w:rPr>
        <w:t>判断：当前融资环境确实面临压力，ROBOX需在本轮（8月中旬close）窗口期内尽快锁定，避免市场情绪进一步恶化。中金"追时间"的判断最具实操指导意义。</w:t>
      </w:r>
    </w:p>
    <w:p w14:paraId="657F0A19">
      <w:pPr>
        <w:pStyle w:val="4"/>
      </w:pPr>
      <w:r>
        <w:rPr>
          <w:rFonts w:ascii="微软雅黑" w:hAnsi="微软雅黑" w:eastAsia="微软雅黑"/>
          <w:color w:val="34495E"/>
        </w:rPr>
        <w:t>5.3  触觉定位的关键信号</w:t>
      </w:r>
    </w:p>
    <w:p w14:paraId="15A82257">
      <w:pPr>
        <w:spacing w:after="80"/>
      </w:pPr>
      <w:r>
        <w:rPr>
          <w:rFonts w:ascii="微软雅黑" w:hAnsi="微软雅黑" w:eastAsia="微软雅黑"/>
          <w:b/>
          <w:color w:val="E74C3C"/>
          <w:sz w:val="21"/>
        </w:rPr>
        <w:t>五场会议中明修和田明对"触觉"的定位表述，与外部"ROBOX=触觉公司"的标签存在微妙偏差：</w:t>
      </w:r>
    </w:p>
    <w:p w14:paraId="422B1CE5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"触觉是我们派股权的一个重要手段"（明修，光源会议）——"手段"而非"核心"</w:t>
      </w:r>
    </w:p>
    <w:p w14:paraId="4D47A740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"在手的层面上，我们主要是从触觉来切入"（田明，浙创投资议）——"切入"而非"全部"</w:t>
      </w:r>
    </w:p>
    <w:p w14:paraId="5BBF1594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"我们还在做这个过程中发现触觉是很关键的"（明修，中金会议）——"发现"而非"创立之初的thesis"</w:t>
      </w:r>
    </w:p>
    <w:p w14:paraId="640CCD37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"核心是大脑，这是最终交付价值最重要的环节"（田明，中金会议）——大脑才是核心</w:t>
      </w:r>
    </w:p>
    <w:p w14:paraId="45F70C14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"我们只做一件事，做模型"（明修，中金会议）——唯一聚焦是模型，不是触觉</w:t>
      </w:r>
    </w:p>
    <w:p w14:paraId="034BBEC7">
      <w:pPr>
        <w:spacing w:after="80"/>
      </w:pPr>
      <w:r>
        <w:rPr>
          <w:rFonts w:ascii="微软雅黑" w:hAnsi="微软雅黑" w:eastAsia="微软雅黑"/>
          <w:b/>
          <w:color w:val="2C3E50"/>
          <w:sz w:val="21"/>
        </w:rPr>
        <w:t>判断：触觉是ROBOX的重要差异化能力和技术壁垒之一，但并非公司核心定位。公司核心是"手眼脑协同的物理智能系统"，大脑（System 2/1/0）才是最终交付价值。将ROBOX简单标签化为"触觉公司"是不准确的，可能限制合作空间和估值想象。</w:t>
      </w:r>
    </w:p>
    <w:p w14:paraId="20D6B483">
      <w:pPr>
        <w:pStyle w:val="4"/>
      </w:pPr>
      <w:r>
        <w:rPr>
          <w:rFonts w:ascii="微软雅黑" w:hAnsi="微软雅黑" w:eastAsia="微软雅黑"/>
          <w:color w:val="34495E"/>
        </w:rPr>
        <w:t>5.4  Eric Wang角色的重要性</w:t>
      </w:r>
    </w:p>
    <w:p w14:paraId="21B95A44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Eric在杭实和光源两场会议中正式亮相，背景介绍清晰（阿里财务VP→金山CFO→PICO联合创始人）</w:t>
      </w:r>
    </w:p>
    <w:p w14:paraId="59A7868F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Eric强调"商业节奏"和"管理能力"——这正是ROBOX技术团队的短板补位</w:t>
      </w:r>
    </w:p>
    <w:p w14:paraId="634B31A0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"退休两次"后仍加入，说明被明修的愿景打动，"第二段创业"的兴奋感真实</w:t>
      </w:r>
    </w:p>
    <w:p w14:paraId="195B2158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双重身份（CFO+创业导师）意味着对明修有战略影响力，不只是功能性CFO</w:t>
      </w:r>
    </w:p>
    <w:p w14:paraId="28A7B097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Anson的融资配合角色sunset trigger已触发——应转为"投资人心理洞察"独特价值贡献</w:t>
      </w:r>
    </w:p>
    <w:p w14:paraId="09524B30">
      <w:pPr>
        <w:pStyle w:val="4"/>
      </w:pPr>
      <w:r>
        <w:rPr>
          <w:rFonts w:ascii="微软雅黑" w:hAnsi="微软雅黑" w:eastAsia="微软雅黑"/>
          <w:color w:val="34495E"/>
        </w:rPr>
        <w:t>5.5  中金的技术判断力</w:t>
      </w:r>
    </w:p>
    <w:p w14:paraId="0FFEE781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中金团队追问了VLA scaling瓶颈、多机器人co-training等深度技术问题——超越了大多数投资人的提问深度</w:t>
      </w:r>
    </w:p>
    <w:p w14:paraId="201D980D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这意味着中金具备独立技术评估能力，不完全依赖外部专家意见</w:t>
      </w:r>
    </w:p>
    <w:p w14:paraId="5D60242A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中金"联合几个"参与的表述，暗示其可能担任领投或co-lead角色，引入其他机构</w:t>
      </w:r>
    </w:p>
    <w:p w14:paraId="64B3ABF6">
      <w:pPr>
        <w:pStyle w:val="16"/>
        <w:spacing w:after="40"/>
        <w:ind w:left="567"/>
      </w:pPr>
      <w:r>
        <w:rPr>
          <w:rFonts w:ascii="微软雅黑" w:hAnsi="微软雅黑" w:eastAsia="微软雅黑"/>
          <w:sz w:val="21"/>
        </w:rPr>
        <w:t>中金对政府关系价值的认可（愿意引荐），与Anson的GA核心角色高度匹配</w:t>
      </w:r>
    </w:p>
    <w:p w14:paraId="4E214DBA">
      <w:r>
        <w:br w:type="page"/>
      </w:r>
    </w:p>
    <w:p w14:paraId="3662D474">
      <w:pPr>
        <w:pStyle w:val="3"/>
      </w:pPr>
      <w:r>
        <w:rPr>
          <w:rFonts w:ascii="微软雅黑" w:hAnsi="微软雅黑" w:eastAsia="微软雅黑"/>
          <w:color w:val="2C3E50"/>
        </w:rPr>
        <w:t>第六部分  Anson行动建议</w:t>
      </w:r>
    </w:p>
    <w:p w14:paraId="57C0B201">
      <w:pPr>
        <w:pStyle w:val="4"/>
      </w:pPr>
      <w:r>
        <w:rPr>
          <w:rFonts w:ascii="微软雅黑" w:hAnsi="微软雅黑" w:eastAsia="微软雅黑"/>
          <w:color w:val="34495E"/>
        </w:rPr>
        <w:t>6.1  短期行动（0-2周，8月15日前）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3969"/>
        <w:gridCol w:w="850"/>
        <w:gridCol w:w="1984"/>
      </w:tblGrid>
      <w:tr w14:paraId="2FD2D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2C3E50"/>
          </w:tcPr>
          <w:p w14:paraId="2B563CF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3969" w:type="dxa"/>
            <w:shd w:val="clear" w:color="auto" w:fill="2C3E50"/>
          </w:tcPr>
          <w:p w14:paraId="42E0C91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行动项</w:t>
            </w:r>
          </w:p>
        </w:tc>
        <w:tc>
          <w:tcPr>
            <w:tcW w:w="850" w:type="dxa"/>
            <w:shd w:val="clear" w:color="auto" w:fill="2C3E50"/>
          </w:tcPr>
          <w:p w14:paraId="57954D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w="1984" w:type="dxa"/>
            <w:shd w:val="clear" w:color="auto" w:fill="2C3E50"/>
          </w:tcPr>
          <w:p w14:paraId="3731E5B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预期产出</w:t>
            </w:r>
          </w:p>
        </w:tc>
      </w:tr>
      <w:tr w14:paraId="371A0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D2B933C"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3969" w:type="dxa"/>
          </w:tcPr>
          <w:p w14:paraId="452ADB24">
            <w:r>
              <w:rPr>
                <w:rFonts w:ascii="微软雅黑" w:hAnsi="微软雅黑" w:eastAsia="微软雅黑"/>
                <w:sz w:val="19"/>
              </w:rPr>
              <w:t>配合本轮close：跟踪浙创投/杭实/东方嘉富三家国资进展，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提供属地政策信息支持</w:t>
            </w:r>
          </w:p>
        </w:tc>
        <w:tc>
          <w:tcPr>
            <w:tcW w:w="850" w:type="dxa"/>
          </w:tcPr>
          <w:p w14:paraId="13C14772">
            <w:r>
              <w:rPr>
                <w:rFonts w:ascii="微软雅黑" w:hAnsi="微软雅黑" w:eastAsia="微软雅黑"/>
                <w:sz w:val="19"/>
              </w:rPr>
              <w:t>P0</w:t>
            </w:r>
          </w:p>
        </w:tc>
        <w:tc>
          <w:tcPr>
            <w:tcW w:w="1984" w:type="dxa"/>
          </w:tcPr>
          <w:p w14:paraId="36861520">
            <w:r>
              <w:rPr>
                <w:rFonts w:ascii="微软雅黑" w:hAnsi="微软雅黑" w:eastAsia="微软雅黑"/>
                <w:sz w:val="19"/>
              </w:rPr>
              <w:t>本轮融资顺利close</w:t>
            </w:r>
          </w:p>
        </w:tc>
      </w:tr>
      <w:tr w14:paraId="0860B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32E460B"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3969" w:type="dxa"/>
          </w:tcPr>
          <w:p w14:paraId="68E60B0B">
            <w:r>
              <w:rPr>
                <w:rFonts w:ascii="微软雅黑" w:hAnsi="微软雅黑" w:eastAsia="微软雅黑"/>
                <w:sz w:val="19"/>
              </w:rPr>
              <w:t>与Eric Wang建立peer-level关系：主动约1对1沟通，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聚焦"我能在融资和GA方面怎么配合你"</w:t>
            </w:r>
          </w:p>
        </w:tc>
        <w:tc>
          <w:tcPr>
            <w:tcW w:w="850" w:type="dxa"/>
          </w:tcPr>
          <w:p w14:paraId="6595DCE3">
            <w:r>
              <w:rPr>
                <w:rFonts w:ascii="微软雅黑" w:hAnsi="微软雅黑" w:eastAsia="微软雅黑"/>
                <w:sz w:val="19"/>
              </w:rPr>
              <w:t>P0</w:t>
            </w:r>
          </w:p>
        </w:tc>
        <w:tc>
          <w:tcPr>
            <w:tcW w:w="1984" w:type="dxa"/>
          </w:tcPr>
          <w:p w14:paraId="65E18C2B">
            <w:r>
              <w:rPr>
                <w:rFonts w:ascii="微软雅黑" w:hAnsi="微软雅黑" w:eastAsia="微软雅黑"/>
                <w:sz w:val="19"/>
              </w:rPr>
              <w:t>Eric-Anson协作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机制建立</w:t>
            </w:r>
          </w:p>
        </w:tc>
      </w:tr>
      <w:tr w14:paraId="516CF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F255B7E"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3969" w:type="dxa"/>
          </w:tcPr>
          <w:p w14:paraId="5D118938">
            <w:r>
              <w:rPr>
                <w:rFonts w:ascii="微软雅黑" w:hAnsi="微软雅黑" w:eastAsia="微软雅黑"/>
                <w:sz w:val="19"/>
              </w:rPr>
              <w:t>余杭区属地落地推进：利用明修last day(8/10)前窗口，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配合推进海创未来领军人才申报</w:t>
            </w:r>
          </w:p>
        </w:tc>
        <w:tc>
          <w:tcPr>
            <w:tcW w:w="850" w:type="dxa"/>
          </w:tcPr>
          <w:p w14:paraId="45E48FFA">
            <w:r>
              <w:rPr>
                <w:rFonts w:ascii="微软雅黑" w:hAnsi="微软雅黑" w:eastAsia="微软雅黑"/>
                <w:sz w:val="19"/>
              </w:rPr>
              <w:t>P0</w:t>
            </w:r>
          </w:p>
        </w:tc>
        <w:tc>
          <w:tcPr>
            <w:tcW w:w="1984" w:type="dxa"/>
          </w:tcPr>
          <w:p w14:paraId="0130E937">
            <w:r>
              <w:rPr>
                <w:rFonts w:ascii="微软雅黑" w:hAnsi="微软雅黑" w:eastAsia="微软雅黑"/>
                <w:sz w:val="19"/>
              </w:rPr>
              <w:t>属地落地方案</w:t>
            </w:r>
          </w:p>
        </w:tc>
      </w:tr>
      <w:tr w14:paraId="1DB1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02BE93A"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3969" w:type="dxa"/>
          </w:tcPr>
          <w:p w14:paraId="5D95EF44">
            <w:r>
              <w:rPr>
                <w:rFonts w:ascii="微软雅黑" w:hAnsi="微软雅黑" w:eastAsia="微软雅黑"/>
                <w:sz w:val="19"/>
              </w:rPr>
              <w:t>中金政府关系引荐跟进：主动对接中金联系人，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明确政府侧引荐的具体方式和时间</w:t>
            </w:r>
          </w:p>
        </w:tc>
        <w:tc>
          <w:tcPr>
            <w:tcW w:w="850" w:type="dxa"/>
          </w:tcPr>
          <w:p w14:paraId="719A9773"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984" w:type="dxa"/>
          </w:tcPr>
          <w:p w14:paraId="3F9CF11D">
            <w:r>
              <w:rPr>
                <w:rFonts w:ascii="微软雅黑" w:hAnsi="微软雅黑" w:eastAsia="微软雅黑"/>
                <w:sz w:val="19"/>
              </w:rPr>
              <w:t>政府关系对接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路径明确</w:t>
            </w:r>
          </w:p>
        </w:tc>
      </w:tr>
    </w:tbl>
    <w:p w14:paraId="40640454">
      <w:pPr>
        <w:pStyle w:val="4"/>
      </w:pPr>
      <w:r>
        <w:rPr>
          <w:rFonts w:ascii="微软雅黑" w:hAnsi="微软雅黑" w:eastAsia="微软雅黑"/>
          <w:color w:val="34495E"/>
        </w:rPr>
        <w:t>6.2  中期行动（2-8周，8月中旬-9月底）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3969"/>
        <w:gridCol w:w="850"/>
        <w:gridCol w:w="1984"/>
      </w:tblGrid>
      <w:tr w14:paraId="20FA5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2C3E50"/>
          </w:tcPr>
          <w:p w14:paraId="52ADB78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3969" w:type="dxa"/>
            <w:shd w:val="clear" w:color="auto" w:fill="2C3E50"/>
          </w:tcPr>
          <w:p w14:paraId="426019A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行动项</w:t>
            </w:r>
          </w:p>
        </w:tc>
        <w:tc>
          <w:tcPr>
            <w:tcW w:w="850" w:type="dxa"/>
            <w:shd w:val="clear" w:color="auto" w:fill="2C3E50"/>
          </w:tcPr>
          <w:p w14:paraId="16F7B46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w="1984" w:type="dxa"/>
            <w:shd w:val="clear" w:color="auto" w:fill="2C3E50"/>
          </w:tcPr>
          <w:p w14:paraId="1186F64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预期产出</w:t>
            </w:r>
          </w:p>
        </w:tc>
      </w:tr>
      <w:tr w14:paraId="23879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AE2A691"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3969" w:type="dxa"/>
          </w:tcPr>
          <w:p w14:paraId="68D7B033">
            <w:r>
              <w:rPr>
                <w:rFonts w:ascii="微软雅黑" w:hAnsi="微软雅黑" w:eastAsia="微软雅黑"/>
                <w:sz w:val="19"/>
              </w:rPr>
              <w:t>与明修做正式"职责分工对话"：产出书面分工矩阵，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明确GA/PR/产业生态为Anson主牵领域</w:t>
            </w:r>
          </w:p>
        </w:tc>
        <w:tc>
          <w:tcPr>
            <w:tcW w:w="850" w:type="dxa"/>
          </w:tcPr>
          <w:p w14:paraId="78EA3B5F">
            <w:r>
              <w:rPr>
                <w:rFonts w:ascii="微软雅黑" w:hAnsi="微软雅黑" w:eastAsia="微软雅黑"/>
                <w:sz w:val="19"/>
              </w:rPr>
              <w:t>P0</w:t>
            </w:r>
          </w:p>
        </w:tc>
        <w:tc>
          <w:tcPr>
            <w:tcW w:w="1984" w:type="dxa"/>
          </w:tcPr>
          <w:p w14:paraId="3DE385BC">
            <w:r>
              <w:rPr>
                <w:rFonts w:ascii="微软雅黑" w:hAnsi="微软雅黑" w:eastAsia="微软雅黑"/>
                <w:sz w:val="19"/>
              </w:rPr>
              <w:t>书面分工矩阵</w:t>
            </w:r>
          </w:p>
        </w:tc>
      </w:tr>
      <w:tr w14:paraId="5CFE3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5B4BB24"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3969" w:type="dxa"/>
          </w:tcPr>
          <w:p w14:paraId="4FB93D91">
            <w:r>
              <w:rPr>
                <w:rFonts w:ascii="微软雅黑" w:hAnsi="微软雅黑" w:eastAsia="微软雅黑"/>
                <w:sz w:val="19"/>
              </w:rPr>
              <w:t>投资人心态洞察输出：基于5场会议分析，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整理投资人关注点和顾虑矩阵，分享给明修/Eric</w:t>
            </w:r>
          </w:p>
        </w:tc>
        <w:tc>
          <w:tcPr>
            <w:tcW w:w="850" w:type="dxa"/>
          </w:tcPr>
          <w:p w14:paraId="2FFABBAD"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984" w:type="dxa"/>
          </w:tcPr>
          <w:p w14:paraId="703608D2">
            <w:r>
              <w:rPr>
                <w:rFonts w:ascii="微软雅黑" w:hAnsi="微软雅黑" w:eastAsia="微软雅黑"/>
                <w:sz w:val="19"/>
              </w:rPr>
              <w:t>投资人洞察报告</w:t>
            </w:r>
          </w:p>
        </w:tc>
      </w:tr>
      <w:tr w14:paraId="28F03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E6BEF62"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3969" w:type="dxa"/>
          </w:tcPr>
          <w:p w14:paraId="2C7EC991">
            <w:r>
              <w:rPr>
                <w:rFonts w:ascii="微软雅黑" w:hAnsi="微软雅黑" w:eastAsia="微软雅黑"/>
                <w:sz w:val="19"/>
              </w:rPr>
              <w:t>光源资本FA合作推进：配合Eric评估FA合作，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提供投资人侧信息支持</w:t>
            </w:r>
          </w:p>
        </w:tc>
        <w:tc>
          <w:tcPr>
            <w:tcW w:w="850" w:type="dxa"/>
          </w:tcPr>
          <w:p w14:paraId="04B1B932"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984" w:type="dxa"/>
          </w:tcPr>
          <w:p w14:paraId="2CDD51DA">
            <w:r>
              <w:rPr>
                <w:rFonts w:ascii="微软雅黑" w:hAnsi="微软雅黑" w:eastAsia="微软雅黑"/>
                <w:sz w:val="19"/>
              </w:rPr>
              <w:t>FA合作决策</w:t>
            </w:r>
          </w:p>
        </w:tc>
      </w:tr>
      <w:tr w14:paraId="7C659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6EDB54E"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3969" w:type="dxa"/>
          </w:tcPr>
          <w:p w14:paraId="6FE3BA14">
            <w:r>
              <w:rPr>
                <w:rFonts w:ascii="微软雅黑" w:hAnsi="微软雅黑" w:eastAsia="微软雅黑"/>
                <w:sz w:val="19"/>
              </w:rPr>
              <w:t>长虹集团商业场景对接：推动酒店布草折叠/咖啡制作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等第一梯队场景的POC(Proof of Concept)启动</w:t>
            </w:r>
          </w:p>
        </w:tc>
        <w:tc>
          <w:tcPr>
            <w:tcW w:w="850" w:type="dxa"/>
          </w:tcPr>
          <w:p w14:paraId="598FF9FB"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984" w:type="dxa"/>
          </w:tcPr>
          <w:p w14:paraId="011978B1">
            <w:r>
              <w:rPr>
                <w:rFonts w:ascii="微软雅黑" w:hAnsi="微软雅黑" w:eastAsia="微软雅黑"/>
                <w:sz w:val="19"/>
              </w:rPr>
              <w:t>商业场景POC</w:t>
            </w:r>
          </w:p>
        </w:tc>
      </w:tr>
      <w:tr w14:paraId="1A19E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6E548E0"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3969" w:type="dxa"/>
          </w:tcPr>
          <w:p w14:paraId="03E128C3">
            <w:r>
              <w:rPr>
                <w:rFonts w:ascii="微软雅黑" w:hAnsi="微软雅黑" w:eastAsia="微软雅黑"/>
                <w:sz w:val="19"/>
              </w:rPr>
              <w:t>贡献记录机制启动：每周记录关键贡献，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为Phase2股权谈判积累弹药</w:t>
            </w:r>
          </w:p>
        </w:tc>
        <w:tc>
          <w:tcPr>
            <w:tcW w:w="850" w:type="dxa"/>
          </w:tcPr>
          <w:p w14:paraId="191907AB"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984" w:type="dxa"/>
          </w:tcPr>
          <w:p w14:paraId="35D81491">
            <w:r>
              <w:rPr>
                <w:rFonts w:ascii="微软雅黑" w:hAnsi="微软雅黑" w:eastAsia="微软雅黑"/>
                <w:sz w:val="19"/>
              </w:rPr>
              <w:t>贡献记录文档</w:t>
            </w:r>
          </w:p>
        </w:tc>
      </w:tr>
    </w:tbl>
    <w:p w14:paraId="606E9583">
      <w:pPr>
        <w:pStyle w:val="4"/>
      </w:pPr>
      <w:r>
        <w:rPr>
          <w:rFonts w:ascii="微软雅黑" w:hAnsi="微软雅黑" w:eastAsia="微软雅黑"/>
          <w:color w:val="34495E"/>
        </w:rPr>
        <w:t>6.3  关键风险关注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0"/>
        <w:gridCol w:w="1417"/>
        <w:gridCol w:w="1701"/>
      </w:tblGrid>
      <w:tr w14:paraId="61482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2C3E50"/>
          </w:tcPr>
          <w:p w14:paraId="34EA051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w="680" w:type="dxa"/>
            <w:shd w:val="clear" w:color="auto" w:fill="2C3E50"/>
          </w:tcPr>
          <w:p w14:paraId="3EA6597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w="1417" w:type="dxa"/>
            <w:shd w:val="clear" w:color="auto" w:fill="2C3E50"/>
          </w:tcPr>
          <w:p w14:paraId="332D22E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1701" w:type="dxa"/>
            <w:shd w:val="clear" w:color="auto" w:fill="2C3E50"/>
          </w:tcPr>
          <w:p w14:paraId="5D6ACFF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Anson角色</w:t>
            </w:r>
          </w:p>
        </w:tc>
      </w:tr>
      <w:tr w14:paraId="24E2C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B459448">
            <w:r>
              <w:rPr>
                <w:rFonts w:ascii="微软雅黑" w:hAnsi="微软雅黑" w:eastAsia="微软雅黑"/>
                <w:sz w:val="19"/>
              </w:rPr>
              <w:t>IP隔离未完全验证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(明修离职文件/竞业/专利归属/数据所有权)</w:t>
            </w:r>
          </w:p>
        </w:tc>
        <w:tc>
          <w:tcPr>
            <w:tcW w:w="680" w:type="dxa"/>
          </w:tcPr>
          <w:p w14:paraId="2F331A66">
            <w:r>
              <w:rPr>
                <w:rFonts w:ascii="微软雅黑" w:hAnsi="微软雅黑" w:eastAsia="微软雅黑"/>
                <w:sz w:val="19"/>
              </w:rPr>
              <w:t>P0</w:t>
            </w:r>
          </w:p>
        </w:tc>
        <w:tc>
          <w:tcPr>
            <w:tcW w:w="1417" w:type="dxa"/>
          </w:tcPr>
          <w:p w14:paraId="2ACBD9E7">
            <w:r>
              <w:rPr>
                <w:rFonts w:ascii="微软雅黑" w:hAnsi="微软雅黑" w:eastAsia="微软雅黑"/>
                <w:sz w:val="19"/>
              </w:rPr>
              <w:t>需推动验证</w:t>
            </w:r>
          </w:p>
        </w:tc>
        <w:tc>
          <w:tcPr>
            <w:tcW w:w="1701" w:type="dxa"/>
          </w:tcPr>
          <w:p w14:paraId="500D66F4">
            <w:r>
              <w:rPr>
                <w:rFonts w:ascii="微软雅黑" w:hAnsi="微软雅黑" w:eastAsia="微软雅黑"/>
                <w:sz w:val="19"/>
              </w:rPr>
              <w:t>配合提醒，不做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法律工作</w:t>
            </w:r>
          </w:p>
        </w:tc>
      </w:tr>
      <w:tr w14:paraId="0C3C3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03E2719">
            <w:r>
              <w:rPr>
                <w:rFonts w:ascii="微软雅黑" w:hAnsi="微软雅黑" w:eastAsia="微软雅黑"/>
                <w:sz w:val="19"/>
              </w:rPr>
              <w:t>股权结构未明确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(Anson需争取Co-founder股权)</w:t>
            </w:r>
          </w:p>
        </w:tc>
        <w:tc>
          <w:tcPr>
            <w:tcW w:w="680" w:type="dxa"/>
          </w:tcPr>
          <w:p w14:paraId="6BF5AE03">
            <w:r>
              <w:rPr>
                <w:rFonts w:ascii="微软雅黑" w:hAnsi="微软雅黑" w:eastAsia="微软雅黑"/>
                <w:sz w:val="19"/>
              </w:rPr>
              <w:t>P0</w:t>
            </w:r>
          </w:p>
        </w:tc>
        <w:tc>
          <w:tcPr>
            <w:tcW w:w="1417" w:type="dxa"/>
          </w:tcPr>
          <w:p w14:paraId="75AB0182">
            <w:r>
              <w:rPr>
                <w:rFonts w:ascii="微软雅黑" w:hAnsi="微软雅黑" w:eastAsia="微软雅黑"/>
                <w:sz w:val="19"/>
              </w:rPr>
              <w:t>Phase2(3-6月)处理</w:t>
            </w:r>
          </w:p>
        </w:tc>
        <w:tc>
          <w:tcPr>
            <w:tcW w:w="1701" w:type="dxa"/>
          </w:tcPr>
          <w:p w14:paraId="6BA9B32F">
            <w:r>
              <w:rPr>
                <w:rFonts w:ascii="微软雅黑" w:hAnsi="微软雅黑" w:eastAsia="微软雅黑"/>
                <w:sz w:val="19"/>
              </w:rPr>
              <w:t>Phase1躬身入局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建信任</w:t>
            </w:r>
          </w:p>
        </w:tc>
      </w:tr>
      <w:tr w14:paraId="1B7F3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5F3DBB7">
            <w:r>
              <w:rPr>
                <w:rFonts w:ascii="微软雅黑" w:hAnsi="微软雅黑" w:eastAsia="微软雅黑"/>
                <w:sz w:val="19"/>
              </w:rPr>
              <w:t>本轮融资未close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</w:t>
            </w:r>
            <w:r>
              <w:rPr>
                <w:rFonts w:hint="eastAsia"/>
                <w:sz w:val="19"/>
                <w:lang w:val="en-US" w:eastAsia="zh-CN"/>
              </w:rPr>
              <w:t>红杉</w:t>
            </w:r>
            <w:r>
              <w:rPr>
                <w:rFonts w:ascii="微软雅黑" w:hAnsi="微软雅黑" w:eastAsia="微软雅黑"/>
                <w:sz w:val="19"/>
              </w:rPr>
              <w:t>TS未签)</w:t>
            </w:r>
          </w:p>
        </w:tc>
        <w:tc>
          <w:tcPr>
            <w:tcW w:w="680" w:type="dxa"/>
          </w:tcPr>
          <w:p w14:paraId="7371ACDD">
            <w:r>
              <w:rPr>
                <w:rFonts w:ascii="微软雅黑" w:hAnsi="微软雅黑" w:eastAsia="微软雅黑"/>
                <w:sz w:val="19"/>
              </w:rPr>
              <w:t>P0</w:t>
            </w:r>
          </w:p>
        </w:tc>
        <w:tc>
          <w:tcPr>
            <w:tcW w:w="1417" w:type="dxa"/>
          </w:tcPr>
          <w:p w14:paraId="746C6F1D">
            <w:r>
              <w:rPr>
                <w:rFonts w:ascii="微软雅黑" w:hAnsi="微软雅黑" w:eastAsia="微软雅黑"/>
                <w:sz w:val="19"/>
              </w:rPr>
              <w:t>8月中旬关键窗口</w:t>
            </w:r>
          </w:p>
        </w:tc>
        <w:tc>
          <w:tcPr>
            <w:tcW w:w="1701" w:type="dxa"/>
          </w:tcPr>
          <w:p w14:paraId="78393C5B">
            <w:r>
              <w:rPr>
                <w:rFonts w:ascii="微软雅黑" w:hAnsi="微软雅黑" w:eastAsia="微软雅黑"/>
                <w:sz w:val="19"/>
              </w:rPr>
              <w:t>配合Eric推进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国资机构</w:t>
            </w:r>
          </w:p>
        </w:tc>
      </w:tr>
      <w:tr w14:paraId="54490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2111512">
            <w:r>
              <w:rPr>
                <w:rFonts w:ascii="微软雅黑" w:hAnsi="微软雅黑" w:eastAsia="微软雅黑"/>
                <w:sz w:val="19"/>
              </w:rPr>
              <w:t>市场时机恶化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(东方嘉富/光源均表谨慎)</w:t>
            </w:r>
          </w:p>
        </w:tc>
        <w:tc>
          <w:tcPr>
            <w:tcW w:w="680" w:type="dxa"/>
          </w:tcPr>
          <w:p w14:paraId="6CD40594"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417" w:type="dxa"/>
          </w:tcPr>
          <w:p w14:paraId="65833296">
            <w:r>
              <w:rPr>
                <w:rFonts w:ascii="微软雅黑" w:hAnsi="微软雅黑" w:eastAsia="微软雅黑"/>
                <w:sz w:val="19"/>
              </w:rPr>
              <w:t>持续关注</w:t>
            </w:r>
          </w:p>
        </w:tc>
        <w:tc>
          <w:tcPr>
            <w:tcW w:w="1701" w:type="dxa"/>
          </w:tcPr>
          <w:p w14:paraId="57B16799">
            <w:r>
              <w:rPr>
                <w:rFonts w:ascii="微软雅黑" w:hAnsi="微软雅黑" w:eastAsia="微软雅黑"/>
                <w:sz w:val="19"/>
              </w:rPr>
              <w:t>快速close优先于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估值最大化</w:t>
            </w:r>
          </w:p>
        </w:tc>
      </w:tr>
      <w:tr w14:paraId="52E9A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69EFB75">
            <w:r>
              <w:rPr>
                <w:rFonts w:ascii="微软雅黑" w:hAnsi="微软雅黑" w:eastAsia="微软雅黑"/>
                <w:sz w:val="19"/>
              </w:rPr>
              <w:t>CFO角色overlap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(Eric到岗后融资角色交接)</w:t>
            </w:r>
          </w:p>
        </w:tc>
        <w:tc>
          <w:tcPr>
            <w:tcW w:w="680" w:type="dxa"/>
          </w:tcPr>
          <w:p w14:paraId="49C3F896"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417" w:type="dxa"/>
          </w:tcPr>
          <w:p w14:paraId="506FC65F">
            <w:r>
              <w:rPr>
                <w:rFonts w:ascii="微软雅黑" w:hAnsi="微软雅黑" w:eastAsia="微软雅黑"/>
                <w:sz w:val="19"/>
              </w:rPr>
              <w:t>sunset已触发</w:t>
            </w:r>
          </w:p>
        </w:tc>
        <w:tc>
          <w:tcPr>
            <w:tcW w:w="1701" w:type="dxa"/>
          </w:tcPr>
          <w:p w14:paraId="4EC44795">
            <w:r>
              <w:rPr>
                <w:rFonts w:ascii="微软雅黑" w:hAnsi="微软雅黑" w:eastAsia="微软雅黑"/>
                <w:sz w:val="19"/>
              </w:rPr>
              <w:t>转为投资人心理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洞察价值贡献</w:t>
            </w:r>
          </w:p>
        </w:tc>
      </w:tr>
    </w:tbl>
    <w:p w14:paraId="74D5B5B5">
      <w:r>
        <w:br w:type="page"/>
      </w:r>
    </w:p>
    <w:p w14:paraId="04204424">
      <w:pPr>
        <w:pStyle w:val="3"/>
      </w:pPr>
      <w:r>
        <w:rPr>
          <w:rFonts w:ascii="微软雅黑" w:hAnsi="微软雅黑" w:eastAsia="微软雅黑"/>
          <w:color w:val="2C3E50"/>
        </w:rPr>
        <w:t>第七部分  合作范式再审视</w:t>
      </w:r>
    </w:p>
    <w:p w14:paraId="6A8CD1D3">
      <w:pPr>
        <w:spacing w:after="80"/>
      </w:pPr>
      <w:r>
        <w:rPr>
          <w:rFonts w:ascii="微软雅黑" w:hAnsi="微软雅黑" w:eastAsia="微软雅黑"/>
          <w:b w:val="0"/>
          <w:sz w:val="21"/>
        </w:rPr>
        <w:t>基于五场会议的新信息，对此前分析的七个合作范式进行重新审视和优化。核心调整：从"触觉算法授权"升级为"手眼脑协同系统"框架，与明修/田明自身定位对齐。</w:t>
      </w:r>
    </w:p>
    <w:p w14:paraId="79DEBB03">
      <w:pPr>
        <w:pStyle w:val="4"/>
      </w:pPr>
      <w:r>
        <w:rPr>
          <w:rFonts w:ascii="微软雅黑" w:hAnsi="微软雅黑" w:eastAsia="微软雅黑"/>
          <w:color w:val="34495E"/>
        </w:rPr>
        <w:t>7.1  范式调整总览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1690"/>
        <w:gridCol w:w="2780"/>
        <w:gridCol w:w="2868"/>
      </w:tblGrid>
      <w:tr w14:paraId="37949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0" w:type="dxa"/>
            <w:shd w:val="clear" w:color="auto" w:fill="2C3E50"/>
          </w:tcPr>
          <w:p w14:paraId="02A524D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范式</w:t>
            </w:r>
          </w:p>
        </w:tc>
        <w:tc>
          <w:tcPr>
            <w:tcW w:w="1690" w:type="dxa"/>
            <w:shd w:val="clear" w:color="auto" w:fill="2C3E50"/>
          </w:tcPr>
          <w:p w14:paraId="103CAB3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原定位</w:t>
            </w:r>
          </w:p>
        </w:tc>
        <w:tc>
          <w:tcPr>
            <w:tcW w:w="2780" w:type="dxa"/>
            <w:shd w:val="clear" w:color="auto" w:fill="2C3E50"/>
          </w:tcPr>
          <w:p w14:paraId="33E4EF6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调整后定位</w:t>
            </w:r>
          </w:p>
        </w:tc>
        <w:tc>
          <w:tcPr>
            <w:tcW w:w="2868" w:type="dxa"/>
            <w:shd w:val="clear" w:color="auto" w:fill="2C3E50"/>
          </w:tcPr>
          <w:p w14:paraId="7C60008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调整原因</w:t>
            </w:r>
          </w:p>
        </w:tc>
      </w:tr>
      <w:tr w14:paraId="14AC7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0" w:type="dxa"/>
          </w:tcPr>
          <w:p w14:paraId="746FA2AE">
            <w:r>
              <w:rPr>
                <w:rFonts w:ascii="微软雅黑" w:hAnsi="微软雅黑" w:eastAsia="微软雅黑"/>
                <w:sz w:val="19"/>
              </w:rPr>
              <w:t>范式1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算法授权</w:t>
            </w:r>
          </w:p>
        </w:tc>
        <w:tc>
          <w:tcPr>
            <w:tcW w:w="1690" w:type="dxa"/>
          </w:tcPr>
          <w:p w14:paraId="5513C29D">
            <w:r>
              <w:rPr>
                <w:rFonts w:ascii="微软雅黑" w:hAnsi="微软雅黑" w:eastAsia="微软雅黑"/>
                <w:sz w:val="19"/>
              </w:rPr>
              <w:t>向本体厂商输出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TacWM算法</w:t>
            </w:r>
          </w:p>
        </w:tc>
        <w:tc>
          <w:tcPr>
            <w:tcW w:w="2780" w:type="dxa"/>
          </w:tcPr>
          <w:p w14:paraId="0F907709">
            <w:r>
              <w:rPr>
                <w:rFonts w:ascii="微软雅黑" w:hAnsi="微软雅黑" w:eastAsia="微软雅黑"/>
                <w:sz w:val="19"/>
              </w:rPr>
              <w:t>向本体厂商输出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System 1/0端侧模型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(含触觉模块)</w:t>
            </w:r>
          </w:p>
        </w:tc>
        <w:tc>
          <w:tcPr>
            <w:tcW w:w="2868" w:type="dxa"/>
          </w:tcPr>
          <w:p w14:paraId="63D85E33">
            <w:r>
              <w:rPr>
                <w:rFonts w:ascii="微软雅黑" w:hAnsi="微软雅黑" w:eastAsia="微软雅黑"/>
                <w:sz w:val="19"/>
              </w:rPr>
              <w:t>"我们只做一件事，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做模型"——大脑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才是核心产品</w:t>
            </w:r>
          </w:p>
        </w:tc>
      </w:tr>
      <w:tr w14:paraId="58F25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0" w:type="dxa"/>
          </w:tcPr>
          <w:p w14:paraId="1E5D73CD">
            <w:r>
              <w:rPr>
                <w:rFonts w:ascii="微软雅黑" w:hAnsi="微软雅黑" w:eastAsia="微软雅黑"/>
                <w:sz w:val="19"/>
              </w:rPr>
              <w:t>范式2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增强包</w:t>
            </w:r>
          </w:p>
        </w:tc>
        <w:tc>
          <w:tcPr>
            <w:tcW w:w="1690" w:type="dxa"/>
          </w:tcPr>
          <w:p w14:paraId="1AB718F7">
            <w:r>
              <w:rPr>
                <w:rFonts w:ascii="微软雅黑" w:hAnsi="微软雅黑" w:eastAsia="微软雅黑"/>
                <w:sz w:val="19"/>
              </w:rPr>
              <w:t>"ROBOX触觉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增强包"</w:t>
            </w:r>
          </w:p>
        </w:tc>
        <w:tc>
          <w:tcPr>
            <w:tcW w:w="2780" w:type="dxa"/>
          </w:tcPr>
          <w:p w14:paraId="225CBA0D">
            <w:r>
              <w:rPr>
                <w:rFonts w:ascii="微软雅黑" w:hAnsi="微软雅黑" w:eastAsia="微软雅黑"/>
                <w:sz w:val="19"/>
              </w:rPr>
              <w:t>"ROBOX手眼脑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协同增强包"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(模型+触觉+SDK)</w:t>
            </w:r>
          </w:p>
        </w:tc>
        <w:tc>
          <w:tcPr>
            <w:tcW w:w="2868" w:type="dxa"/>
          </w:tcPr>
          <w:p w14:paraId="7F3FFD30">
            <w:r>
              <w:rPr>
                <w:rFonts w:ascii="微软雅黑" w:hAnsi="微软雅黑" w:eastAsia="微软雅黑"/>
                <w:sz w:val="19"/>
              </w:rPr>
              <w:t>手眼脑协同是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产品全貌，触觉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是其中一环</w:t>
            </w:r>
          </w:p>
        </w:tc>
      </w:tr>
      <w:tr w14:paraId="7DEBD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0" w:type="dxa"/>
          </w:tcPr>
          <w:p w14:paraId="66AFDC6F">
            <w:r>
              <w:rPr>
                <w:rFonts w:ascii="微软雅黑" w:hAnsi="微软雅黑" w:eastAsia="微软雅黑"/>
                <w:sz w:val="19"/>
              </w:rPr>
              <w:t>范式3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联合方案</w:t>
            </w:r>
          </w:p>
        </w:tc>
        <w:tc>
          <w:tcPr>
            <w:tcW w:w="1690" w:type="dxa"/>
          </w:tcPr>
          <w:p w14:paraId="12F9648E">
            <w:r>
              <w:rPr>
                <w:rFonts w:ascii="微软雅黑" w:hAnsi="微软雅黑" w:eastAsia="微软雅黑"/>
                <w:sz w:val="19"/>
              </w:rPr>
              <w:t>与SI伙伴做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场景落地</w:t>
            </w:r>
          </w:p>
        </w:tc>
        <w:tc>
          <w:tcPr>
            <w:tcW w:w="2780" w:type="dxa"/>
          </w:tcPr>
          <w:p w14:paraId="35896D89">
            <w:r>
              <w:rPr>
                <w:rFonts w:ascii="微软雅黑" w:hAnsi="微软雅黑" w:eastAsia="微软雅黑"/>
                <w:sz w:val="19"/>
              </w:rPr>
              <w:t>不变——与长虹等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SI伙伴做场景落地</w:t>
            </w:r>
          </w:p>
        </w:tc>
        <w:tc>
          <w:tcPr>
            <w:tcW w:w="2868" w:type="dxa"/>
          </w:tcPr>
          <w:p w14:paraId="4BF26ED2">
            <w:r>
              <w:rPr>
                <w:rFonts w:ascii="微软雅黑" w:hAnsi="微软雅黑" w:eastAsia="微软雅黑"/>
                <w:sz w:val="19"/>
              </w:rPr>
              <w:t>会议验证长虹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为SI合作伙伴</w:t>
            </w:r>
          </w:p>
        </w:tc>
      </w:tr>
      <w:tr w14:paraId="20D23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0" w:type="dxa"/>
          </w:tcPr>
          <w:p w14:paraId="5DE1E3CB">
            <w:r>
              <w:rPr>
                <w:rFonts w:ascii="微软雅黑" w:hAnsi="微软雅黑" w:eastAsia="微软雅黑"/>
                <w:sz w:val="19"/>
              </w:rPr>
              <w:t>范式4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数据服务</w:t>
            </w:r>
          </w:p>
        </w:tc>
        <w:tc>
          <w:tcPr>
            <w:tcW w:w="1690" w:type="dxa"/>
          </w:tcPr>
          <w:p w14:paraId="5843DE01">
            <w:r>
              <w:rPr>
                <w:rFonts w:ascii="微软雅黑" w:hAnsi="微软雅黑" w:eastAsia="微软雅黑"/>
                <w:sz w:val="19"/>
              </w:rPr>
              <w:t>数据采集与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出售</w:t>
            </w:r>
          </w:p>
        </w:tc>
        <w:tc>
          <w:tcPr>
            <w:tcW w:w="2780" w:type="dxa"/>
          </w:tcPr>
          <w:p w14:paraId="6A876F06">
            <w:r>
              <w:rPr>
                <w:rFonts w:ascii="微软雅黑" w:hAnsi="微软雅黑" w:eastAsia="微软雅黑"/>
                <w:sz w:val="19"/>
              </w:rPr>
              <w:t>强化——Ego数据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先发优势是核心壁垒</w:t>
            </w:r>
          </w:p>
        </w:tc>
        <w:tc>
          <w:tcPr>
            <w:tcW w:w="2868" w:type="dxa"/>
          </w:tcPr>
          <w:p w14:paraId="35AB2ECC">
            <w:r>
              <w:rPr>
                <w:rFonts w:ascii="微软雅黑" w:hAnsi="微软雅黑" w:eastAsia="微软雅黑"/>
                <w:sz w:val="19"/>
              </w:rPr>
              <w:t>五场会议均强调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数据先发6-12月</w:t>
            </w:r>
          </w:p>
        </w:tc>
      </w:tr>
      <w:tr w14:paraId="307C7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0" w:type="dxa"/>
          </w:tcPr>
          <w:p w14:paraId="4EB72844">
            <w:r>
              <w:rPr>
                <w:rFonts w:ascii="微软雅黑" w:hAnsi="微软雅黑" w:eastAsia="微软雅黑"/>
                <w:sz w:val="19"/>
              </w:rPr>
              <w:t>范式5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场景共创</w:t>
            </w:r>
          </w:p>
        </w:tc>
        <w:tc>
          <w:tcPr>
            <w:tcW w:w="1690" w:type="dxa"/>
          </w:tcPr>
          <w:p w14:paraId="08813902">
            <w:r>
              <w:rPr>
                <w:rFonts w:ascii="微软雅黑" w:hAnsi="微软雅黑" w:eastAsia="微软雅黑"/>
                <w:sz w:val="19"/>
              </w:rPr>
              <w:t>与终端客户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共创场景</w:t>
            </w:r>
          </w:p>
        </w:tc>
        <w:tc>
          <w:tcPr>
            <w:tcW w:w="2780" w:type="dxa"/>
          </w:tcPr>
          <w:p w14:paraId="6DE60F65">
            <w:r>
              <w:rPr>
                <w:rFonts w:ascii="微软雅黑" w:hAnsi="微软雅黑" w:eastAsia="微软雅黑"/>
                <w:sz w:val="19"/>
              </w:rPr>
              <w:t>不变但优先级提升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——TPF阶段核心</w:t>
            </w:r>
          </w:p>
        </w:tc>
        <w:tc>
          <w:tcPr>
            <w:tcW w:w="2868" w:type="dxa"/>
          </w:tcPr>
          <w:p w14:paraId="515EE6CB">
            <w:r>
              <w:rPr>
                <w:rFonts w:ascii="微软雅黑" w:hAnsi="微软雅黑" w:eastAsia="微软雅黑"/>
                <w:sz w:val="19"/>
              </w:rPr>
              <w:t>0-12月TPF阶段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需要场景验证</w:t>
            </w:r>
          </w:p>
        </w:tc>
      </w:tr>
      <w:tr w14:paraId="6B48E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0" w:type="dxa"/>
          </w:tcPr>
          <w:p w14:paraId="648DEA75">
            <w:r>
              <w:rPr>
                <w:rFonts w:ascii="微软雅黑" w:hAnsi="微软雅黑" w:eastAsia="微软雅黑"/>
                <w:sz w:val="19"/>
              </w:rPr>
              <w:t>范式6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平台生态</w:t>
            </w:r>
          </w:p>
        </w:tc>
        <w:tc>
          <w:tcPr>
            <w:tcW w:w="1690" w:type="dxa"/>
          </w:tcPr>
          <w:p w14:paraId="428B5CD6">
            <w:r>
              <w:rPr>
                <w:rFonts w:ascii="微软雅黑" w:hAnsi="微软雅黑" w:eastAsia="微软雅黑"/>
                <w:sz w:val="19"/>
              </w:rPr>
              <w:t>构建开发者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生态</w:t>
            </w:r>
          </w:p>
        </w:tc>
        <w:tc>
          <w:tcPr>
            <w:tcW w:w="2780" w:type="dxa"/>
          </w:tcPr>
          <w:p w14:paraId="0903357D">
            <w:r>
              <w:rPr>
                <w:rFonts w:ascii="微软雅黑" w:hAnsi="微软雅黑" w:eastAsia="微软雅黑"/>
                <w:sz w:val="19"/>
              </w:rPr>
              <w:t>中长期——System 2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开源生态</w:t>
            </w:r>
          </w:p>
        </w:tc>
        <w:tc>
          <w:tcPr>
            <w:tcW w:w="2868" w:type="dxa"/>
          </w:tcPr>
          <w:p w14:paraId="5DDC735C">
            <w:r>
              <w:rPr>
                <w:rFonts w:ascii="微软雅黑" w:hAnsi="微软雅黑" w:eastAsia="微软雅黑"/>
                <w:sz w:val="19"/>
              </w:rPr>
              <w:t>Apache 2.0开源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奠定基础</w:t>
            </w:r>
          </w:p>
        </w:tc>
      </w:tr>
      <w:tr w14:paraId="2B5E3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0" w:type="dxa"/>
          </w:tcPr>
          <w:p w14:paraId="3779E1F3">
            <w:r>
              <w:rPr>
                <w:rFonts w:ascii="微软雅黑" w:hAnsi="微软雅黑" w:eastAsia="微软雅黑"/>
                <w:sz w:val="19"/>
              </w:rPr>
              <w:t>范式7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政府数据基建</w:t>
            </w:r>
          </w:p>
        </w:tc>
        <w:tc>
          <w:tcPr>
            <w:tcW w:w="1690" w:type="dxa"/>
          </w:tcPr>
          <w:p w14:paraId="390D957A">
            <w:r>
              <w:rPr>
                <w:rFonts w:ascii="微软雅黑" w:hAnsi="微软雅黑" w:eastAsia="微软雅黑"/>
                <w:sz w:val="19"/>
              </w:rPr>
              <w:t>政府驱动的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数据采集基建</w:t>
            </w:r>
          </w:p>
        </w:tc>
        <w:tc>
          <w:tcPr>
            <w:tcW w:w="2780" w:type="dxa"/>
          </w:tcPr>
          <w:p w14:paraId="1A5FAFFF">
            <w:r>
              <w:rPr>
                <w:rFonts w:ascii="微软雅黑" w:hAnsi="微软雅黑" w:eastAsia="微软雅黑"/>
                <w:sz w:val="19"/>
              </w:rPr>
              <w:t>强化——Anson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核心价值领域</w:t>
            </w:r>
          </w:p>
        </w:tc>
        <w:tc>
          <w:tcPr>
            <w:tcW w:w="2868" w:type="dxa"/>
          </w:tcPr>
          <w:p w14:paraId="14360CAB">
            <w:r>
              <w:rPr>
                <w:rFonts w:ascii="微软雅黑" w:hAnsi="微软雅黑" w:eastAsia="微软雅黑"/>
                <w:sz w:val="19"/>
              </w:rPr>
              <w:t>中金认可政府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关系价值；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东方嘉富指出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杭州政策落差</w:t>
            </w:r>
          </w:p>
        </w:tc>
      </w:tr>
    </w:tbl>
    <w:p w14:paraId="5656161A">
      <w:pPr>
        <w:pStyle w:val="4"/>
      </w:pPr>
      <w:r>
        <w:rPr>
          <w:rFonts w:ascii="微软雅黑" w:hAnsi="微软雅黑" w:eastAsia="微软雅黑"/>
          <w:color w:val="34495E"/>
        </w:rPr>
        <w:t>7.2  关键调整解析</w:t>
      </w:r>
    </w:p>
    <w:p w14:paraId="3111F759">
      <w:pPr>
        <w:spacing w:after="80"/>
      </w:pPr>
      <w:r>
        <w:rPr>
          <w:rFonts w:ascii="微软雅黑" w:hAnsi="微软雅黑" w:eastAsia="微软雅黑"/>
          <w:b/>
          <w:color w:val="2C3E50"/>
          <w:sz w:val="22"/>
        </w:rPr>
        <w:t>调整一：从"触觉"升级为"手眼脑协同"</w:t>
      </w:r>
    </w:p>
    <w:p w14:paraId="37733287">
      <w:pPr>
        <w:spacing w:after="80"/>
      </w:pPr>
      <w:r>
        <w:rPr>
          <w:rFonts w:ascii="微软雅黑" w:hAnsi="微软雅黑" w:eastAsia="微软雅黑"/>
          <w:b w:val="0"/>
          <w:sz w:val="21"/>
        </w:rPr>
        <w:t>五场会议证据表明，明修和田明从未将ROBOX定位为"触觉公司"。公司核心产品是"手眼脑协同的物理智能系统"，触觉是其中的重要组成部分而非全部。将合作范式从"触觉算法授权"升级为"手眼脑协同系统"，与创始团队自身定位对齐，也扩大了合作空间——不只是触觉增强，而是System 1/0端侧模型（含VLA、行为基础模型、触觉模块）的完整输出。</w:t>
      </w:r>
    </w:p>
    <w:p w14:paraId="23CD5E7F">
      <w:pPr>
        <w:spacing w:after="80"/>
      </w:pPr>
    </w:p>
    <w:p w14:paraId="6B38CC49">
      <w:pPr>
        <w:spacing w:after="80"/>
      </w:pPr>
      <w:r>
        <w:rPr>
          <w:rFonts w:ascii="微软雅黑" w:hAnsi="微软雅黑" w:eastAsia="微软雅黑"/>
          <w:b/>
          <w:color w:val="2C3E50"/>
          <w:sz w:val="22"/>
        </w:rPr>
        <w:t>调整二：数据服务范式优先级提升</w:t>
      </w:r>
    </w:p>
    <w:p w14:paraId="58A5A09A">
      <w:pPr>
        <w:spacing w:after="80"/>
      </w:pPr>
      <w:r>
        <w:rPr>
          <w:rFonts w:ascii="微软雅黑" w:hAnsi="微软雅黑" w:eastAsia="微软雅黑"/>
          <w:b w:val="0"/>
          <w:sz w:val="21"/>
        </w:rPr>
        <w:t>五场会议均强调了Ego数据的先发优势（6-12个月领先），且ViLoS消融实验完整量化了数据贡献。数据不仅是训练材料，更是核心壁垒。结合Anson的政府关系优势和南湖未来科学园200+企业网络，政府驱动的数据采集基建（范式7）和数据服务（范式4）应成为Anson主牵的核心合作范式。</w:t>
      </w:r>
    </w:p>
    <w:p w14:paraId="4C2D5F5A">
      <w:pPr>
        <w:spacing w:after="80"/>
      </w:pPr>
    </w:p>
    <w:p w14:paraId="627542AB">
      <w:pPr>
        <w:spacing w:after="80"/>
      </w:pPr>
      <w:r>
        <w:rPr>
          <w:rFonts w:ascii="微软雅黑" w:hAnsi="微软雅黑" w:eastAsia="微软雅黑"/>
          <w:b/>
          <w:color w:val="2C3E50"/>
          <w:sz w:val="22"/>
        </w:rPr>
        <w:t>调整三：政府数据基建范式强化</w:t>
      </w:r>
    </w:p>
    <w:p w14:paraId="3107016A">
      <w:pPr>
        <w:spacing w:after="80"/>
      </w:pPr>
      <w:r>
        <w:rPr>
          <w:rFonts w:ascii="微软雅黑" w:hAnsi="微软雅黑" w:eastAsia="微软雅黑"/>
          <w:b w:val="0"/>
          <w:sz w:val="21"/>
        </w:rPr>
        <w:t>东方嘉富郑格指出杭州vs北京政策落差（3000万 vs 10亿），千寻可能因此搬北京——这反过来说明属地政府关系的战略价值。中金愿意引荐政府资源，明修主导发改委/工信部关系。Anson应：(1)配合明修推进省级政府关系；(2)主牵余杭区/杭州市属地落地；(3)推动政府驱动的数据采集基建（借鉴无锡模式商业化+青岛模式启动+ROBOX TacWM差异化）。</w:t>
      </w:r>
    </w:p>
    <w:p w14:paraId="461E554F">
      <w:r>
        <w:br w:type="page"/>
      </w:r>
    </w:p>
    <w:p w14:paraId="6E4095B7">
      <w:pPr>
        <w:pStyle w:val="3"/>
      </w:pPr>
      <w:r>
        <w:rPr>
          <w:rFonts w:ascii="微软雅黑" w:hAnsi="微软雅黑" w:eastAsia="微软雅黑"/>
          <w:color w:val="2C3E50"/>
        </w:rPr>
        <w:t>第八部分  触觉聚焦准确性评估</w:t>
      </w:r>
    </w:p>
    <w:p w14:paraId="3A3A78B4">
      <w:pPr>
        <w:spacing w:after="80"/>
      </w:pPr>
      <w:r>
        <w:rPr>
          <w:rFonts w:ascii="微软雅黑" w:hAnsi="微软雅黑" w:eastAsia="微软雅黑"/>
          <w:b w:val="0"/>
          <w:sz w:val="21"/>
        </w:rPr>
        <w:t>基于五场会议中明修和田明的原始表述，对"ROBOX核心能力是否应聚焦于触觉"这一问题进行系统评估。</w:t>
      </w:r>
    </w:p>
    <w:p w14:paraId="53AC1E37">
      <w:pPr>
        <w:pStyle w:val="4"/>
      </w:pPr>
      <w:r>
        <w:rPr>
          <w:rFonts w:ascii="微软雅黑" w:hAnsi="微软雅黑" w:eastAsia="微软雅黑"/>
          <w:color w:val="34495E"/>
        </w:rPr>
        <w:t>8.1  明修对触觉的定位表述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2268"/>
      </w:tblGrid>
      <w:tr w14:paraId="295B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C3E50"/>
          </w:tcPr>
          <w:p w14:paraId="51C32DE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会议</w:t>
            </w:r>
          </w:p>
        </w:tc>
        <w:tc>
          <w:tcPr>
            <w:tcW w:w="3402" w:type="dxa"/>
            <w:shd w:val="clear" w:color="auto" w:fill="2C3E50"/>
          </w:tcPr>
          <w:p w14:paraId="2E18A50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原话</w:t>
            </w:r>
          </w:p>
        </w:tc>
        <w:tc>
          <w:tcPr>
            <w:tcW w:w="2268" w:type="dxa"/>
            <w:shd w:val="clear" w:color="auto" w:fill="2C3E50"/>
          </w:tcPr>
          <w:p w14:paraId="26D6471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关键词分析</w:t>
            </w:r>
          </w:p>
        </w:tc>
      </w:tr>
      <w:tr w14:paraId="0819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54E94F8">
            <w:r>
              <w:rPr>
                <w:rFonts w:ascii="微软雅黑" w:hAnsi="微软雅黑" w:eastAsia="微软雅黑"/>
                <w:sz w:val="19"/>
              </w:rPr>
              <w:t>光源</w:t>
            </w:r>
          </w:p>
        </w:tc>
        <w:tc>
          <w:tcPr>
            <w:tcW w:w="3402" w:type="dxa"/>
          </w:tcPr>
          <w:p w14:paraId="743CFB5F">
            <w:r>
              <w:rPr>
                <w:rFonts w:ascii="微软雅黑" w:hAnsi="微软雅黑" w:eastAsia="微软雅黑"/>
                <w:sz w:val="19"/>
              </w:rPr>
              <w:t>"触觉是我们派股权的一个重要手段"</w:t>
            </w:r>
          </w:p>
        </w:tc>
        <w:tc>
          <w:tcPr>
            <w:tcW w:w="2268" w:type="dxa"/>
          </w:tcPr>
          <w:p w14:paraId="38F07F7C">
            <w:r>
              <w:rPr>
                <w:rFonts w:ascii="微软雅黑" w:hAnsi="微软雅黑" w:eastAsia="微软雅黑"/>
                <w:sz w:val="19"/>
              </w:rPr>
              <w:t>"重要手段"——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非"核心"或"唯一"</w:t>
            </w:r>
          </w:p>
        </w:tc>
      </w:tr>
      <w:tr w14:paraId="72C0B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9D38374">
            <w:r>
              <w:rPr>
                <w:rFonts w:ascii="微软雅黑" w:hAnsi="微软雅黑" w:eastAsia="微软雅黑"/>
                <w:sz w:val="19"/>
              </w:rPr>
              <w:t>中金</w:t>
            </w:r>
          </w:p>
        </w:tc>
        <w:tc>
          <w:tcPr>
            <w:tcW w:w="3402" w:type="dxa"/>
          </w:tcPr>
          <w:p w14:paraId="3FCFCEAA">
            <w:r>
              <w:rPr>
                <w:rFonts w:ascii="微软雅黑" w:hAnsi="微软雅黑" w:eastAsia="微软雅黑"/>
                <w:sz w:val="19"/>
              </w:rPr>
              <w:t>"我们还在做这个过程中发现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触觉是很关键的"</w:t>
            </w:r>
          </w:p>
        </w:tc>
        <w:tc>
          <w:tcPr>
            <w:tcW w:w="2268" w:type="dxa"/>
          </w:tcPr>
          <w:p w14:paraId="59306668">
            <w:r>
              <w:rPr>
                <w:rFonts w:ascii="微软雅黑" w:hAnsi="微软雅黑" w:eastAsia="微软雅黑"/>
                <w:sz w:val="19"/>
              </w:rPr>
              <w:t>"发现"——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非创立之初的thesis</w:t>
            </w:r>
          </w:p>
        </w:tc>
      </w:tr>
      <w:tr w14:paraId="2692A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48C9E25">
            <w:r>
              <w:rPr>
                <w:rFonts w:ascii="微软雅黑" w:hAnsi="微软雅黑" w:eastAsia="微软雅黑"/>
                <w:sz w:val="19"/>
              </w:rPr>
              <w:t>中金</w:t>
            </w:r>
          </w:p>
        </w:tc>
        <w:tc>
          <w:tcPr>
            <w:tcW w:w="3402" w:type="dxa"/>
          </w:tcPr>
          <w:p w14:paraId="430E8375">
            <w:r>
              <w:rPr>
                <w:rFonts w:ascii="微软雅黑" w:hAnsi="微软雅黑" w:eastAsia="微软雅黑"/>
                <w:sz w:val="19"/>
              </w:rPr>
              <w:t>"我们只做一件事，做模型"</w:t>
            </w:r>
          </w:p>
        </w:tc>
        <w:tc>
          <w:tcPr>
            <w:tcW w:w="2268" w:type="dxa"/>
          </w:tcPr>
          <w:p w14:paraId="357899FB">
            <w:r>
              <w:rPr>
                <w:rFonts w:ascii="微软雅黑" w:hAnsi="微软雅黑" w:eastAsia="微软雅黑"/>
                <w:sz w:val="19"/>
              </w:rPr>
              <w:t>"做模型"——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唯一聚焦是模型本身</w:t>
            </w:r>
          </w:p>
        </w:tc>
      </w:tr>
      <w:tr w14:paraId="5B928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37FA702">
            <w:r>
              <w:rPr>
                <w:rFonts w:ascii="微软雅黑" w:hAnsi="微软雅黑" w:eastAsia="微软雅黑"/>
                <w:sz w:val="19"/>
              </w:rPr>
              <w:t>光源</w:t>
            </w:r>
          </w:p>
        </w:tc>
        <w:tc>
          <w:tcPr>
            <w:tcW w:w="3402" w:type="dxa"/>
          </w:tcPr>
          <w:p w14:paraId="3A6763F6">
            <w:r>
              <w:rPr>
                <w:rFonts w:ascii="微软雅黑" w:hAnsi="微软雅黑" w:eastAsia="微软雅黑"/>
                <w:sz w:val="19"/>
              </w:rPr>
              <w:t>"所有人都会跟您讲触觉世界模型……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但所有人都没有再去直面一个问题……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触觉的数据"</w:t>
            </w:r>
          </w:p>
        </w:tc>
        <w:tc>
          <w:tcPr>
            <w:tcW w:w="2268" w:type="dxa"/>
          </w:tcPr>
          <w:p w14:paraId="086CFE8F">
            <w:r>
              <w:rPr>
                <w:rFonts w:ascii="微软雅黑" w:hAnsi="微软雅黑" w:eastAsia="微软雅黑"/>
                <w:sz w:val="19"/>
              </w:rPr>
              <w:t>触觉数据是瓶颈——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但瓶颈≠核心定位</w:t>
            </w:r>
          </w:p>
        </w:tc>
      </w:tr>
    </w:tbl>
    <w:p w14:paraId="39ABB3B4">
      <w:pPr>
        <w:pStyle w:val="4"/>
      </w:pPr>
      <w:r>
        <w:rPr>
          <w:rFonts w:ascii="微软雅黑" w:hAnsi="微软雅黑" w:eastAsia="微软雅黑"/>
          <w:color w:val="34495E"/>
        </w:rPr>
        <w:t>8.2  田明对触觉的定位表述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2268"/>
      </w:tblGrid>
      <w:tr w14:paraId="27DCB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C3E50"/>
          </w:tcPr>
          <w:p w14:paraId="5DA8C41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会议</w:t>
            </w:r>
          </w:p>
        </w:tc>
        <w:tc>
          <w:tcPr>
            <w:tcW w:w="3402" w:type="dxa"/>
            <w:shd w:val="clear" w:color="auto" w:fill="2C3E50"/>
          </w:tcPr>
          <w:p w14:paraId="460088D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原话</w:t>
            </w:r>
          </w:p>
        </w:tc>
        <w:tc>
          <w:tcPr>
            <w:tcW w:w="2268" w:type="dxa"/>
            <w:shd w:val="clear" w:color="auto" w:fill="2C3E50"/>
          </w:tcPr>
          <w:p w14:paraId="4719297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关键词分析</w:t>
            </w:r>
          </w:p>
        </w:tc>
      </w:tr>
      <w:tr w14:paraId="27E78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4FF60E1">
            <w:r>
              <w:rPr>
                <w:rFonts w:ascii="微软雅黑" w:hAnsi="微软雅黑" w:eastAsia="微软雅黑"/>
                <w:sz w:val="19"/>
              </w:rPr>
              <w:t>浙创投</w:t>
            </w:r>
          </w:p>
        </w:tc>
        <w:tc>
          <w:tcPr>
            <w:tcW w:w="3402" w:type="dxa"/>
          </w:tcPr>
          <w:p w14:paraId="32D61FFA">
            <w:r>
              <w:rPr>
                <w:rFonts w:ascii="微软雅黑" w:hAnsi="微软雅黑" w:eastAsia="微软雅黑"/>
                <w:sz w:val="19"/>
              </w:rPr>
              <w:t>"在手的层面上，我们主要是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从触觉来切入"</w:t>
            </w:r>
          </w:p>
        </w:tc>
        <w:tc>
          <w:tcPr>
            <w:tcW w:w="2268" w:type="dxa"/>
          </w:tcPr>
          <w:p w14:paraId="787F6A17">
            <w:r>
              <w:rPr>
                <w:rFonts w:ascii="微软雅黑" w:hAnsi="微软雅黑" w:eastAsia="微软雅黑"/>
                <w:sz w:val="19"/>
              </w:rPr>
              <w:t>"手的层面"+"切入"——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触觉是手工作的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切入点，非全公司</w:t>
            </w:r>
          </w:p>
        </w:tc>
      </w:tr>
      <w:tr w14:paraId="7239E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5DAE299">
            <w:r>
              <w:rPr>
                <w:rFonts w:ascii="微软雅黑" w:hAnsi="微软雅黑" w:eastAsia="微软雅黑"/>
                <w:sz w:val="19"/>
              </w:rPr>
              <w:t>中金</w:t>
            </w:r>
          </w:p>
        </w:tc>
        <w:tc>
          <w:tcPr>
            <w:tcW w:w="3402" w:type="dxa"/>
          </w:tcPr>
          <w:p w14:paraId="434DA6A8">
            <w:r>
              <w:rPr>
                <w:rFonts w:ascii="微软雅黑" w:hAnsi="微软雅黑" w:eastAsia="微软雅黑"/>
                <w:sz w:val="19"/>
              </w:rPr>
              <w:t>"核心是大脑，这是最终交付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价值最重要的环节"</w:t>
            </w:r>
          </w:p>
        </w:tc>
        <w:tc>
          <w:tcPr>
            <w:tcW w:w="2268" w:type="dxa"/>
          </w:tcPr>
          <w:p w14:paraId="59C644C3">
            <w:r>
              <w:rPr>
                <w:rFonts w:ascii="微软雅黑" w:hAnsi="微软雅黑" w:eastAsia="微软雅黑"/>
                <w:sz w:val="19"/>
              </w:rPr>
              <w:t>"核心是大脑"——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大脑才是核心</w:t>
            </w:r>
          </w:p>
        </w:tc>
      </w:tr>
    </w:tbl>
    <w:p w14:paraId="5A317011">
      <w:pPr>
        <w:pStyle w:val="4"/>
      </w:pPr>
      <w:r>
        <w:rPr>
          <w:rFonts w:ascii="微软雅黑" w:hAnsi="微软雅黑" w:eastAsia="微软雅黑"/>
          <w:color w:val="34495E"/>
        </w:rPr>
        <w:t>8.3  公司整体定位表述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402"/>
        <w:gridCol w:w="1984"/>
      </w:tblGrid>
      <w:tr w14:paraId="124C4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C3E50"/>
          </w:tcPr>
          <w:p w14:paraId="4279C2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3402" w:type="dxa"/>
            <w:shd w:val="clear" w:color="auto" w:fill="2C3E50"/>
          </w:tcPr>
          <w:p w14:paraId="6D5B3A3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表述</w:t>
            </w:r>
          </w:p>
        </w:tc>
        <w:tc>
          <w:tcPr>
            <w:tcW w:w="1984" w:type="dxa"/>
            <w:shd w:val="clear" w:color="auto" w:fill="2C3E50"/>
          </w:tcPr>
          <w:p w14:paraId="706085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 w14:paraId="230AB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12E5073">
            <w:r>
              <w:rPr>
                <w:rFonts w:ascii="微软雅黑" w:hAnsi="微软雅黑" w:eastAsia="微软雅黑"/>
                <w:sz w:val="19"/>
              </w:rPr>
              <w:t>公司使命</w:t>
            </w:r>
          </w:p>
        </w:tc>
        <w:tc>
          <w:tcPr>
            <w:tcW w:w="3402" w:type="dxa"/>
          </w:tcPr>
          <w:p w14:paraId="010BA691">
            <w:r>
              <w:rPr>
                <w:rFonts w:ascii="微软雅黑" w:hAnsi="微软雅黑" w:eastAsia="微软雅黑"/>
                <w:sz w:val="19"/>
              </w:rPr>
              <w:t>"用人类知识真正去教会机器人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改变物理世界"</w:t>
            </w:r>
          </w:p>
        </w:tc>
        <w:tc>
          <w:tcPr>
            <w:tcW w:w="1984" w:type="dxa"/>
          </w:tcPr>
          <w:p w14:paraId="5F4D1AF6">
            <w:r>
              <w:rPr>
                <w:rFonts w:ascii="微软雅黑" w:hAnsi="微软雅黑" w:eastAsia="微软雅黑"/>
                <w:sz w:val="19"/>
              </w:rPr>
              <w:t>[中金]</w:t>
            </w:r>
          </w:p>
        </w:tc>
      </w:tr>
      <w:tr w14:paraId="06ECF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1230D4F">
            <w:r>
              <w:rPr>
                <w:rFonts w:ascii="微软雅黑" w:hAnsi="微软雅黑" w:eastAsia="微软雅黑"/>
                <w:sz w:val="19"/>
              </w:rPr>
              <w:t>产品定义</w:t>
            </w:r>
          </w:p>
        </w:tc>
        <w:tc>
          <w:tcPr>
            <w:tcW w:w="3402" w:type="dxa"/>
          </w:tcPr>
          <w:p w14:paraId="5DE9241A">
            <w:r>
              <w:rPr>
                <w:rFonts w:ascii="微软雅黑" w:hAnsi="微软雅黑" w:eastAsia="微软雅黑"/>
                <w:sz w:val="19"/>
              </w:rPr>
              <w:t>"手眼脑协同的物理智能系统"</w:t>
            </w:r>
          </w:p>
        </w:tc>
        <w:tc>
          <w:tcPr>
            <w:tcW w:w="1984" w:type="dxa"/>
          </w:tcPr>
          <w:p w14:paraId="14478845">
            <w:r>
              <w:rPr>
                <w:rFonts w:ascii="微软雅黑" w:hAnsi="微软雅黑" w:eastAsia="微软雅黑"/>
                <w:sz w:val="19"/>
              </w:rPr>
              <w:t>[中金]</w:t>
            </w:r>
          </w:p>
        </w:tc>
      </w:tr>
      <w:tr w14:paraId="18F66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F2988CF">
            <w:r>
              <w:rPr>
                <w:rFonts w:ascii="微软雅黑" w:hAnsi="微软雅黑" w:eastAsia="微软雅黑"/>
                <w:sz w:val="19"/>
              </w:rPr>
              <w:t>核心技术</w:t>
            </w:r>
          </w:p>
        </w:tc>
        <w:tc>
          <w:tcPr>
            <w:tcW w:w="3402" w:type="dxa"/>
          </w:tcPr>
          <w:p w14:paraId="5AE5E96A">
            <w:r>
              <w:rPr>
                <w:rFonts w:ascii="微软雅黑" w:hAnsi="微软雅黑" w:eastAsia="微软雅黑"/>
                <w:sz w:val="19"/>
              </w:rPr>
              <w:t>System 2/1/0三层架构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(122B大脑+VLA+行为基础模型)</w:t>
            </w:r>
          </w:p>
        </w:tc>
        <w:tc>
          <w:tcPr>
            <w:tcW w:w="1984" w:type="dxa"/>
          </w:tcPr>
          <w:p w14:paraId="6D4E3C11">
            <w:r>
              <w:rPr>
                <w:rFonts w:ascii="微软雅黑" w:hAnsi="微软雅黑" w:eastAsia="微软雅黑"/>
                <w:sz w:val="19"/>
              </w:rPr>
              <w:t>[五场会议]</w:t>
            </w:r>
          </w:p>
        </w:tc>
      </w:tr>
      <w:tr w14:paraId="54448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466368A">
            <w:r>
              <w:rPr>
                <w:rFonts w:ascii="微软雅黑" w:hAnsi="微软雅黑" w:eastAsia="微软雅黑"/>
                <w:sz w:val="19"/>
              </w:rPr>
              <w:t>差异化能力</w:t>
            </w:r>
          </w:p>
        </w:tc>
        <w:tc>
          <w:tcPr>
            <w:tcW w:w="3402" w:type="dxa"/>
          </w:tcPr>
          <w:p w14:paraId="0BC0E1AF">
            <w:r>
              <w:rPr>
                <w:rFonts w:ascii="微软雅黑" w:hAnsi="微软雅黑" w:eastAsia="微软雅黑"/>
                <w:sz w:val="19"/>
              </w:rPr>
              <w:t>Ego数据先发6-12月 +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AR架构解决scaling瓶颈 +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latent space通信</w:t>
            </w:r>
          </w:p>
        </w:tc>
        <w:tc>
          <w:tcPr>
            <w:tcW w:w="1984" w:type="dxa"/>
          </w:tcPr>
          <w:p w14:paraId="47478AF8">
            <w:r>
              <w:rPr>
                <w:rFonts w:ascii="微软雅黑" w:hAnsi="微软雅黑" w:eastAsia="微软雅黑"/>
                <w:sz w:val="19"/>
              </w:rPr>
              <w:t>[五场会议]</w:t>
            </w:r>
          </w:p>
        </w:tc>
      </w:tr>
      <w:tr w14:paraId="24CE6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D939487">
            <w:r>
              <w:rPr>
                <w:rFonts w:ascii="微软雅黑" w:hAnsi="微软雅黑" w:eastAsia="微软雅黑"/>
                <w:sz w:val="19"/>
              </w:rPr>
              <w:t>触觉角色</w:t>
            </w:r>
          </w:p>
        </w:tc>
        <w:tc>
          <w:tcPr>
            <w:tcW w:w="3402" w:type="dxa"/>
          </w:tcPr>
          <w:p w14:paraId="461B2835">
            <w:r>
              <w:rPr>
                <w:rFonts w:ascii="微软雅黑" w:hAnsi="微软雅黑" w:eastAsia="微软雅黑"/>
                <w:sz w:val="19"/>
              </w:rPr>
              <w:t>System 1中的重要模块 +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数据采集管线核心环节 +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手眼脑协同中的"手"维度</w:t>
            </w:r>
          </w:p>
        </w:tc>
        <w:tc>
          <w:tcPr>
            <w:tcW w:w="1984" w:type="dxa"/>
          </w:tcPr>
          <w:p w14:paraId="6C189F0F">
            <w:r>
              <w:rPr>
                <w:rFonts w:ascii="微软雅黑" w:hAnsi="微软雅黑" w:eastAsia="微软雅黑"/>
                <w:sz w:val="19"/>
              </w:rPr>
              <w:t>[光源、中金]</w:t>
            </w:r>
          </w:p>
        </w:tc>
      </w:tr>
    </w:tbl>
    <w:p w14:paraId="015AD41B">
      <w:pPr>
        <w:pStyle w:val="4"/>
      </w:pPr>
      <w:r>
        <w:rPr>
          <w:rFonts w:ascii="微软雅黑" w:hAnsi="微软雅黑" w:eastAsia="微软雅黑"/>
          <w:color w:val="34495E"/>
        </w:rPr>
        <w:t>8.4  评估结论</w:t>
      </w:r>
    </w:p>
    <w:p w14:paraId="136217CC">
      <w:pPr>
        <w:spacing w:after="80"/>
      </w:pPr>
    </w:p>
    <w:p w14:paraId="493C01B2">
      <w:pPr>
        <w:spacing w:after="80"/>
      </w:pPr>
      <w:r>
        <w:rPr>
          <w:rFonts w:ascii="微软雅黑" w:hAnsi="微软雅黑" w:eastAsia="微软雅黑"/>
          <w:b/>
          <w:color w:val="E74C3C"/>
          <w:sz w:val="24"/>
        </w:rPr>
        <w:t>结论一：触觉是ROBOX的重要差异化能力，但不是公司核心定位。</w:t>
      </w:r>
    </w:p>
    <w:p w14:paraId="3E96765E">
      <w:pPr>
        <w:spacing w:after="80"/>
      </w:pPr>
      <w:r>
        <w:rPr>
          <w:rFonts w:ascii="微软雅黑" w:hAnsi="微软雅黑" w:eastAsia="微软雅黑"/>
          <w:b w:val="0"/>
          <w:sz w:val="21"/>
        </w:rPr>
        <w:t>明修将触觉定位为"重要手段"，田明定位为"手的层面的切入点"，两人均明确"核心是大脑"。触觉是手眼脑协同系统中的关键一环，是数据采集管线的核心环节，是区别于竞争对手的重要差异化，但不是公司的核心产品或唯一聚焦。</w:t>
      </w:r>
    </w:p>
    <w:p w14:paraId="557897CE">
      <w:pPr>
        <w:spacing w:after="80"/>
      </w:pPr>
    </w:p>
    <w:p w14:paraId="32B7974A">
      <w:pPr>
        <w:spacing w:after="80"/>
      </w:pPr>
      <w:r>
        <w:rPr>
          <w:rFonts w:ascii="微软雅黑" w:hAnsi="微软雅黑" w:eastAsia="微软雅黑"/>
          <w:b/>
          <w:color w:val="E74C3C"/>
          <w:sz w:val="24"/>
        </w:rPr>
        <w:t>结论二：将ROBOX能力"聚焦到触觉"是不准确的，可能限制合作空间和估值想象。</w:t>
      </w:r>
    </w:p>
    <w:p w14:paraId="71C8AE31">
      <w:pPr>
        <w:spacing w:after="80"/>
      </w:pPr>
      <w:r>
        <w:rPr>
          <w:rFonts w:ascii="微软雅黑" w:hAnsi="微软雅黑" w:eastAsia="微软雅黑"/>
          <w:b w:val="0"/>
          <w:sz w:val="21"/>
        </w:rPr>
        <w:t>正确定位应为："ROBOX的核心能力是手眼脑协同的物理智能系统，其中大脑（System 2/1/0架构）是核心产品，触觉世界模型（TacWM）是关键差异化能力，Ego数据是核心壁垒。"这三者构成完整的能力三角，缺一不可。</w:t>
      </w:r>
    </w:p>
    <w:p w14:paraId="4ACB4ACB">
      <w:pPr>
        <w:spacing w:after="80"/>
      </w:pPr>
    </w:p>
    <w:p w14:paraId="45876FD5">
      <w:pPr>
        <w:spacing w:after="80"/>
      </w:pPr>
      <w:r>
        <w:rPr>
          <w:rFonts w:ascii="微软雅黑" w:hAnsi="微软雅黑" w:eastAsia="微软雅黑"/>
          <w:b/>
          <w:color w:val="E74C3C"/>
          <w:sz w:val="24"/>
        </w:rPr>
        <w:t>结论三：明修和田明不认同"ROBOX=触觉公司"的标签，但支持触觉作为关键差异化。</w:t>
      </w:r>
    </w:p>
    <w:p w14:paraId="55B3FBC5">
      <w:pPr>
        <w:spacing w:after="80"/>
      </w:pPr>
      <w:r>
        <w:rPr>
          <w:rFonts w:ascii="微软雅黑" w:hAnsi="微软雅黑" w:eastAsia="微软雅黑"/>
          <w:b w:val="0"/>
          <w:sz w:val="21"/>
        </w:rPr>
        <w:t>从五场会议的表述来看：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明修："我们只做一件事，做模型"——聚焦点是模型，不是触觉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田明："核心是大脑"——核心是大脑，不是触觉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两人均认可触觉的工程价值（"发现触觉很关键"、"从触觉切入"），但不将其等同于公司核心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两人从未在任何会议中将ROBOX定义为"触觉公司"或"触觉算法公司"</w:t>
      </w:r>
    </w:p>
    <w:p w14:paraId="60153393">
      <w:pPr>
        <w:spacing w:after="80"/>
      </w:pPr>
    </w:p>
    <w:p w14:paraId="145DDAB8">
      <w:pPr>
        <w:spacing w:after="80"/>
      </w:pPr>
      <w:r>
        <w:rPr>
          <w:rFonts w:ascii="微软雅黑" w:hAnsi="微软雅黑" w:eastAsia="微软雅黑"/>
          <w:b/>
          <w:color w:val="27AE60"/>
          <w:sz w:val="24"/>
        </w:rPr>
        <w:t>结论四：Anson在对外沟通中应使用"手眼脑协同"框架，而非"触觉"框架。</w:t>
      </w:r>
    </w:p>
    <w:p w14:paraId="4B2C4217">
      <w:pPr>
        <w:spacing w:after="80"/>
      </w:pPr>
      <w:r>
        <w:rPr>
          <w:rFonts w:ascii="微软雅黑" w:hAnsi="微软雅黑" w:eastAsia="微软雅黑"/>
          <w:b w:val="0"/>
          <w:sz w:val="21"/>
        </w:rPr>
        <w:t>建议在所有对外沟通（投资人、合作伙伴、政府）中使用以下表述层次：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第一层（公司定位）："手眼脑协同的物理智能系统"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第二层（核心技术）："System 2/1/0三层架构，122B千亿参数大脑模型"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第三层（差异化能力）："全球首个触觉世界模型（TacWM）+ Ego数据先发6-12个月"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第四层（商业落地）："商业服务→家庭的三阶段路径，长虹等SI合作伙伴"</w:t>
      </w:r>
    </w:p>
    <w:p w14:paraId="1F2E2121">
      <w:pPr>
        <w:spacing w:after="80"/>
      </w:pPr>
    </w:p>
    <w:p w14:paraId="311AC871"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7EC471AA">
      <w:pPr>
        <w:jc w:val="center"/>
      </w:pPr>
      <w:r>
        <w:rPr>
          <w:rFonts w:ascii="微软雅黑" w:hAnsi="微软雅黑" w:eastAsia="微软雅黑"/>
          <w:color w:val="95A5A6"/>
          <w:sz w:val="18"/>
        </w:rPr>
        <w:t>— 本报告基于5场投资人/FA会议纪要综合整理，仅供内部参考 —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67C72"/>
    <w:rsid w:val="211B1C44"/>
    <w:rsid w:val="29151A43"/>
    <w:rsid w:val="2C8B2783"/>
    <w:rsid w:val="38A02D03"/>
    <w:rsid w:val="47EC7A7F"/>
    <w:rsid w:val="54D1276A"/>
    <w:rsid w:val="59CB7D8B"/>
    <w:rsid w:val="71C13BBF"/>
    <w:rsid w:val="7C7B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微软雅黑" w:hAnsi="微软雅黑" w:eastAsia="微软雅黑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1363</Words>
  <Characters>1786</Characters>
  <Lines>0</Lines>
  <Paragraphs>0</Paragraphs>
  <TotalTime>25</TotalTime>
  <ScaleCrop>false</ScaleCrop>
  <LinksUpToDate>false</LinksUpToDate>
  <CharactersWithSpaces>1829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2026-08-06T12:41:31Z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899A60A59FCE496A8ECA9DF0ED88F442_13</vt:lpwstr>
  </property>
</Properties>
</file>