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b/>
          <w:bCs/>
          <w:color w:val="2E75B6"/>
          <w:sz w:val="48"/>
          <w:szCs w:val="48"/>
        </w:rPr>
        <w:t xml:space="preserve">RoboX 商业模式与国家政策符合性分析</w:t>
      </w:r>
    </w:p>
    <w:p>
      <w:pPr>
        <w:spacing w:before="200"/>
        <w:jc w:val="center"/>
      </w:pPr>
      <w:r>
        <w:rPr>
          <w:color w:val="555555"/>
          <w:sz w:val="26"/>
          <w:szCs w:val="26"/>
        </w:rPr>
        <w:t xml:space="preserve">—— 对照国家顶层政策与“十五五”规划纲要（2026-08 时点）</w:t>
      </w:r>
    </w:p>
    <w:p>
      <w:pPr>
        <w:spacing w:before="1200"/>
      </w:pPr>
    </w:p>
    <w:p>
      <w:pPr>
        <w:jc w:val="center"/>
      </w:pPr>
      <w:r>
        <w:rPr>
          <w:color w:val="888888"/>
          <w:sz w:val="22"/>
          <w:szCs w:val="22"/>
        </w:rPr>
        <w:t xml:space="preserve">2026 年 8 月 13 日</w:t>
      </w:r>
    </w:p>
    <w:p>
      <w:pPr>
        <w:spacing w:before="200"/>
        <w:jc w:val="center"/>
      </w:pPr>
      <w:r>
        <w:rPr>
          <w:color w:val="AAAAAA"/>
          <w:sz w:val="20"/>
          <w:szCs w:val="20"/>
        </w:rPr>
        <w:t xml:space="preserve">对照国家顶层政策与“十五五”规划纲要的政策符合性分析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一、结论先行</w:t>
      </w:r>
    </w:p>
    <w:p>
      <w:pPr>
        <w:spacing w:after="120" w:line="276"/>
      </w:pPr>
      <w:r>
        <w:rPr>
          <w:b/>
          <w:bCs/>
        </w:rPr>
        <w:t xml:space="preserve">RoboX“高价值密度 physical AI 工作者训练公司”的定位，与“按任务结果付费（按效用付费）”的商业模式，与国家顶层政策导向高度吻合（综合判断：强符合）。最强契合点是商业模式——2026 年最核心的落地文件《2026 年度人形机器人与具身智能实景实训专项行动》明文鼓励“按效用付费（RaaS）、经营性租赁”，RoboX 的账本逻辑正是政策鼓励的方向。</w:t>
      </w:r>
    </w:p>
    <w:p>
      <w:pPr>
        <w:spacing w:after="120" w:line="276"/>
      </w:pPr>
      <w:r>
        <w:t xml:space="preserve">但有三处叙事与申报路径需要调整，否则会踩到政策的“本体抓手”和“数据共享”两条线：① 不造本体需以“应用服务商/模型算法/数据服务商”角色入列政策通道；② “数据锁定”叙事需改写为“合规共享下的高质量数据壁垒”；③ 康复场景的医疗器械认证绕不开，但可借政策联合体通道加速评估。</w:t>
      </w:r>
    </w:p>
    <w:p>
      <w:pPr>
        <w:spacing w:after="200" w:before="200"/>
      </w:pPr>
    </w:p>
    <w:p>
      <w:pPr>
        <w:pStyle w:val="Heading1"/>
      </w:pPr>
      <w:r>
        <w:t xml:space="preserve">二、国家顶层政策坐标（截至 2026-08 时点）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6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政策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与 RoboX 相关的关键内容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“十五五”规划纲要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2026-03-12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具身智能首次系统性写入国家五年规划，与量子科技、生物制造、脑机接口、6G 并列为六大未来产业；机器人列入战略性新兴产业；提出建设“具身智能实训场”；预计新增数据采集员、机器人群体协同运营师等就业岗位超 100 万个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国务院《关于深入实施“人工智能+”行动的意见》（国发〔2025〕11 号）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2025-08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2027 年新一代智能终端、智能体应用普及率超 70%，2030 年超 90%；减速器、伺服电机、力传感器纳入“卡脖子”攻关清单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工信部《人形机器人与具身智能标准体系（2026 版）》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2026-02-28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首个全产业链/全生命周期标准顶层设计，六大板块含应用、安全伦理；120 余家单位参编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工信部《YD/T 6770—2026 具身智能基准测试方法》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行业首份基准测试标准：1 万+ 测试任务、300+ 真实场景、紧急停机 ≤0.1 秒，被称为“机器人驾照考试大纲”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工信部、国资委《2026 年度人形机器人与具身智能实景实训专项行动》（工信厅联科函〔2026〕256 号）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2026-06-03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 底实现“作业模式”、百个以上高价值应用场景、万台级落地；面向工业/特种/服务；明文提出“人形机器人即服务”——按效用付费、经营性租赁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民政部等八部门《培育养老服务经营主体促进银发经济发展若干措施》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2026-01-13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鼓励养老服务机器人产业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国家电网《2026 年具身智能发展规划》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2026-04-22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年内集采约 8500 台、总投资约 68 亿（电力巡检/带电作业/应急救援/仓储物流）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网信办等《智能体规范应用与创新发展实施意见》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2026-05-08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首个智能体纲领性文件，划“安全底线 + 创新空间”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首台（套）重大技术装备保险补偿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2026-06-23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保费补贴最高 80%、单户年度上限 500 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政府工作报告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2026-03-05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“具身智能”连续第二年写入，首次提出“打造智能经济新形态”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t xml:space="preserve">三、逐项对照：RoboX 判断 vs 政策导向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42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RoboX 要素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政策依据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判断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商业模式：按任务结果付费（成本 2/3、7×24、可验收）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实景实训专项行动明文：“探索‘人形机器人即服务’模式，通过按效用付费、经营性租赁等商业创新手段降低用户投入门槛”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完美同构——商业模式就是政策明文鼓励的方向，对外可直接引用政策原文背书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核心叙事：“自主 + 进化”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专项行动要求攻关“持续学习”能力；十五五解读：“在物理世界中持续交互、学习与进化的智能形态”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政策背书——“自主进化”是国家对具身智能的定义性要求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定位：训练公司，不造本体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政策以“人形机器人为小切口带动具身智能大产业”，但联合体架构明确为“用户单位、整机企业（或应用服务商）、模型算法、零部件、科研院所”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⚠️ 半符合——政策抓手偏整机，RoboX 可走“应用服务商/模型算法企业”角色入列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场景：实验室/康养/餐车/太空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实景实训重点场景清单含：检测分析、餐饮零售、医疗康养、安全生产、应急救援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全覆盖——候选场景几乎都在国家点名的重点场景清单里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技术：触觉优先（TacWM）+ 数据金字塔 + 端云协同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专项行动要求“高质量真机数据：力位控制曲线、操作执行序列”+“云边端协同、离网自治算力部署”+ 人机混行安全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政策要求的能力恰好是差异化所在（触觉/力控正是安全叙事的底层）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四重锁定之标准锁定：抢“任务验收标准”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标准体系 2026 版 + YD/T 6770 基准测试 + “鼓励企业参与标准化技术委员会”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政策已开门——“验收标准”就是 YD/T 6770 正在定义的“考试大纲”，RoboX 应参编而非另起炉灶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红线：不替代最底层劳动者，创造高价值 AI 工作者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十五五：“新增数据采集员、机器人群体协同运营师等就业岗位超 100 万个”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完全同频——政策讲的就是“机器人创造新职业”，红线正好接住这个叙事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t xml:space="preserve">四、三处必须正视的张力（不调整会踩线）</w:t>
      </w:r>
    </w:p>
    <w:p>
      <w:pPr>
        <w:pStyle w:val="Heading2"/>
      </w:pPr>
      <w:r>
        <w:t xml:space="preserve">张力点 1：不造本体 vs 政策“本体抓手”</w:t>
      </w:r>
    </w:p>
    <w:p>
      <w:pPr>
        <w:spacing w:after="120" w:line="276"/>
      </w:pPr>
      <w:r>
        <w:rPr>
          <w:b/>
          <w:bCs/>
        </w:rPr>
        <w:t xml:space="preserve">政策全链条都围绕“人形机器人/整机”展开（集采、补贴、保险都落在整机侧），RoboX“本体不自研”在申报类目上天然偏软。应对：不硬蹭整机补贴，明确卡位三样政策给非整机玩家的东西——① 创新应用联合体里的“应用服务商”身份（联合体明文允许）；② 数据服务商（政策要“高质量真机数据沉淀”）；③ 标准参编单位（标准体系正在公开征集）。这三样恰好对应四重锁定中的数据/标准两重。</w:t>
      </w:r>
    </w:p>
    <w:p>
      <w:pPr>
        <w:spacing w:after="200" w:before="200"/>
      </w:pPr>
    </w:p>
    <w:p>
      <w:pPr>
        <w:pStyle w:val="Heading2"/>
      </w:pPr>
      <w:r>
        <w:t xml:space="preserve">张力点 2：“数据锁定”叙事 vs 政策“开放共享”导向</w:t>
      </w:r>
    </w:p>
    <w:p>
      <w:pPr>
        <w:spacing w:after="120" w:line="276"/>
      </w:pPr>
      <w:r>
        <w:rPr>
          <w:b/>
          <w:bCs/>
        </w:rPr>
        <w:t xml:space="preserve">专项行动原文：“在保障数据安全、隐私保护、商业秘密前提下稳妥有序开放共享”。“数据内循环不出售”若对外讲成“数据垄断”，会与政策对冲。应对：叙事改为“高质量真机数据生产商 + 合规共享机制下的数据壁垒”——数据壁垒来自“数据质量/稀缺性/加工能力”，而非“不共享”。这既守住护城河，也符合“数据要素”政策语言。</w:t>
      </w:r>
    </w:p>
    <w:p>
      <w:pPr>
        <w:spacing w:after="200" w:before="200"/>
      </w:pPr>
    </w:p>
    <w:p>
      <w:pPr>
        <w:pStyle w:val="Heading2"/>
      </w:pPr>
      <w:r>
        <w:t xml:space="preserve">张力点 3：康复场景的政策窗口与认证门槛</w:t>
      </w:r>
    </w:p>
    <w:p>
      <w:pPr>
        <w:spacing w:after="120" w:line="276"/>
      </w:pPr>
      <w:r>
        <w:rPr>
          <w:b/>
          <w:bCs/>
        </w:rPr>
        <w:t xml:space="preserve">医疗康养在重点场景清单内、民政部八部门明确鼓励养老服务机器人——政策支持在。但要诚实面对：实景实训专项行动要求“涉及行业准入与安全监管的场景，加强与相关行业主管部门沟通会商”——康复的医疗器械认证绕不开。中期条件化的判断不变，但可借政策通道（联合体 + 港大 + 地方卫健）加速认证评估，而非放弃。</w:t>
      </w:r>
    </w:p>
    <w:p>
      <w:pPr>
        <w:spacing w:after="200" w:before="200"/>
      </w:pPr>
    </w:p>
    <w:p>
      <w:pPr>
        <w:pStyle w:val="Heading1"/>
      </w:pPr>
      <w:r>
        <w:t xml:space="preserve">五、即刻可落地的政策动作（有时间窗口）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6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动作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窗口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对接实景实训专项行动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 年度报送 6/30 已截止，但 11/30 成效总结 + 2027 年度报送未到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通过长虹/阿里云/港大渠道，争取进入某省级单位或央企已组建的创新应用联合体（10 省市 + 央企体系），以“应用服务商”身份搭车——这是 2026 最核心的政策资源池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WRC 2026 世界机器人博览会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 月 19-23 日（北京亦创）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同期有“AI 大模型赋能机器人与具身智能产业新范式”专题活动——国家级展示/对接窗口，可安排露脸或调研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标准参编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标准体系 2026 版配套标准持续征集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参与“应用/安全伦理”板块标准研制，抢“任务验收标准”话语权（对应四重锁定第④重）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首台套保险 + 云栖大会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 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保险补贴 80% 可进 ROI 账本降低成本；云栖大会具身智能馆做政策背书叙事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银发经济叙事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持续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民政部八部门文件 + 康养入政策场景清单，可作为政府对 Align 素材；叙事上仍保持“中期条件化”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t xml:space="preserve">六、一句话结论与引用清单</w:t>
      </w:r>
    </w:p>
    <w:p>
      <w:pPr>
        <w:spacing w:after="120" w:line="276"/>
      </w:pPr>
      <w:r>
        <w:rPr>
          <w:b/>
          <w:bCs/>
        </w:rPr>
        <w:t xml:space="preserve">RoboX 的定位踩在国家政策的风口上：商业模式（按效用付费）是政策明文鼓励的、场景在政策重点清单内、技术（触觉/数据/持续学习）是政策要求的能力、红线叙事与“创造新职业”完全同频。需要做的不是改变方向，而是把叙事从“自说自话”升级为“政策对齐”——引用政策原文背书商业模式、以“应用服务商/数据/标准”角色进政策通道、把“数据锁定”改写成“合规共享下的高质量数据壁垒”。</w:t>
      </w:r>
    </w:p>
    <w:p>
      <w:pPr>
        <w:spacing w:after="200" w:before="200"/>
      </w:pPr>
    </w:p>
    <w:p>
      <w:pPr>
        <w:pStyle w:val="Heading2"/>
      </w:pPr>
      <w:r>
        <w:t xml:space="preserve">政策原文引用清单（对外引用时附文号）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“十五五”规划纲要（2026-03-12 通过）：六大未来产业含具身智能；建设“具身智能实训场”；新增就业岗位超 100 万个。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国务院《关于深入实施“人工智能+”行动的意见》（国发〔2025〕11 号，2025-08）：智能体应用普及率 2027 超 70%、2030 超 90%。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工信部、国资委《2026 年度人形机器人与具身智能实景实训专项行动》（工信厅联科函〔2026〕256 号，2026-06-03）：按效用付费、经营性租赁；百个以上高价值应用场景；万台级落地。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工信部《人形机器人与具身智能标准体系（2026 版）》（2026-02-28）：六大板块标准顶层设计。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工信部《YD/T 6770—2026 具身智能基准测试方法》（2026-03）：1 万+ 测试任务、300+ 真实场景、紧急停机 ≤0.1 秒。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民政部等八部门《培育养老服务经营主体促进银发经济发展若干措施》（2026-01-13）：鼓励养老服务机器人产业。</w:t>
      </w:r>
    </w:p>
    <w:p>
      <w:pPr>
        <w:spacing w:after="200" w:before="200"/>
      </w:pPr>
    </w:p>
    <w:p>
      <w:pPr>
        <w:spacing w:after="120" w:before="80" w:line="276"/>
      </w:pPr>
      <w:r>
        <w:rPr>
          <w:i/>
          <w:iCs/>
          <w:color w:val="777777"/>
          <w:sz w:val="18"/>
          <w:szCs w:val="18"/>
        </w:rPr>
        <w:t xml:space="preserve">本分析与《RoboX 商业模式与资本市场故事 V2》配套使用；政策原文以政府官网发布为准，引用前建议二次核对文号与日期。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color w:val="999999"/>
        <w:sz w:val="16"/>
        <w:szCs w:val="16"/>
      </w:rPr>
      <w:t xml:space="preserve">RoboX 内部资料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2E75B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2026-08-13T03:14:14.175Z</dcterms:created>
  <dcterms:modified xsi:type="dcterms:W3CDTF">2026-08-13T03:14:14.180Z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