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b/>
          <w:bCs/>
          <w:color w:val="2E75B6"/>
          <w:sz w:val="52"/>
          <w:szCs w:val="52"/>
        </w:rPr>
        <w:t xml:space="preserve">RoboX 商业模式分析框架 V3</w:t>
      </w:r>
    </w:p>
    <w:p>
      <w:pPr>
        <w:spacing w:before="200"/>
        <w:jc w:val="center"/>
      </w:pPr>
      <w:r>
        <w:rPr>
          <w:color w:val="555555"/>
          <w:sz w:val="26"/>
          <w:szCs w:val="26"/>
        </w:rPr>
        <w:t xml:space="preserve">—— 四范式 × 四重锁定</w:t>
      </w:r>
    </w:p>
    <w:p>
      <w:pPr>
        <w:spacing w:before="1200"/>
      </w:pPr>
    </w:p>
    <w:p>
      <w:pPr>
        <w:jc w:val="center"/>
      </w:pPr>
      <w:r>
        <w:rPr>
          <w:color w:val="888888"/>
          <w:sz w:val="22"/>
          <w:szCs w:val="22"/>
        </w:rPr>
        <w:t xml:space="preserve">2026 年 8 月 20 日</w:t>
      </w:r>
    </w:p>
    <w:p>
      <w:pPr>
        <w:spacing w:before="200"/>
        <w:jc w:val="center"/>
      </w:pPr>
      <w:r>
        <w:rPr>
          <w:color w:val="AAAAAA"/>
          <w:sz w:val="20"/>
          <w:szCs w:val="20"/>
        </w:rPr>
        <w:t xml:space="preserve">升级自 8-08《ROBOX 商业模式分析框架——七范式与三重锁定》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第一部分 框架概述</w:t>
      </w:r>
    </w:p>
    <w:p>
      <w:pPr>
        <w:spacing w:after="120" w:line="276"/>
      </w:pPr>
      <w:r>
        <w:t xml:space="preserve">ROBOX 是不自研硬件的算法公司，核心产品是“手眼脑协同的物理智能系统”。本框架解决一个核心问题：不生产硬件的 AI 算法公司，如何与硬件厂商协同拓展场景，并建立不可替代的竞争壁垒。</w:t>
      </w:r>
    </w:p>
    <w:p>
      <w:pPr>
        <w:spacing w:after="200" w:before="200"/>
      </w:pPr>
    </w:p>
    <w:p>
      <w:pPr>
        <w:spacing w:after="120" w:line="276"/>
      </w:pPr>
      <w:r>
        <w:rPr>
          <w:b/>
          <w:bCs/>
        </w:rPr>
        <w:t xml:space="preserve">核心能力三角（微调后）：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能力维度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具体内容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战略角色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大脑（核心产品）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System 2/1/0 三层架构，Nebula 1.0→1.1（122B 参数），AR 架构 + latent space 通信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智能上限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触觉（关键差异化）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TacWM（Tactile World Model，触觉世界模型）——全球首个预测性触觉模型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自主进化的灵巧操作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Ego 数据（核心壁垒）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Ego（Egocentric，第一视角）数据领先行业 6-12 个月，ViLoS 消融实验 90.6%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人类智能先验，机器人变聪明的源头信号，有时间窗口的数据壁垒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第二部分 本次调整说明（V2 → V3）</w:t>
      </w:r>
    </w:p>
    <w:p>
      <w:pPr>
        <w:spacing w:after="120" w:line="276"/>
      </w:pPr>
      <w:r>
        <w:rPr>
          <w:b/>
          <w:bCs/>
        </w:rPr>
        <w:t xml:space="preserve">8-08 框架提出“七种合作范式 + 三重锁定”。经多轮战略讨论（投资人会议、FA 沟通、商业模式复盘），发现两处结构性问题，故升级为 V3：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七范式混入了三个不同逻辑层级的东西：产品形态（中间件）、合作方式（三方联合/Co-design）、资本手段（引望股权）、经营模式（直对场景）、机制（数据飞轮）、生态打法（标准认证）——路径与机制混讲，对外讲不清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三重锁定中的“硬件生态锁定”在新定位下已虚化（本体是可替换供应商），名义三重实际只剩两重半，需要补充真正属于商业模式维度的第四重。</w:t>
      </w:r>
    </w:p>
    <w:p>
      <w:pPr>
        <w:spacing w:after="200" w:before="200"/>
      </w:pPr>
    </w:p>
    <w:p>
      <w:pPr>
        <w:pStyle w:val="Heading2"/>
      </w:pPr>
      <w:r>
        <w:t xml:space="preserve">2.1 七范式 → 四范式（商业路径）映射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原七范式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压缩去向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中间件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产品形态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Licensing（授权）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三方联合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合作方式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联合方案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Co-design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合作方式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联合方案（深化形式）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引望股权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资本手段（不是路径）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升级为第四重锁定（资本/股权绑定）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直对场景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经营模式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直对场景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数据飞轮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机制（不是路径）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贯穿四种路径的飞轮，不单列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标准认证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生态打法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标准生态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t xml:space="preserve">2.2 三重锁定 → 四重锁定映射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原三重锁定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V2 定位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V3 处理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算法锁定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技术壁垒（1-2 年代差）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降为支撑细节，不再单列为独立锁定——技术壁垒并入“双标准”与技术叙事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数据锁定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网络效应（3-5 年代差）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升级为“高价值数据锁定”（第一重）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硬件生态锁定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已虚化（4.6 分最弱）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移除——本体为可替换供应商，Co-design 降为质量保障手段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标准锁定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行业基础设施（5-10 年）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升级为“双标准锁定”（第三重）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（新增）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补“高价值任务锁定”（第二重）与“资本/股权绑定”（第四重）</w:t>
            </w:r>
          </w:p>
        </w:tc>
      </w:tr>
    </w:tbl>
    <w:p>
      <w:pPr>
        <w:spacing w:after="120" w:before="80" w:line="276"/>
      </w:pPr>
      <w:r>
        <w:rPr>
          <w:i/>
          <w:iCs/>
          <w:color w:val="777777"/>
          <w:sz w:val="18"/>
          <w:szCs w:val="18"/>
        </w:rPr>
        <w:t xml:space="preserve">注：V2《商业模式与资本市场故事》曾提出“四重锁定 2.0”但正文仍写“三层递进、硬件退居工具”，存在内在矛盾。V3 正式补齐第四重，使“四重”名副其实。</w:t>
      </w:r>
    </w:p>
    <w:p>
      <w:pPr>
        <w:spacing w:after="200" w:before="200"/>
      </w:pPr>
    </w:p>
    <w:p>
      <w:pPr>
        <w:pStyle w:val="Heading1"/>
      </w:pPr>
      <w:r>
        <w:t xml:space="preserve">第三部分 四范式（怎么进入市场 / 怎么赚钱）</w:t>
      </w:r>
    </w:p>
    <w:p>
      <w:pPr>
        <w:spacing w:after="120" w:line="276"/>
      </w:pPr>
      <w:r>
        <w:rPr>
          <w:b/>
          <w:bCs/>
        </w:rPr>
        <w:t xml:space="preserve">四条互斥、完备、好记的商业路径，覆盖公司发展全生命周期：</w:t>
      </w:r>
    </w:p>
    <w:p>
      <w:pPr>
        <w:spacing w:after="200" w:before="20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600"/>
        <w:gridCol w:w="2000"/>
        <w:gridCol w:w="2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四范式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对应原范式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标杆案例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收入模式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Licensing 授权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以 SDK/API 即插即用方式授权中间件、触觉组件与模型能力；本体厂商保持自主品牌和客户关系，ROBOX 做“手眼脑协同脑区”而非“全脑”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中间件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Skild AI（150 亿美元）× ABB/UR/NVIDIA——Skild Brain 嵌入主流平台不造本体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按设备数 License 收费，单台 500-2000 元/年；模型能力授权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 联合方案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ROBOX + 本体厂商 + 场景方三方联合；从硬件设计阶段 Co-design 介入，ROBOX 做技术“胶水”与总集成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三方联合 + Co-design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星源智造 × 中力机械叉车；手机行业“芯片+系统+算法”绑定（高通骁龙 + 安卓）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项目制 200-500 万 + 年度服务费；Co-design 授权费 + 量产分成 500-2000 万/产品线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 直对场景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ROBOX 直接作为总集成商面对场景方，交付“任务结果”；掌控客户关系、方案设计与数据回流全链路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直对场景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星源智造 × 中力机械 + 亦邦机器人——算法公司做总集成商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解决方案销售 + 年度运维 + 按任务结果分成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4. 标准生态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发布“Powered by ROBOX”认证体系 + 维塔 CP 通信标准 + AI 工作者任务验收标准，将能力固化为行业基础设施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标准认证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NVIDIA “CUDA Compatible” / ARM 架构授权 / Intel Inside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认证授权费 + 标准专利池 + 生态分成</w:t>
            </w:r>
          </w:p>
        </w:tc>
      </w:tr>
    </w:tbl>
    <w:p>
      <w:pPr>
        <w:spacing w:after="200" w:before="200"/>
      </w:pPr>
    </w:p>
    <w:p>
      <w:pPr>
        <w:spacing w:after="120" w:line="276"/>
      </w:pPr>
      <w:r>
        <w:rPr>
          <w:b/>
          <w:bCs/>
        </w:rPr>
        <w:t xml:space="preserve">数据飞轮贯穿 1-4：每一条路径都回流数据，不单独列为路径。</w:t>
      </w:r>
    </w:p>
    <w:p>
      <w:pPr>
        <w:spacing w:after="120" w:line="276"/>
      </w:pPr>
      <w:r>
        <w:t xml:space="preserve">“卖什么”的商业单位是任务结果——因此收入结构重心必须前移到“直对场景 + 数据飞轮”。</w:t>
      </w:r>
    </w:p>
    <w:p>
      <w:pPr>
        <w:spacing w:after="200" w:before="200"/>
      </w:pPr>
    </w:p>
    <w:p>
      <w:pPr>
        <w:pStyle w:val="Heading1"/>
      </w:pPr>
      <w:r>
        <w:t xml:space="preserve">第四部分 四重锁定（壁垒在哪）</w:t>
      </w:r>
    </w:p>
    <w:p>
      <w:pPr>
        <w:spacing w:after="120" w:line="276"/>
      </w:pPr>
      <w:r>
        <w:rPr>
          <w:b/>
          <w:bCs/>
        </w:rPr>
        <w:t xml:space="preserve">四重锁定是四种范式的底层支撑——每重锁定对应不同竞争壁垒，回答“为什么别人拿不走”：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24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四重锁定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机制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为什么成立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对标案例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① 高价值数据锁定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高价值场景（实验室/康复/科研）产出的 Ego+触觉数据，金字塔顶层与高价值任务绑定；数据飞轮内循环，越积累越强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后入场者无数据可训，3-5 年数据代差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Skild Brain data flywheel——部署越多 → 数据越多 → 模型越强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② 高价值任务锁定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锁定高价值任务的运营权 + 排他合同 + 数据回流入口；客户界面由 ROBOX 直接掌控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合同可抢、数据可买，但“任务运营权 + 客户界面”短期不可替代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星源智造掌控客户界面，本体厂商变供应商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③ 双标准锁定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维塔 CP 协议锁“通信标准” + 抢“AI 工作者任务验收标准”——谁定义“任务做到什么程度算完成”，谁掌握定价权与生态入场券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行业基础设施级锁定，5-10 年生态代差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NVIDIA CUDA / Intel Inside——标准成为行业默认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④ 资本/股权绑定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合资公司、产业基金、引望式股权——把场景方/硬件方/标准采纳者绑成利益共同体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数据可买、合同可抢、标准可超车，但股权让“对手变同船”，换了就伤筋动骨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华为引望（股权+生态绑定）；大客户入股技术供应商</w:t>
            </w:r>
          </w:p>
        </w:tc>
      </w:tr>
    </w:tbl>
    <w:p>
      <w:pPr>
        <w:spacing w:after="200" w:before="200"/>
      </w:pPr>
    </w:p>
    <w:p>
      <w:pPr>
        <w:spacing w:after="120" w:line="276"/>
      </w:pPr>
      <w:r>
        <w:rPr>
          <w:b/>
          <w:bCs/>
        </w:rPr>
        <w:t xml:space="preserve">四重锁定的递进逻辑：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第一重：高价值数据锁定——解决“有没有资格训”，后入场者无高价值数据可训。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第二重：高价值任务锁定——解决“钱从哪里来”，锁定任务的运营权、排他合同与数据回流入口。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第三重：双标准锁定——解决“必须用”，行业默认采用 ROBOX 标准，竞争对手必须适配而非替代。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第四重：资本/股权绑定——解决“换不掉”，把对手变成利益共同体，是唯一“换了就伤筋动骨”的壁垒。</w:t>
      </w:r>
    </w:p>
    <w:p>
      <w:pPr>
        <w:spacing w:after="200" w:before="200"/>
      </w:pPr>
    </w:p>
    <w:p>
      <w:pPr>
        <w:spacing w:after="120" w:line="276"/>
      </w:pPr>
      <w:r>
        <w:rPr>
          <w:b/>
          <w:bCs/>
        </w:rPr>
        <w:t xml:space="preserve">最终形态：高价值数据 → 高价值任务 → 双标准 → 资本/股权，四重递进。硬件退居工具——我们是一家训练公司，不是硬件公司，投资人听到的每一重锁定都指向“任务结果”与“数据/标准”，而非“卖硬件”。</w:t>
      </w:r>
    </w:p>
    <w:p>
      <w:pPr>
        <w:spacing w:after="200" w:before="200"/>
      </w:pPr>
    </w:p>
    <w:p>
      <w:pPr>
        <w:pStyle w:val="Heading1"/>
      </w:pPr>
      <w:r>
        <w:t xml:space="preserve">第五部分 框架总览：四范式 × 四重锁定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700"/>
        <w:gridCol w:w="20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Licensing 授权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联合方案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直对场景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标准生态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高价值数据锁定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数据回流起点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场景数据沉淀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数据回流入口（最强）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标准数据格式固化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高价值任务锁定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联合锁定任务运营权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排他合同 + 客户界面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任务验收标准定义权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双标准锁定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组件接口标准化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Co-design 规格标准化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验收标准试点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维塔 CP + 验收标准（终局）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资本/股权绑定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三方合资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场景方引望式入股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生态基金 + 标准组织</w:t>
            </w:r>
          </w:p>
        </w:tc>
      </w:tr>
    </w:tbl>
    <w:p>
      <w:pPr>
        <w:spacing w:after="120" w:before="80" w:line="276"/>
      </w:pPr>
      <w:r>
        <w:rPr>
          <w:i/>
          <w:iCs/>
          <w:color w:val="777777"/>
          <w:sz w:val="18"/>
          <w:szCs w:val="18"/>
        </w:rPr>
        <w:t xml:space="preserve">矩阵说明：四种路径与四重锁定并非一一对应，而是每一条路径都会为锁定体系贡献不同环节；“直对场景”是数据与任务锁定的最强入口，“标准生态”是锁定的终局形态。</w:t>
      </w:r>
    </w:p>
    <w:p>
      <w:pPr>
        <w:spacing w:after="200" w:before="200"/>
      </w:pPr>
    </w:p>
    <w:p>
      <w:pPr>
        <w:pStyle w:val="Heading1"/>
      </w:pPr>
      <w:r>
        <w:t xml:space="preserve">第六部分 分阶段执行路径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300"/>
        <w:gridCol w:w="2800"/>
        <w:gridCol w:w="1400"/>
        <w:gridCol w:w="1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核心范式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关键动作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锁定目标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预期收入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 启动期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0-6 个月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Licensing + 直对场景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System 1/0 SDK 接入越疆/擎朗；三方方案落地长虹（酒店/餐饮）；首任务（实验室湿实验自动化）启动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高价值任务锁定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500-1000 万（项目制）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2 扩张期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6-18 个月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联合方案 + 直对场景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Co-design 因诺特灵巧手；引入战略股东（长虹/阿里）；启动数据回流；发布 tech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高价值数据 + 任务锁定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2000-5000 万（License + 数据服务）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3 生态期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18-36 个月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标准生态 + 资本绑定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数据飞轮加速；发布“Powered by ROBOX”认证；参与行业标准制定；合资公司落地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双标准 + 资本/股权锁定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1-3 亿（认证 + 生态分成）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第七部分 范式组合策略</w:t>
      </w:r>
    </w:p>
    <w:p>
      <w:pPr>
        <w:spacing w:after="120" w:line="276"/>
      </w:pPr>
      <w:r>
        <w:rPr>
          <w:b/>
          <w:bCs/>
        </w:rPr>
        <w:t xml:space="preserve">四种范式并非线性递进，而是根据合作伙伴类型和场景特征灵活组合：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合作伙伴类型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推荐范式组合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组合逻辑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本体厂商（越疆/擎朗等）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Licensing → 联合方案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先通过 SDK 嵌入建立技术依赖，再升级为联合定义硬件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场景 SI 伙伴（长虹等）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联合方案 → 直对场景 → 资本绑定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先联合方案验证价值，再掌控客户界面，最后通过股权绑定长期合作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终端场景方（酒店/餐饮/实验室）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直对场景（数据飞轮贯穿）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直接掌控客户关系，以部署换数据，启动飞轮循环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大平台（阿里/字节）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资本绑定 → 标准生态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通过股权绑定战略资源，共建行业标准生态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政府/高校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直对场景 → 标准生态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共建数据采集基建，争取标准话语权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产业方/CVC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联合方案 + 资本绑定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关注业务协同和股权绑定，通过 Co-design 与引望式股权建立深度绑定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第八部分 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00"/>
        <w:gridCol w:w="3400"/>
        <w:gridCol w:w="18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等级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应对策略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对应框架调整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本体厂商自研触觉算法替代 ROBOX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通过联合方案 Co-design 深度绑定，硬件围绕算法设计，更换成本高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加速联合方案落地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竞争对手复制触觉技术路线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通过高价值数据锁定建立网络效应，后入场者无高价值数据可训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加速数据回流闭环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标准被竞争对手抢占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提前发布 tech report + 参与国地中心联盟；维塔 CP 已开源获英伟达关注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提前布局双标准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客户要求自研替代采购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通过资本/股权绑定大客户 + 直对场景掌控客户界面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优先推进直对场景 + 资本绑定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高价值数据采集成本过高飞轮无法启动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政府驱动数据采集基建（青岛模式 + 无锡机制）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政府合作优先推进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融资节奏不及预期，资本绑定无载体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下一轮融资（40-50 亿估值）引入战略股东是最佳窗口；长虹已有合作基础，可率先探讨股权合作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资本绑定范式提前布局</w:t>
            </w:r>
          </w:p>
        </w:tc>
      </w:tr>
    </w:tbl>
    <w:p>
      <w:pPr>
        <w:spacing w:after="200" w:before="200"/>
      </w:pPr>
    </w:p>
    <w:p>
      <w:pPr>
        <w:spacing w:after="120" w:before="80" w:line="276"/>
      </w:pPr>
      <w:r>
        <w:rPr>
          <w:i/>
          <w:iCs/>
          <w:color w:val="777777"/>
          <w:sz w:val="18"/>
          <w:szCs w:val="18"/>
        </w:rPr>
        <w:t xml:space="preserve">本框架升级自 8-08《ROBOX 商业模式分析框架——七范式与三重锁定》，七范式内容与原始分析完整保留于白皮书与历史文档，V3 为对外统一的叙事框架。仅供内部战略参考。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color w:val="999999"/>
        <w:sz w:val="16"/>
        <w:szCs w:val="16"/>
      </w:rPr>
      <w:t xml:space="preserve">RoboX 内部资料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2E75B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2026-08-20T13:20:49.625Z</dcterms:created>
  <dcterms:modified xsi:type="dcterms:W3CDTF">2026-08-20T13:20:49.631Z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