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FB7315">
      <w:bookmarkStart w:id="0" w:name="_GoBack"/>
      <w:bookmarkEnd w:id="0"/>
    </w:p>
    <w:p w14:paraId="20C7AC80"/>
    <w:p w14:paraId="6E63B5C6">
      <w:pPr>
        <w:ind w:firstLine="420"/>
      </w:pPr>
    </w:p>
    <w:p w14:paraId="71151FBD">
      <w:pPr>
        <w:jc w:val="center"/>
      </w:pPr>
      <w:r>
        <w:rPr>
          <w:rFonts w:ascii="微软雅黑" w:hAnsi="微软雅黑" w:eastAsia="微软雅黑"/>
          <w:b/>
          <w:color w:val="1A3C6E"/>
          <w:sz w:val="56"/>
        </w:rPr>
        <w:t>RoboX Robotics</w:t>
      </w:r>
    </w:p>
    <w:p w14:paraId="77DC5EA9">
      <w:pPr>
        <w:jc w:val="center"/>
      </w:pPr>
      <w:r>
        <w:rPr>
          <w:rFonts w:ascii="微软雅黑" w:hAnsi="微软雅黑" w:eastAsia="微软雅黑"/>
          <w:b/>
          <w:color w:val="1A3C6E"/>
          <w:sz w:val="36"/>
        </w:rPr>
        <w:t>竞争格局、投资机构与FA调研</w:t>
      </w:r>
    </w:p>
    <w:p w14:paraId="3C70709A"/>
    <w:p w14:paraId="19AFAEB8">
      <w:pPr>
        <w:jc w:val="center"/>
      </w:pPr>
      <w:r>
        <w:rPr>
          <w:rFonts w:ascii="微软雅黑" w:hAnsi="微软雅黑" w:eastAsia="微软雅黑"/>
          <w:color w:val="666666"/>
          <w:sz w:val="26"/>
        </w:rPr>
        <w:t>投资尽职调查配套研究</w:t>
      </w:r>
    </w:p>
    <w:p w14:paraId="575D30FC"/>
    <w:p w14:paraId="23B918A7">
      <w:pPr>
        <w:jc w:val="center"/>
      </w:pPr>
      <w:r>
        <w:rPr>
          <w:rFonts w:ascii="微软雅黑" w:hAnsi="微软雅黑" w:eastAsia="微软雅黑"/>
          <w:color w:val="999999"/>
          <w:sz w:val="24"/>
        </w:rPr>
        <w:t>2026年7月23日</w:t>
      </w:r>
    </w:p>
    <w:p w14:paraId="54A4DF0C">
      <w:pPr>
        <w:jc w:val="center"/>
      </w:pPr>
      <w:r>
        <w:rPr>
          <w:rFonts w:ascii="微软雅黑" w:hAnsi="微软雅黑" w:eastAsia="微软雅黑"/>
          <w:i/>
          <w:color w:val="999999"/>
          <w:sz w:val="20"/>
        </w:rPr>
        <w:t>机密 | 仅供内部决策使用</w:t>
      </w:r>
    </w:p>
    <w:p w14:paraId="4AFBC1E0">
      <w:r>
        <w:br w:type="page"/>
      </w:r>
    </w:p>
    <w:p w14:paraId="7F025A3E">
      <w:pPr>
        <w:pStyle w:val="3"/>
      </w:pPr>
      <w:r>
        <w:rPr>
          <w:rFonts w:ascii="微软雅黑" w:hAnsi="微软雅黑" w:eastAsia="微软雅黑"/>
        </w:rPr>
        <w:t>一、RoboX全球主要竞争对手</w:t>
      </w:r>
    </w:p>
    <w:p w14:paraId="3E839D25">
      <w:pPr>
        <w:pStyle w:val="4"/>
      </w:pPr>
      <w:r>
        <w:rPr>
          <w:rFonts w:ascii="微软雅黑" w:hAnsi="微软雅黑" w:eastAsia="微软雅黑"/>
        </w:rPr>
        <w:t>1.1 美国/欧洲阵营</w:t>
      </w:r>
    </w:p>
    <w:p w14:paraId="0F391F3D">
      <w:pPr>
        <w:ind w:firstLine="420"/>
      </w:pPr>
      <w:r>
        <w:rPr>
          <w:rFonts w:ascii="微软雅黑" w:hAnsi="微软雅黑" w:eastAsia="微软雅黑"/>
        </w:rPr>
        <w:t>RoboX在全球面临的最直接竞争来自美国的"通用机器人大脑"玩家——Physical Intelligence和SKILD AI，它们同样追求跨本体的通用操作模型。</w:t>
      </w:r>
    </w:p>
    <w:p w14:paraId="6169EE39">
      <w:pPr>
        <w:ind w:firstLine="420"/>
      </w:pPr>
      <w:r>
        <w:rPr>
          <w:rFonts w:ascii="微软雅黑" w:hAnsi="微软雅黑" w:eastAsia="微软雅黑"/>
        </w:rPr>
        <w:t>Physical Intelligence（PI）是当前估值最高的具身智能独立公司，2025年11月完成约60亿美元C轮融资，估值达到540亿美元。投资方包括Thrive Capital、a16z和Jeff Bezos。PI的pi0模型在灵巧操作领域建立了行业标杆，但其在真实场景的成功率约70.4%，低于RoboX公布的90.6%。</w:t>
      </w:r>
    </w:p>
    <w:p w14:paraId="2D2CDAB7">
      <w:pPr>
        <w:ind w:firstLine="420"/>
      </w:pPr>
      <w:r>
        <w:rPr>
          <w:rFonts w:ascii="微软雅黑" w:hAnsi="微软雅黑" w:eastAsia="微软雅黑"/>
        </w:rPr>
        <w:t>SKILD AI于2026年1月完成14亿美元C轮，估值约140亿美元，投资方包括SoftBank、NVIDIA和Sequoia。SKILD定位为"机器人的基础模型公司"，技术路线与RoboX的System 0/1/2分层架构最为接近，但更侧重仿真到现实的迁移（sim-to-real）。</w:t>
      </w:r>
    </w:p>
    <w:p w14:paraId="7F10D8F0">
      <w:pPr>
        <w:ind w:firstLine="420"/>
      </w:pPr>
      <w:r>
        <w:rPr>
          <w:rFonts w:ascii="微软雅黑" w:hAnsi="微软雅黑" w:eastAsia="微软雅黑"/>
        </w:rPr>
        <w:t>Figure AI估值约390亿美元，投资方包括Microsoft、OpenAI、Bezos和NVIDIA。Figure的优势在于硬件本体的量产能力，已与BMW签订工厂部署合同，但其智能层主要依赖OpenAI的大语言模型驱动。</w:t>
      </w:r>
    </w:p>
    <w:p w14:paraId="57E78433">
      <w:pPr>
        <w:ind w:firstLine="420"/>
      </w:pPr>
      <w:r>
        <w:rPr>
          <w:rFonts w:ascii="微软雅黑" w:hAnsi="微软雅黑" w:eastAsia="微软雅黑"/>
        </w:rPr>
        <w:t>Tesla Optimus作为特斯拉内部项目，每年研发投入约10-20亿美元，计划2026年在工厂内部署数千台。1X Technologies（挪威）估值约100亿美元，OpenAI是其重要投资方。Apptronik累计融资约9.35亿美元，估值超50亿美元。Agility Robotics估值约25亿美元，正推进SPAC上市。Boston Dynamics作为现代汽车子公司，运动能力行业领先但商业化缓慢。</w:t>
      </w:r>
    </w:p>
    <w:p w14:paraId="5C0173D0"/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1247"/>
        <w:gridCol w:w="1984"/>
        <w:gridCol w:w="1984"/>
        <w:gridCol w:w="1871"/>
      </w:tblGrid>
      <w:tr w14:paraId="1AA85D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1A3C6E"/>
          </w:tcPr>
          <w:p w14:paraId="4CF41A78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公司</w:t>
            </w:r>
          </w:p>
        </w:tc>
        <w:tc>
          <w:tcPr>
            <w:tcW w:w="1247" w:type="dxa"/>
            <w:shd w:val="clear" w:color="auto" w:fill="1A3C6E"/>
          </w:tcPr>
          <w:p w14:paraId="79CD89FC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</w:t>
            </w:r>
          </w:p>
        </w:tc>
        <w:tc>
          <w:tcPr>
            <w:tcW w:w="1984" w:type="dxa"/>
            <w:shd w:val="clear" w:color="auto" w:fill="1A3C6E"/>
          </w:tcPr>
          <w:p w14:paraId="33B4096A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最新融资</w:t>
            </w:r>
          </w:p>
        </w:tc>
        <w:tc>
          <w:tcPr>
            <w:tcW w:w="1984" w:type="dxa"/>
            <w:shd w:val="clear" w:color="auto" w:fill="1A3C6E"/>
          </w:tcPr>
          <w:p w14:paraId="21EF6D6E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核心投资方</w:t>
            </w:r>
          </w:p>
        </w:tc>
        <w:tc>
          <w:tcPr>
            <w:tcW w:w="1871" w:type="dxa"/>
            <w:shd w:val="clear" w:color="auto" w:fill="1A3C6E"/>
          </w:tcPr>
          <w:p w14:paraId="00CC0538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技术路线</w:t>
            </w:r>
          </w:p>
        </w:tc>
      </w:tr>
      <w:tr w14:paraId="0AE401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080E196E">
            <w:r>
              <w:rPr>
                <w:rFonts w:ascii="微软雅黑" w:hAnsi="微软雅黑" w:eastAsia="微软雅黑"/>
                <w:sz w:val="18"/>
              </w:rPr>
              <w:t>Physical Intelligence</w:t>
            </w:r>
          </w:p>
        </w:tc>
        <w:tc>
          <w:tcPr>
            <w:tcW w:w="1247" w:type="dxa"/>
          </w:tcPr>
          <w:p w14:paraId="01DACFA5">
            <w:r>
              <w:rPr>
                <w:rFonts w:ascii="微软雅黑" w:hAnsi="微软雅黑" w:eastAsia="微软雅黑"/>
                <w:sz w:val="18"/>
              </w:rPr>
              <w:t>540亿美元</w:t>
            </w:r>
          </w:p>
        </w:tc>
        <w:tc>
          <w:tcPr>
            <w:tcW w:w="1984" w:type="dxa"/>
          </w:tcPr>
          <w:p w14:paraId="6054875D">
            <w:r>
              <w:rPr>
                <w:rFonts w:ascii="微软雅黑" w:hAnsi="微软雅黑" w:eastAsia="微软雅黑"/>
                <w:sz w:val="18"/>
              </w:rPr>
              <w:t>60亿美元C轮(2025.11)</w:t>
            </w:r>
          </w:p>
        </w:tc>
        <w:tc>
          <w:tcPr>
            <w:tcW w:w="1984" w:type="dxa"/>
          </w:tcPr>
          <w:p w14:paraId="3B4BDDC9">
            <w:r>
              <w:rPr>
                <w:rFonts w:ascii="微软雅黑" w:hAnsi="微软雅黑" w:eastAsia="微软雅黑"/>
                <w:sz w:val="18"/>
              </w:rPr>
              <w:t>Thrive, a16z, Bezos</w:t>
            </w:r>
          </w:p>
        </w:tc>
        <w:tc>
          <w:tcPr>
            <w:tcW w:w="1871" w:type="dxa"/>
          </w:tcPr>
          <w:p w14:paraId="60E4C213">
            <w:r>
              <w:rPr>
                <w:rFonts w:ascii="微软雅黑" w:hAnsi="微软雅黑" w:eastAsia="微软雅黑"/>
                <w:sz w:val="18"/>
              </w:rPr>
              <w:t>通用操作模型(pi0)</w:t>
            </w:r>
          </w:p>
        </w:tc>
      </w:tr>
      <w:tr w14:paraId="747545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0F4F8"/>
          </w:tcPr>
          <w:p w14:paraId="3FD0B4EB">
            <w:r>
              <w:rPr>
                <w:rFonts w:ascii="微软雅黑" w:hAnsi="微软雅黑" w:eastAsia="微软雅黑"/>
                <w:sz w:val="18"/>
              </w:rPr>
              <w:t>SKILD AI</w:t>
            </w:r>
          </w:p>
        </w:tc>
        <w:tc>
          <w:tcPr>
            <w:tcW w:w="1247" w:type="dxa"/>
            <w:shd w:val="clear" w:color="auto" w:fill="F0F4F8"/>
          </w:tcPr>
          <w:p w14:paraId="7FBA2E95">
            <w:r>
              <w:rPr>
                <w:rFonts w:ascii="微软雅黑" w:hAnsi="微软雅黑" w:eastAsia="微软雅黑"/>
                <w:sz w:val="18"/>
              </w:rPr>
              <w:t>140亿美元</w:t>
            </w:r>
          </w:p>
        </w:tc>
        <w:tc>
          <w:tcPr>
            <w:tcW w:w="1984" w:type="dxa"/>
            <w:shd w:val="clear" w:color="auto" w:fill="F0F4F8"/>
          </w:tcPr>
          <w:p w14:paraId="420F9A10">
            <w:r>
              <w:rPr>
                <w:rFonts w:ascii="微软雅黑" w:hAnsi="微软雅黑" w:eastAsia="微软雅黑"/>
                <w:sz w:val="18"/>
              </w:rPr>
              <w:t>14亿美元C轮(2026.1)</w:t>
            </w:r>
          </w:p>
        </w:tc>
        <w:tc>
          <w:tcPr>
            <w:tcW w:w="1984" w:type="dxa"/>
            <w:shd w:val="clear" w:color="auto" w:fill="F0F4F8"/>
          </w:tcPr>
          <w:p w14:paraId="2DD473B3">
            <w:r>
              <w:rPr>
                <w:rFonts w:ascii="微软雅黑" w:hAnsi="微软雅黑" w:eastAsia="微软雅黑"/>
                <w:sz w:val="18"/>
              </w:rPr>
              <w:t>SoftBank, NVIDIA, Sequoia</w:t>
            </w:r>
          </w:p>
        </w:tc>
        <w:tc>
          <w:tcPr>
            <w:tcW w:w="1871" w:type="dxa"/>
            <w:shd w:val="clear" w:color="auto" w:fill="F0F4F8"/>
          </w:tcPr>
          <w:p w14:paraId="6880977D">
            <w:r>
              <w:rPr>
                <w:rFonts w:ascii="微软雅黑" w:hAnsi="微软雅黑" w:eastAsia="微软雅黑"/>
                <w:sz w:val="18"/>
              </w:rPr>
              <w:t>通用基础模型</w:t>
            </w:r>
          </w:p>
        </w:tc>
      </w:tr>
      <w:tr w14:paraId="213D53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763F7E87">
            <w:r>
              <w:rPr>
                <w:rFonts w:ascii="微软雅黑" w:hAnsi="微软雅黑" w:eastAsia="微软雅黑"/>
                <w:sz w:val="18"/>
              </w:rPr>
              <w:t>Figure AI</w:t>
            </w:r>
          </w:p>
        </w:tc>
        <w:tc>
          <w:tcPr>
            <w:tcW w:w="1247" w:type="dxa"/>
          </w:tcPr>
          <w:p w14:paraId="0C86E78D">
            <w:r>
              <w:rPr>
                <w:rFonts w:ascii="微软雅黑" w:hAnsi="微软雅黑" w:eastAsia="微软雅黑"/>
                <w:sz w:val="18"/>
              </w:rPr>
              <w:t>390亿美元</w:t>
            </w:r>
          </w:p>
        </w:tc>
        <w:tc>
          <w:tcPr>
            <w:tcW w:w="1984" w:type="dxa"/>
          </w:tcPr>
          <w:p w14:paraId="735675BD">
            <w:r>
              <w:rPr>
                <w:rFonts w:ascii="微软雅黑" w:hAnsi="微软雅黑" w:eastAsia="微软雅黑"/>
                <w:sz w:val="18"/>
              </w:rPr>
              <w:t>10亿美元C轮(2025)</w:t>
            </w:r>
          </w:p>
        </w:tc>
        <w:tc>
          <w:tcPr>
            <w:tcW w:w="1984" w:type="dxa"/>
          </w:tcPr>
          <w:p w14:paraId="4475D234">
            <w:r>
              <w:rPr>
                <w:rFonts w:ascii="微软雅黑" w:hAnsi="微软雅黑" w:eastAsia="微软雅黑"/>
                <w:sz w:val="18"/>
              </w:rPr>
              <w:t>Microsoft, OpenAI, NVIDIA</w:t>
            </w:r>
          </w:p>
        </w:tc>
        <w:tc>
          <w:tcPr>
            <w:tcW w:w="1871" w:type="dxa"/>
          </w:tcPr>
          <w:p w14:paraId="4491C778">
            <w:r>
              <w:rPr>
                <w:rFonts w:ascii="微软雅黑" w:hAnsi="微软雅黑" w:eastAsia="微软雅黑"/>
                <w:sz w:val="18"/>
              </w:rPr>
              <w:t>硬件+LLM驱动</w:t>
            </w:r>
          </w:p>
        </w:tc>
      </w:tr>
      <w:tr w14:paraId="3128D6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0F4F8"/>
          </w:tcPr>
          <w:p w14:paraId="12A61DB1">
            <w:r>
              <w:rPr>
                <w:rFonts w:ascii="微软雅黑" w:hAnsi="微软雅黑" w:eastAsia="微软雅黑"/>
                <w:sz w:val="18"/>
              </w:rPr>
              <w:t>Tesla Optimus</w:t>
            </w:r>
          </w:p>
        </w:tc>
        <w:tc>
          <w:tcPr>
            <w:tcW w:w="1247" w:type="dxa"/>
            <w:shd w:val="clear" w:color="auto" w:fill="F0F4F8"/>
          </w:tcPr>
          <w:p w14:paraId="20B91A0D">
            <w:r>
              <w:rPr>
                <w:rFonts w:ascii="微软雅黑" w:hAnsi="微软雅黑" w:eastAsia="微软雅黑"/>
                <w:sz w:val="18"/>
              </w:rPr>
              <w:t>N/A(内部)</w:t>
            </w:r>
          </w:p>
        </w:tc>
        <w:tc>
          <w:tcPr>
            <w:tcW w:w="1984" w:type="dxa"/>
            <w:shd w:val="clear" w:color="auto" w:fill="F0F4F8"/>
          </w:tcPr>
          <w:p w14:paraId="15FFCBBF">
            <w:r>
              <w:rPr>
                <w:rFonts w:ascii="微软雅黑" w:hAnsi="微软雅黑" w:eastAsia="微软雅黑"/>
                <w:sz w:val="18"/>
              </w:rPr>
              <w:t>年投入10-20亿美元</w:t>
            </w:r>
          </w:p>
        </w:tc>
        <w:tc>
          <w:tcPr>
            <w:tcW w:w="1984" w:type="dxa"/>
            <w:shd w:val="clear" w:color="auto" w:fill="F0F4F8"/>
          </w:tcPr>
          <w:p w14:paraId="56E27A8D">
            <w:r>
              <w:rPr>
                <w:rFonts w:ascii="微软雅黑" w:hAnsi="微软雅黑" w:eastAsia="微软雅黑"/>
                <w:sz w:val="18"/>
              </w:rPr>
              <w:t>Tesla</w:t>
            </w:r>
          </w:p>
        </w:tc>
        <w:tc>
          <w:tcPr>
            <w:tcW w:w="1871" w:type="dxa"/>
            <w:shd w:val="clear" w:color="auto" w:fill="F0F4F8"/>
          </w:tcPr>
          <w:p w14:paraId="468793EE">
            <w:r>
              <w:rPr>
                <w:rFonts w:ascii="微软雅黑" w:hAnsi="微软雅黑" w:eastAsia="微软雅黑"/>
                <w:sz w:val="18"/>
              </w:rPr>
              <w:t>制造业闭环</w:t>
            </w:r>
          </w:p>
        </w:tc>
      </w:tr>
      <w:tr w14:paraId="2AD89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16517F2D">
            <w:r>
              <w:rPr>
                <w:rFonts w:ascii="微软雅黑" w:hAnsi="微软雅黑" w:eastAsia="微软雅黑"/>
                <w:sz w:val="18"/>
              </w:rPr>
              <w:t>1X Technologies</w:t>
            </w:r>
          </w:p>
        </w:tc>
        <w:tc>
          <w:tcPr>
            <w:tcW w:w="1247" w:type="dxa"/>
          </w:tcPr>
          <w:p w14:paraId="52125D2A">
            <w:r>
              <w:rPr>
                <w:rFonts w:ascii="微软雅黑" w:hAnsi="微软雅黑" w:eastAsia="微软雅黑"/>
                <w:sz w:val="18"/>
              </w:rPr>
              <w:t>100亿美元</w:t>
            </w:r>
          </w:p>
        </w:tc>
        <w:tc>
          <w:tcPr>
            <w:tcW w:w="1984" w:type="dxa"/>
          </w:tcPr>
          <w:p w14:paraId="428B3887">
            <w:r>
              <w:rPr>
                <w:rFonts w:ascii="微软雅黑" w:hAnsi="微软雅黑" w:eastAsia="微软雅黑"/>
                <w:sz w:val="18"/>
              </w:rPr>
              <w:t>融资10亿美元(2025.9)</w:t>
            </w:r>
          </w:p>
        </w:tc>
        <w:tc>
          <w:tcPr>
            <w:tcW w:w="1984" w:type="dxa"/>
          </w:tcPr>
          <w:p w14:paraId="340C596E">
            <w:r>
              <w:rPr>
                <w:rFonts w:ascii="微软雅黑" w:hAnsi="微软雅黑" w:eastAsia="微软雅黑"/>
                <w:sz w:val="18"/>
              </w:rPr>
              <w:t>OpenAI, EQT, Tiger</w:t>
            </w:r>
          </w:p>
        </w:tc>
        <w:tc>
          <w:tcPr>
            <w:tcW w:w="1871" w:type="dxa"/>
          </w:tcPr>
          <w:p w14:paraId="547DA632">
            <w:r>
              <w:rPr>
                <w:rFonts w:ascii="微软雅黑" w:hAnsi="微软雅黑" w:eastAsia="微软雅黑"/>
                <w:sz w:val="18"/>
              </w:rPr>
              <w:t>家庭场景(NEO)</w:t>
            </w:r>
          </w:p>
        </w:tc>
      </w:tr>
      <w:tr w14:paraId="4F7F77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0F4F8"/>
          </w:tcPr>
          <w:p w14:paraId="704B53E9">
            <w:r>
              <w:rPr>
                <w:rFonts w:ascii="微软雅黑" w:hAnsi="微软雅黑" w:eastAsia="微软雅黑"/>
                <w:sz w:val="18"/>
              </w:rPr>
              <w:t>Apptronik</w:t>
            </w:r>
          </w:p>
        </w:tc>
        <w:tc>
          <w:tcPr>
            <w:tcW w:w="1247" w:type="dxa"/>
            <w:shd w:val="clear" w:color="auto" w:fill="F0F4F8"/>
          </w:tcPr>
          <w:p w14:paraId="4C3477A0">
            <w:r>
              <w:rPr>
                <w:rFonts w:ascii="微软雅黑" w:hAnsi="微软雅黑" w:eastAsia="微软雅黑"/>
                <w:sz w:val="18"/>
              </w:rPr>
              <w:t>50亿美元+</w:t>
            </w:r>
          </w:p>
        </w:tc>
        <w:tc>
          <w:tcPr>
            <w:tcW w:w="1984" w:type="dxa"/>
            <w:shd w:val="clear" w:color="auto" w:fill="F0F4F8"/>
          </w:tcPr>
          <w:p w14:paraId="636D26EF">
            <w:r>
              <w:rPr>
                <w:rFonts w:ascii="微软雅黑" w:hAnsi="微软雅黑" w:eastAsia="微软雅黑"/>
                <w:sz w:val="18"/>
              </w:rPr>
              <w:t>累计9.35亿美元</w:t>
            </w:r>
          </w:p>
        </w:tc>
        <w:tc>
          <w:tcPr>
            <w:tcW w:w="1984" w:type="dxa"/>
            <w:shd w:val="clear" w:color="auto" w:fill="F0F4F8"/>
          </w:tcPr>
          <w:p w14:paraId="3B95E31C">
            <w:r>
              <w:rPr>
                <w:rFonts w:ascii="微软雅黑" w:hAnsi="微软雅黑" w:eastAsia="微软雅黑"/>
                <w:sz w:val="18"/>
              </w:rPr>
              <w:t>Google, Mercedes-Benz</w:t>
            </w:r>
          </w:p>
        </w:tc>
        <w:tc>
          <w:tcPr>
            <w:tcW w:w="1871" w:type="dxa"/>
            <w:shd w:val="clear" w:color="auto" w:fill="F0F4F8"/>
          </w:tcPr>
          <w:p w14:paraId="757FE952">
            <w:r>
              <w:rPr>
                <w:rFonts w:ascii="微软雅黑" w:hAnsi="微软雅黑" w:eastAsia="微软雅黑"/>
                <w:sz w:val="18"/>
              </w:rPr>
              <w:t>工业场景(Apollo)</w:t>
            </w:r>
          </w:p>
        </w:tc>
      </w:tr>
      <w:tr w14:paraId="2AD427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16C80079">
            <w:r>
              <w:rPr>
                <w:rFonts w:ascii="微软雅黑" w:hAnsi="微软雅黑" w:eastAsia="微软雅黑"/>
                <w:sz w:val="18"/>
              </w:rPr>
              <w:t>Agility Robotics</w:t>
            </w:r>
          </w:p>
        </w:tc>
        <w:tc>
          <w:tcPr>
            <w:tcW w:w="1247" w:type="dxa"/>
          </w:tcPr>
          <w:p w14:paraId="48F3C999">
            <w:r>
              <w:rPr>
                <w:rFonts w:ascii="微软雅黑" w:hAnsi="微软雅黑" w:eastAsia="微软雅黑"/>
                <w:sz w:val="18"/>
              </w:rPr>
              <w:t>25亿美元</w:t>
            </w:r>
          </w:p>
        </w:tc>
        <w:tc>
          <w:tcPr>
            <w:tcW w:w="1984" w:type="dxa"/>
          </w:tcPr>
          <w:p w14:paraId="6F2AE251">
            <w:r>
              <w:rPr>
                <w:rFonts w:ascii="微软雅黑" w:hAnsi="微软雅黑" w:eastAsia="微软雅黑"/>
                <w:sz w:val="18"/>
              </w:rPr>
              <w:t>SPAC上市中</w:t>
            </w:r>
          </w:p>
        </w:tc>
        <w:tc>
          <w:tcPr>
            <w:tcW w:w="1984" w:type="dxa"/>
          </w:tcPr>
          <w:p w14:paraId="01D4813F">
            <w:r>
              <w:rPr>
                <w:rFonts w:ascii="微软雅黑" w:hAnsi="微软雅黑" w:eastAsia="微软雅黑"/>
                <w:sz w:val="18"/>
              </w:rPr>
              <w:t>NVIDIA, Amazon</w:t>
            </w:r>
          </w:p>
        </w:tc>
        <w:tc>
          <w:tcPr>
            <w:tcW w:w="1871" w:type="dxa"/>
          </w:tcPr>
          <w:p w14:paraId="1EB62097">
            <w:r>
              <w:rPr>
                <w:rFonts w:ascii="微软雅黑" w:hAnsi="微软雅黑" w:eastAsia="微软雅黑"/>
                <w:sz w:val="18"/>
              </w:rPr>
              <w:t>仓储物流(Digit)</w:t>
            </w:r>
          </w:p>
        </w:tc>
      </w:tr>
    </w:tbl>
    <w:p w14:paraId="5340AB77">
      <w:pPr>
        <w:pStyle w:val="4"/>
      </w:pPr>
      <w:r>
        <w:rPr>
          <w:rFonts w:ascii="微软雅黑" w:hAnsi="微软雅黑" w:eastAsia="微软雅黑"/>
        </w:rPr>
        <w:t>1.2 中国阵营</w:t>
      </w:r>
    </w:p>
    <w:p w14:paraId="5CC41357">
      <w:pPr>
        <w:ind w:firstLine="420"/>
      </w:pPr>
      <w:r>
        <w:rPr>
          <w:rFonts w:ascii="微软雅黑" w:hAnsi="微软雅黑" w:eastAsia="微软雅黑"/>
        </w:rPr>
        <w:t>国内具身智能赛道在2025-2026年经历了前所未有的融资热潮，仅2026年上半年融资总额就达到935亿元人民币，22家公司估值超过100亿元。</w:t>
      </w:r>
    </w:p>
    <w:p w14:paraId="10A63FFD">
      <w:pPr>
        <w:ind w:firstLine="420"/>
      </w:pPr>
      <w:r>
        <w:rPr>
          <w:rFonts w:ascii="微软雅黑" w:hAnsi="微软雅黑" w:eastAsia="微软雅黑"/>
        </w:rPr>
        <w:t>智元机器人（Agibot）由前华为"天才少年"稚晖君创立，估值约1400亿元，正在筹备IPO（中信证券辅导），投资方包括红杉中国、高瓴和比亚迪，团队超800人。宇树科技（Unitree）估值约420亿元，已获科创板IPO批准，年收入约59亿元，是当前为数不多已盈利的公司。银河通用（Galbot）估值超200亿元，获国家大基金和宁德时代投资。逐际动力（LimX Dynamics）估值约150亿元，2026年上半年融资约4亿美元。自变量估值超200亿元，小米连续三轮投资，是唯一同时获得字节、阿里、美团、小米四大巨头投资的公司。灵心巧手估值约400亿元，占据灵巧手市场约80%份额。千寻智能三个月内融资超50亿元。星尘智能B轮超10亿元，估值破百亿。</w:t>
      </w:r>
    </w:p>
    <w:p w14:paraId="574BFDED"/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1417"/>
        <w:gridCol w:w="2268"/>
        <w:gridCol w:w="3402"/>
      </w:tblGrid>
      <w:tr w14:paraId="71447F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1A3C6E"/>
          </w:tcPr>
          <w:p w14:paraId="70F867F3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公司</w:t>
            </w:r>
          </w:p>
        </w:tc>
        <w:tc>
          <w:tcPr>
            <w:tcW w:w="1417" w:type="dxa"/>
            <w:shd w:val="clear" w:color="auto" w:fill="1A3C6E"/>
          </w:tcPr>
          <w:p w14:paraId="088AA9C1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估值(人民币)</w:t>
            </w:r>
          </w:p>
        </w:tc>
        <w:tc>
          <w:tcPr>
            <w:tcW w:w="2268" w:type="dxa"/>
            <w:shd w:val="clear" w:color="auto" w:fill="1A3C6E"/>
          </w:tcPr>
          <w:p w14:paraId="3D289B87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状态</w:t>
            </w:r>
          </w:p>
        </w:tc>
        <w:tc>
          <w:tcPr>
            <w:tcW w:w="3402" w:type="dxa"/>
            <w:shd w:val="clear" w:color="auto" w:fill="1A3C6E"/>
          </w:tcPr>
          <w:p w14:paraId="337F07CF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核心投资方</w:t>
            </w:r>
          </w:p>
        </w:tc>
      </w:tr>
      <w:tr w14:paraId="1C3FD6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4D23EA83">
            <w:r>
              <w:rPr>
                <w:rFonts w:ascii="微软雅黑" w:hAnsi="微软雅黑" w:eastAsia="微软雅黑"/>
                <w:sz w:val="18"/>
              </w:rPr>
              <w:t>智元 Agibot</w:t>
            </w:r>
          </w:p>
        </w:tc>
        <w:tc>
          <w:tcPr>
            <w:tcW w:w="1417" w:type="dxa"/>
          </w:tcPr>
          <w:p w14:paraId="5C412B7E">
            <w:r>
              <w:rPr>
                <w:rFonts w:ascii="微软雅黑" w:hAnsi="微软雅黑" w:eastAsia="微软雅黑"/>
                <w:sz w:val="18"/>
              </w:rPr>
              <w:t>约1400亿元</w:t>
            </w:r>
          </w:p>
        </w:tc>
        <w:tc>
          <w:tcPr>
            <w:tcW w:w="2268" w:type="dxa"/>
          </w:tcPr>
          <w:p w14:paraId="444B1B8E">
            <w:r>
              <w:rPr>
                <w:rFonts w:ascii="微软雅黑" w:hAnsi="微软雅黑" w:eastAsia="微软雅黑"/>
                <w:sz w:val="18"/>
              </w:rPr>
              <w:t>IPO筹备中(中信证券)</w:t>
            </w:r>
          </w:p>
        </w:tc>
        <w:tc>
          <w:tcPr>
            <w:tcW w:w="3402" w:type="dxa"/>
          </w:tcPr>
          <w:p w14:paraId="35AE6AEF">
            <w:r>
              <w:rPr>
                <w:rFonts w:ascii="微软雅黑" w:hAnsi="微软雅黑" w:eastAsia="微软雅黑"/>
                <w:sz w:val="18"/>
              </w:rPr>
              <w:t>红杉中国、高瓴、比亚迪</w:t>
            </w:r>
          </w:p>
        </w:tc>
      </w:tr>
      <w:tr w14:paraId="56948F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0F4F8"/>
          </w:tcPr>
          <w:p w14:paraId="7F542C06">
            <w:r>
              <w:rPr>
                <w:rFonts w:ascii="微软雅黑" w:hAnsi="微软雅黑" w:eastAsia="微软雅黑"/>
                <w:sz w:val="18"/>
              </w:rPr>
              <w:t>宇树 Unitree</w:t>
            </w:r>
          </w:p>
        </w:tc>
        <w:tc>
          <w:tcPr>
            <w:tcW w:w="1417" w:type="dxa"/>
            <w:shd w:val="clear" w:color="auto" w:fill="F0F4F8"/>
          </w:tcPr>
          <w:p w14:paraId="6DA7F2C3">
            <w:r>
              <w:rPr>
                <w:rFonts w:ascii="微软雅黑" w:hAnsi="微软雅黑" w:eastAsia="微软雅黑"/>
                <w:sz w:val="18"/>
              </w:rPr>
              <w:t>约420亿元</w:t>
            </w:r>
          </w:p>
        </w:tc>
        <w:tc>
          <w:tcPr>
            <w:tcW w:w="2268" w:type="dxa"/>
            <w:shd w:val="clear" w:color="auto" w:fill="F0F4F8"/>
          </w:tcPr>
          <w:p w14:paraId="146177F4">
            <w:r>
              <w:rPr>
                <w:rFonts w:ascii="微软雅黑" w:hAnsi="微软雅黑" w:eastAsia="微软雅黑"/>
                <w:sz w:val="18"/>
              </w:rPr>
              <w:t>科创板IPO获批，已盈利</w:t>
            </w:r>
          </w:p>
        </w:tc>
        <w:tc>
          <w:tcPr>
            <w:tcW w:w="3402" w:type="dxa"/>
            <w:shd w:val="clear" w:color="auto" w:fill="F0F4F8"/>
          </w:tcPr>
          <w:p w14:paraId="38F493FC">
            <w:r>
              <w:rPr>
                <w:rFonts w:ascii="微软雅黑" w:hAnsi="微软雅黑" w:eastAsia="微软雅黑"/>
                <w:sz w:val="18"/>
              </w:rPr>
              <w:t>红杉中国等</w:t>
            </w:r>
          </w:p>
        </w:tc>
      </w:tr>
      <w:tr w14:paraId="6075FF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5340F1F1">
            <w:r>
              <w:rPr>
                <w:rFonts w:ascii="微软雅黑" w:hAnsi="微软雅黑" w:eastAsia="微软雅黑"/>
                <w:sz w:val="18"/>
              </w:rPr>
              <w:t>灵心巧手 LinkerHand</w:t>
            </w:r>
          </w:p>
        </w:tc>
        <w:tc>
          <w:tcPr>
            <w:tcW w:w="1417" w:type="dxa"/>
          </w:tcPr>
          <w:p w14:paraId="6889F0DE">
            <w:r>
              <w:rPr>
                <w:rFonts w:ascii="微软雅黑" w:hAnsi="微软雅黑" w:eastAsia="微软雅黑"/>
                <w:sz w:val="18"/>
              </w:rPr>
              <w:t>约400亿元</w:t>
            </w:r>
          </w:p>
        </w:tc>
        <w:tc>
          <w:tcPr>
            <w:tcW w:w="2268" w:type="dxa"/>
          </w:tcPr>
          <w:p w14:paraId="6EB5E333">
            <w:r>
              <w:rPr>
                <w:rFonts w:ascii="微软雅黑" w:hAnsi="微软雅黑" w:eastAsia="微软雅黑"/>
                <w:sz w:val="18"/>
              </w:rPr>
              <w:t>计划2027港股IPO</w:t>
            </w:r>
          </w:p>
        </w:tc>
        <w:tc>
          <w:tcPr>
            <w:tcW w:w="3402" w:type="dxa"/>
          </w:tcPr>
          <w:p w14:paraId="2F988AF9">
            <w:r>
              <w:rPr>
                <w:rFonts w:ascii="微软雅黑" w:hAnsi="微软雅黑" w:eastAsia="微软雅黑"/>
                <w:sz w:val="18"/>
              </w:rPr>
              <w:t>多家(80%灵巧手市场)</w:t>
            </w:r>
          </w:p>
        </w:tc>
      </w:tr>
      <w:tr w14:paraId="7204EE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0F4F8"/>
          </w:tcPr>
          <w:p w14:paraId="1EEA3CB1">
            <w:r>
              <w:rPr>
                <w:rFonts w:ascii="微软雅黑" w:hAnsi="微软雅黑" w:eastAsia="微软雅黑"/>
                <w:sz w:val="18"/>
              </w:rPr>
              <w:t>银河通用 Galbot</w:t>
            </w:r>
          </w:p>
        </w:tc>
        <w:tc>
          <w:tcPr>
            <w:tcW w:w="1417" w:type="dxa"/>
            <w:shd w:val="clear" w:color="auto" w:fill="F0F4F8"/>
          </w:tcPr>
          <w:p w14:paraId="7A2BEFD9">
            <w:r>
              <w:rPr>
                <w:rFonts w:ascii="微软雅黑" w:hAnsi="微软雅黑" w:eastAsia="微软雅黑"/>
                <w:sz w:val="18"/>
              </w:rPr>
              <w:t>约200亿元+</w:t>
            </w:r>
          </w:p>
        </w:tc>
        <w:tc>
          <w:tcPr>
            <w:tcW w:w="2268" w:type="dxa"/>
            <w:shd w:val="clear" w:color="auto" w:fill="F0F4F8"/>
          </w:tcPr>
          <w:p w14:paraId="29A3C353">
            <w:r>
              <w:rPr>
                <w:rFonts w:ascii="微软雅黑" w:hAnsi="微软雅黑" w:eastAsia="微软雅黑"/>
                <w:sz w:val="18"/>
              </w:rPr>
              <w:t>活跃融资中</w:t>
            </w:r>
          </w:p>
        </w:tc>
        <w:tc>
          <w:tcPr>
            <w:tcW w:w="3402" w:type="dxa"/>
            <w:shd w:val="clear" w:color="auto" w:fill="F0F4F8"/>
          </w:tcPr>
          <w:p w14:paraId="5AF076CD">
            <w:r>
              <w:rPr>
                <w:rFonts w:ascii="微软雅黑" w:hAnsi="微软雅黑" w:eastAsia="微软雅黑"/>
                <w:sz w:val="18"/>
              </w:rPr>
              <w:t>国家大基金、宁德时代</w:t>
            </w:r>
          </w:p>
        </w:tc>
      </w:tr>
      <w:tr w14:paraId="2981EB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2AC70291">
            <w:r>
              <w:rPr>
                <w:rFonts w:ascii="微软雅黑" w:hAnsi="微软雅黑" w:eastAsia="微软雅黑"/>
                <w:sz w:val="18"/>
              </w:rPr>
              <w:t>自变量 Ind.Variable</w:t>
            </w:r>
          </w:p>
        </w:tc>
        <w:tc>
          <w:tcPr>
            <w:tcW w:w="1417" w:type="dxa"/>
          </w:tcPr>
          <w:p w14:paraId="3F1F6C6F">
            <w:r>
              <w:rPr>
                <w:rFonts w:ascii="微软雅黑" w:hAnsi="微软雅黑" w:eastAsia="微软雅黑"/>
                <w:sz w:val="18"/>
              </w:rPr>
              <w:t>约200亿元+</w:t>
            </w:r>
          </w:p>
        </w:tc>
        <w:tc>
          <w:tcPr>
            <w:tcW w:w="2268" w:type="dxa"/>
          </w:tcPr>
          <w:p w14:paraId="1C3EC846">
            <w:r>
              <w:rPr>
                <w:rFonts w:ascii="微软雅黑" w:hAnsi="微软雅黑" w:eastAsia="微软雅黑"/>
                <w:sz w:val="18"/>
              </w:rPr>
              <w:t>活跃</w:t>
            </w:r>
          </w:p>
        </w:tc>
        <w:tc>
          <w:tcPr>
            <w:tcW w:w="3402" w:type="dxa"/>
          </w:tcPr>
          <w:p w14:paraId="2FFD2D6B">
            <w:r>
              <w:rPr>
                <w:rFonts w:ascii="微软雅黑" w:hAnsi="微软雅黑" w:eastAsia="微软雅黑"/>
                <w:sz w:val="18"/>
              </w:rPr>
              <w:t>小米(三轮)、字节、美团</w:t>
            </w:r>
          </w:p>
        </w:tc>
      </w:tr>
      <w:tr w14:paraId="406482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0F4F8"/>
          </w:tcPr>
          <w:p w14:paraId="1BCC4701">
            <w:r>
              <w:rPr>
                <w:rFonts w:ascii="微软雅黑" w:hAnsi="微软雅黑" w:eastAsia="微软雅黑"/>
                <w:sz w:val="18"/>
              </w:rPr>
              <w:t>逐际动力 LimX</w:t>
            </w:r>
          </w:p>
        </w:tc>
        <w:tc>
          <w:tcPr>
            <w:tcW w:w="1417" w:type="dxa"/>
            <w:shd w:val="clear" w:color="auto" w:fill="F0F4F8"/>
          </w:tcPr>
          <w:p w14:paraId="69E50DB3">
            <w:r>
              <w:rPr>
                <w:rFonts w:ascii="微软雅黑" w:hAnsi="微软雅黑" w:eastAsia="微软雅黑"/>
                <w:sz w:val="18"/>
              </w:rPr>
              <w:t>约150亿元</w:t>
            </w:r>
          </w:p>
        </w:tc>
        <w:tc>
          <w:tcPr>
            <w:tcW w:w="2268" w:type="dxa"/>
            <w:shd w:val="clear" w:color="auto" w:fill="F0F4F8"/>
          </w:tcPr>
          <w:p w14:paraId="79A93C84">
            <w:r>
              <w:rPr>
                <w:rFonts w:ascii="微软雅黑" w:hAnsi="微软雅黑" w:eastAsia="微软雅黑"/>
                <w:sz w:val="18"/>
              </w:rPr>
              <w:t>IPO筹备中</w:t>
            </w:r>
          </w:p>
        </w:tc>
        <w:tc>
          <w:tcPr>
            <w:tcW w:w="3402" w:type="dxa"/>
            <w:shd w:val="clear" w:color="auto" w:fill="F0F4F8"/>
          </w:tcPr>
          <w:p w14:paraId="5FE36CBA">
            <w:r>
              <w:rPr>
                <w:rFonts w:ascii="微软雅黑" w:hAnsi="微软雅黑" w:eastAsia="微软雅黑"/>
                <w:sz w:val="18"/>
              </w:rPr>
              <w:t>红杉中国、全球VC</w:t>
            </w:r>
          </w:p>
        </w:tc>
      </w:tr>
      <w:tr w14:paraId="146F7E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727F0384">
            <w:r>
              <w:rPr>
                <w:rFonts w:ascii="微软雅黑" w:hAnsi="微软雅黑" w:eastAsia="微软雅黑"/>
                <w:sz w:val="18"/>
              </w:rPr>
              <w:t>千寻智能</w:t>
            </w:r>
          </w:p>
        </w:tc>
        <w:tc>
          <w:tcPr>
            <w:tcW w:w="1417" w:type="dxa"/>
          </w:tcPr>
          <w:p w14:paraId="4E915643">
            <w:r>
              <w:rPr>
                <w:rFonts w:ascii="微软雅黑" w:hAnsi="微软雅黑" w:eastAsia="微软雅黑"/>
                <w:sz w:val="18"/>
              </w:rPr>
              <w:t>约100亿元+</w:t>
            </w:r>
          </w:p>
        </w:tc>
        <w:tc>
          <w:tcPr>
            <w:tcW w:w="2268" w:type="dxa"/>
          </w:tcPr>
          <w:p w14:paraId="72EFFABF">
            <w:r>
              <w:rPr>
                <w:rFonts w:ascii="微软雅黑" w:hAnsi="微软雅黑" w:eastAsia="微软雅黑"/>
                <w:sz w:val="18"/>
              </w:rPr>
              <w:t>3个月融资50亿+</w:t>
            </w:r>
          </w:p>
        </w:tc>
        <w:tc>
          <w:tcPr>
            <w:tcW w:w="3402" w:type="dxa"/>
          </w:tcPr>
          <w:p w14:paraId="54CE24AD">
            <w:r>
              <w:rPr>
                <w:rFonts w:ascii="微软雅黑" w:hAnsi="微软雅黑" w:eastAsia="微软雅黑"/>
                <w:sz w:val="18"/>
              </w:rPr>
              <w:t>云锋、红杉</w:t>
            </w:r>
          </w:p>
        </w:tc>
      </w:tr>
      <w:tr w14:paraId="5E68C5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0F4F8"/>
          </w:tcPr>
          <w:p w14:paraId="0B1C9D93">
            <w:r>
              <w:rPr>
                <w:rFonts w:ascii="微软雅黑" w:hAnsi="微软雅黑" w:eastAsia="微软雅黑"/>
                <w:sz w:val="18"/>
              </w:rPr>
              <w:t>星尘智能 Astribot</w:t>
            </w:r>
          </w:p>
        </w:tc>
        <w:tc>
          <w:tcPr>
            <w:tcW w:w="1417" w:type="dxa"/>
            <w:shd w:val="clear" w:color="auto" w:fill="F0F4F8"/>
          </w:tcPr>
          <w:p w14:paraId="6FA19205">
            <w:r>
              <w:rPr>
                <w:rFonts w:ascii="微软雅黑" w:hAnsi="微软雅黑" w:eastAsia="微软雅黑"/>
                <w:sz w:val="18"/>
              </w:rPr>
              <w:t>约100亿元+</w:t>
            </w:r>
          </w:p>
        </w:tc>
        <w:tc>
          <w:tcPr>
            <w:tcW w:w="2268" w:type="dxa"/>
            <w:shd w:val="clear" w:color="auto" w:fill="F0F4F8"/>
          </w:tcPr>
          <w:p w14:paraId="7A50F96A">
            <w:r>
              <w:rPr>
                <w:rFonts w:ascii="微软雅黑" w:hAnsi="微软雅黑" w:eastAsia="微软雅黑"/>
                <w:sz w:val="18"/>
              </w:rPr>
              <w:t>B轮超10亿元</w:t>
            </w:r>
          </w:p>
        </w:tc>
        <w:tc>
          <w:tcPr>
            <w:tcW w:w="3402" w:type="dxa"/>
            <w:shd w:val="clear" w:color="auto" w:fill="F0F4F8"/>
          </w:tcPr>
          <w:p w14:paraId="2C90E32B">
            <w:r>
              <w:rPr>
                <w:rFonts w:ascii="微软雅黑" w:hAnsi="微软雅黑" w:eastAsia="微软雅黑"/>
                <w:sz w:val="18"/>
              </w:rPr>
              <w:t>多家中国VC</w:t>
            </w:r>
          </w:p>
        </w:tc>
      </w:tr>
      <w:tr w14:paraId="585A9F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0D34C8FC">
            <w:r>
              <w:rPr>
                <w:rFonts w:ascii="微软雅黑" w:hAnsi="微软雅黑" w:eastAsia="微软雅黑"/>
                <w:sz w:val="18"/>
              </w:rPr>
              <w:t>加速进化 SpeedBot</w:t>
            </w:r>
          </w:p>
        </w:tc>
        <w:tc>
          <w:tcPr>
            <w:tcW w:w="1417" w:type="dxa"/>
          </w:tcPr>
          <w:p w14:paraId="383A4C3D"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w="2268" w:type="dxa"/>
          </w:tcPr>
          <w:p w14:paraId="0B07DCD1">
            <w:r>
              <w:rPr>
                <w:rFonts w:ascii="微软雅黑" w:hAnsi="微软雅黑" w:eastAsia="微软雅黑"/>
                <w:sz w:val="18"/>
              </w:rPr>
              <w:t>2026.4融资约10亿</w:t>
            </w:r>
          </w:p>
        </w:tc>
        <w:tc>
          <w:tcPr>
            <w:tcW w:w="3402" w:type="dxa"/>
          </w:tcPr>
          <w:p w14:paraId="2F53A8D8">
            <w:r>
              <w:rPr>
                <w:rFonts w:ascii="微软雅黑" w:hAnsi="微软雅黑" w:eastAsia="微软雅黑"/>
                <w:sz w:val="18"/>
              </w:rPr>
              <w:t>清华系</w:t>
            </w:r>
          </w:p>
        </w:tc>
      </w:tr>
      <w:tr w14:paraId="73FEDF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0F4F8"/>
          </w:tcPr>
          <w:p w14:paraId="7E3EA49E">
            <w:r>
              <w:rPr>
                <w:rFonts w:ascii="微软雅黑" w:hAnsi="微软雅黑" w:eastAsia="微软雅黑"/>
                <w:sz w:val="18"/>
              </w:rPr>
              <w:t>傅利叶 Fourier</w:t>
            </w:r>
          </w:p>
        </w:tc>
        <w:tc>
          <w:tcPr>
            <w:tcW w:w="1417" w:type="dxa"/>
            <w:shd w:val="clear" w:color="auto" w:fill="F0F4F8"/>
          </w:tcPr>
          <w:p w14:paraId="51E17408"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w="2268" w:type="dxa"/>
            <w:shd w:val="clear" w:color="auto" w:fill="F0F4F8"/>
          </w:tcPr>
          <w:p w14:paraId="5728CDA3">
            <w:r>
              <w:rPr>
                <w:rFonts w:ascii="微软雅黑" w:hAnsi="微软雅黑" w:eastAsia="微软雅黑"/>
                <w:sz w:val="18"/>
              </w:rPr>
              <w:t>计划2026-27 IPO</w:t>
            </w:r>
          </w:p>
        </w:tc>
        <w:tc>
          <w:tcPr>
            <w:tcW w:w="3402" w:type="dxa"/>
            <w:shd w:val="clear" w:color="auto" w:fill="F0F4F8"/>
          </w:tcPr>
          <w:p w14:paraId="6ED95018">
            <w:r>
              <w:rPr>
                <w:rFonts w:ascii="微软雅黑" w:hAnsi="微软雅黑" w:eastAsia="微软雅黑"/>
                <w:sz w:val="18"/>
              </w:rPr>
              <w:t>红杉中国、SoftBank Ventures</w:t>
            </w:r>
          </w:p>
        </w:tc>
      </w:tr>
      <w:tr w14:paraId="57D5D2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63979213">
            <w:r>
              <w:rPr>
                <w:rFonts w:ascii="微软雅黑" w:hAnsi="微软雅黑" w:eastAsia="微软雅黑"/>
                <w:sz w:val="18"/>
              </w:rPr>
              <w:t>优必选 UBTECH</w:t>
            </w:r>
          </w:p>
        </w:tc>
        <w:tc>
          <w:tcPr>
            <w:tcW w:w="1417" w:type="dxa"/>
          </w:tcPr>
          <w:p w14:paraId="2D82F96C">
            <w:r>
              <w:rPr>
                <w:rFonts w:ascii="微软雅黑" w:hAnsi="微软雅黑" w:eastAsia="微软雅黑"/>
                <w:sz w:val="18"/>
              </w:rPr>
              <w:t>200-500亿港元</w:t>
            </w:r>
          </w:p>
        </w:tc>
        <w:tc>
          <w:tcPr>
            <w:tcW w:w="2268" w:type="dxa"/>
          </w:tcPr>
          <w:p w14:paraId="57F31999">
            <w:r>
              <w:rPr>
                <w:rFonts w:ascii="微软雅黑" w:hAnsi="微软雅黑" w:eastAsia="微软雅黑"/>
                <w:sz w:val="18"/>
              </w:rPr>
              <w:t>已上市(HK:09880)，表现低迷</w:t>
            </w:r>
          </w:p>
        </w:tc>
        <w:tc>
          <w:tcPr>
            <w:tcW w:w="3402" w:type="dxa"/>
          </w:tcPr>
          <w:p w14:paraId="7DC8E75F">
            <w:r>
              <w:rPr>
                <w:rFonts w:ascii="微软雅黑" w:hAnsi="微软雅黑" w:eastAsia="微软雅黑"/>
                <w:sz w:val="18"/>
              </w:rPr>
              <w:t>公开市场</w:t>
            </w:r>
          </w:p>
        </w:tc>
      </w:tr>
      <w:tr w14:paraId="441D1E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0F4F8"/>
          </w:tcPr>
          <w:p w14:paraId="56F95368">
            <w:r>
              <w:rPr>
                <w:rFonts w:ascii="微软雅黑" w:hAnsi="微软雅黑" w:eastAsia="微软雅黑"/>
                <w:sz w:val="18"/>
              </w:rPr>
              <w:t>达闼 CloudMinds</w:t>
            </w:r>
          </w:p>
        </w:tc>
        <w:tc>
          <w:tcPr>
            <w:tcW w:w="1417" w:type="dxa"/>
            <w:shd w:val="clear" w:color="auto" w:fill="F0F4F8"/>
          </w:tcPr>
          <w:p w14:paraId="063C9A8E">
            <w:r>
              <w:rPr>
                <w:rFonts w:ascii="微软雅黑" w:hAnsi="微软雅黑" w:eastAsia="微软雅黑"/>
                <w:sz w:val="18"/>
              </w:rPr>
              <w:t>危机</w:t>
            </w:r>
          </w:p>
        </w:tc>
        <w:tc>
          <w:tcPr>
            <w:tcW w:w="2268" w:type="dxa"/>
            <w:shd w:val="clear" w:color="auto" w:fill="F0F4F8"/>
          </w:tcPr>
          <w:p w14:paraId="795F0B6C">
            <w:r>
              <w:rPr>
                <w:rFonts w:ascii="微软雅黑" w:hAnsi="微软雅黑" w:eastAsia="微软雅黑"/>
                <w:sz w:val="18"/>
              </w:rPr>
              <w:t>办公室关闭，债务纠纷</w:t>
            </w:r>
          </w:p>
        </w:tc>
        <w:tc>
          <w:tcPr>
            <w:tcW w:w="3402" w:type="dxa"/>
            <w:shd w:val="clear" w:color="auto" w:fill="F0F4F8"/>
          </w:tcPr>
          <w:p w14:paraId="5735FB09">
            <w:r>
              <w:rPr>
                <w:rFonts w:ascii="微软雅黑" w:hAnsi="微软雅黑" w:eastAsia="微软雅黑"/>
                <w:sz w:val="18"/>
              </w:rPr>
              <w:t>警示案例</w:t>
            </w:r>
          </w:p>
        </w:tc>
      </w:tr>
    </w:tbl>
    <w:p w14:paraId="2804B324">
      <w:pPr>
        <w:pStyle w:val="4"/>
      </w:pPr>
      <w:r>
        <w:rPr>
          <w:rFonts w:ascii="微软雅黑" w:hAnsi="微软雅黑" w:eastAsia="微软雅黑"/>
        </w:rPr>
        <w:t>1.3 RoboX的竞争定位</w:t>
      </w:r>
    </w:p>
    <w:p w14:paraId="0E53ED17">
      <w:pPr>
        <w:ind w:firstLine="420"/>
      </w:pPr>
      <w:r>
        <w:rPr>
          <w:rFonts w:ascii="微软雅黑" w:hAnsi="微软雅黑" w:eastAsia="微软雅黑"/>
        </w:rPr>
        <w:t>在所有竞争对手中，与RoboX技术路线最直接对标的是Physical Intelligence（pi0模型）、SKILD AI（通用基础模型）和千寻智能。RoboX的三层模型架构（System 0/1/2）通过潜空间通信的设计在全球范围内尚无直接对标者。50万小时的第一视角数据是真正的差异化资产——数据被全行业公认为最关键的瓶颈。</w:t>
      </w:r>
    </w:p>
    <w:p w14:paraId="18379EF5">
      <w:pPr>
        <w:ind w:firstLine="420"/>
      </w:pPr>
      <w:r>
        <w:rPr>
          <w:rFonts w:ascii="微软雅黑" w:hAnsi="微软雅黑" w:eastAsia="微软雅黑"/>
        </w:rPr>
        <w:t>但RoboX目前团队规模较小、商业化尚未启动，在资金充裕度上远逊于PI（540亿美元）、智元（1400亿元）等头部玩家。RoboX的核心机会在于：用模型和数据的技术壁垒吸引资本，在18个月窗口期内建立不可替代性。</w:t>
      </w:r>
    </w:p>
    <w:p w14:paraId="58A47378">
      <w:r>
        <w:br w:type="page"/>
      </w:r>
    </w:p>
    <w:p w14:paraId="50F9481F">
      <w:pPr>
        <w:pStyle w:val="3"/>
      </w:pPr>
      <w:r>
        <w:rPr>
          <w:rFonts w:ascii="微软雅黑" w:hAnsi="微软雅黑" w:eastAsia="微软雅黑"/>
        </w:rPr>
        <w:t>二、国内具身智能领域顶级投资机构</w:t>
      </w:r>
    </w:p>
    <w:p w14:paraId="4A8C5380">
      <w:pPr>
        <w:pStyle w:val="4"/>
      </w:pPr>
      <w:r>
        <w:rPr>
          <w:rFonts w:ascii="微软雅黑" w:hAnsi="微软雅黑" w:eastAsia="微软雅黑"/>
        </w:rPr>
        <w:t>2.1 市场概览</w:t>
      </w:r>
    </w:p>
    <w:p w14:paraId="65D1D7C9">
      <w:pPr>
        <w:ind w:firstLine="420"/>
      </w:pPr>
      <w:r>
        <w:rPr>
          <w:rFonts w:ascii="微软雅黑" w:hAnsi="微软雅黑" w:eastAsia="微软雅黑"/>
        </w:rPr>
        <w:t>过去12个月（2025年7月至2026年6月），中国具身智能领域共发生503轮融资，总金额超过960亿元。天使轮单笔金额已普遍突破1-5亿元，它石智航更是创下4.55亿美元Pre-A轮的行业纪录。22家以上公司估值超过100亿元，较2025年初的约3家大幅增长。</w:t>
      </w:r>
    </w:p>
    <w:p w14:paraId="47751560">
      <w:pPr>
        <w:pStyle w:val="4"/>
      </w:pPr>
      <w:r>
        <w:rPr>
          <w:rFonts w:ascii="微软雅黑" w:hAnsi="微软雅黑" w:eastAsia="微软雅黑"/>
        </w:rPr>
        <w:t>2.2 最活跃的VC机构</w:t>
      </w:r>
    </w:p>
    <w:p w14:paraId="780607E3">
      <w:pPr>
        <w:ind w:firstLine="420"/>
      </w:pPr>
      <w:r>
        <w:rPr>
          <w:rFonts w:ascii="微软雅黑" w:hAnsi="微软雅黑" w:eastAsia="微软雅黑"/>
        </w:rPr>
        <w:t>红杉中国（Sequoia China）是具身智能赛道最重量级的推手之一，投资了宇树科技、自变量、它石智航（4.55亿美元Pre-A轮）等多家头部公司。红杉中国正在深度接触另一位达摩院出身的创始人林俊旸（前通义千问最年轻P10），其种子轮估值已报出约20亿美元——这意味着红杉对达摩院技术团队有明确的估值溢价认知，RoboX应将红杉列为首要对接目标。</w:t>
      </w:r>
    </w:p>
    <w:p w14:paraId="775AC064">
      <w:pPr>
        <w:ind w:firstLine="420"/>
      </w:pPr>
      <w:r>
        <w:rPr>
          <w:rFonts w:ascii="微软雅黑" w:hAnsi="微软雅黑" w:eastAsia="微软雅黑"/>
        </w:rPr>
        <w:t>高瓴（Hillhouse）覆盖面最广，投资了超过9家具身智能公司，从天使轮到成长期均有布局，投资决策相对独立。蓝驰创投（Lanchi Ventures）是早期阶段最活跃的机构之一，投资了银河通用和智元，最新募集39亿元新基金。蚂蚁集团是2026年最激进的天使投资方，已投资4家以上具身智能公司。百度风投2026年上半年完成39笔投资，其中超过60%投向AI和机器人。</w:t>
      </w:r>
    </w:p>
    <w:p w14:paraId="0F16B6BB">
      <w:pPr>
        <w:pStyle w:val="4"/>
      </w:pPr>
      <w:r>
        <w:rPr>
          <w:rFonts w:ascii="微软雅黑" w:hAnsi="微软雅黑" w:eastAsia="微软雅黑"/>
        </w:rPr>
        <w:t>2.3 产业/战略投资方</w:t>
      </w:r>
    </w:p>
    <w:p w14:paraId="4EBC2922">
      <w:pPr>
        <w:ind w:firstLine="420"/>
      </w:pPr>
      <w:r>
        <w:rPr>
          <w:rFonts w:ascii="微软雅黑" w:hAnsi="微软雅黑" w:eastAsia="微软雅黑"/>
        </w:rPr>
        <w:t>美团龙珠基金是最活跃的产业投资方，已投资4家以上具身智能公司，重点关注商业服务场景——与RoboX的商业服务切入策略高度匹配。腾讯采取广撒网策略，投资组合包括自变量、天机、速途等。小米对自变量连续投资三轮。阿里巴巴通过远景资本、阿里战投和创业者基金三条线同步评估RoboX。19家估值超百亿的独角兽中，有16家获得过国资/政府引导基金投资——国资几乎是独角兽的标配。</w:t>
      </w:r>
    </w:p>
    <w:p w14:paraId="75E7967A">
      <w:pPr>
        <w:pStyle w:val="4"/>
      </w:pPr>
      <w:r>
        <w:rPr>
          <w:rFonts w:ascii="微软雅黑" w:hAnsi="微软雅黑" w:eastAsia="微软雅黑"/>
        </w:rPr>
        <w:t>2.4 投资机构与已投公司对照</w:t>
      </w:r>
    </w:p>
    <w:p w14:paraId="65FBFD98"/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3685"/>
        <w:gridCol w:w="3402"/>
      </w:tblGrid>
      <w:tr w14:paraId="28D6CB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1A3C6E"/>
          </w:tcPr>
          <w:p w14:paraId="16770ABC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投资机构</w:t>
            </w:r>
          </w:p>
        </w:tc>
        <w:tc>
          <w:tcPr>
            <w:tcW w:w="3685" w:type="dxa"/>
            <w:shd w:val="clear" w:color="auto" w:fill="1A3C6E"/>
          </w:tcPr>
          <w:p w14:paraId="51C823EB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已投具身智能公司</w:t>
            </w:r>
          </w:p>
        </w:tc>
        <w:tc>
          <w:tcPr>
            <w:tcW w:w="3402" w:type="dxa"/>
            <w:shd w:val="clear" w:color="auto" w:fill="1A3C6E"/>
          </w:tcPr>
          <w:p w14:paraId="7AB5D192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阶段偏好</w:t>
            </w:r>
          </w:p>
        </w:tc>
      </w:tr>
      <w:tr w14:paraId="20D3DE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1C609B3B">
            <w:r>
              <w:rPr>
                <w:rFonts w:ascii="微软雅黑" w:hAnsi="微软雅黑" w:eastAsia="微软雅黑"/>
                <w:sz w:val="18"/>
              </w:rPr>
              <w:t>红杉中国</w:t>
            </w:r>
          </w:p>
        </w:tc>
        <w:tc>
          <w:tcPr>
            <w:tcW w:w="3685" w:type="dxa"/>
          </w:tcPr>
          <w:p w14:paraId="78B3F870">
            <w:r>
              <w:rPr>
                <w:rFonts w:ascii="微软雅黑" w:hAnsi="微软雅黑" w:eastAsia="微软雅黑"/>
                <w:sz w:val="18"/>
              </w:rPr>
              <w:t>宇树科技、自变量、它石智航、逐际动力</w:t>
            </w:r>
          </w:p>
        </w:tc>
        <w:tc>
          <w:tcPr>
            <w:tcW w:w="3402" w:type="dxa"/>
          </w:tcPr>
          <w:p w14:paraId="6E2E687F">
            <w:r>
              <w:rPr>
                <w:rFonts w:ascii="微软雅黑" w:hAnsi="微软雅黑" w:eastAsia="微软雅黑"/>
                <w:sz w:val="18"/>
              </w:rPr>
              <w:t>种子到成长期</w:t>
            </w:r>
          </w:p>
        </w:tc>
      </w:tr>
      <w:tr w14:paraId="503ACC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0F4F8"/>
          </w:tcPr>
          <w:p w14:paraId="259FE6FD">
            <w:r>
              <w:rPr>
                <w:rFonts w:ascii="微软雅黑" w:hAnsi="微软雅黑" w:eastAsia="微软雅黑"/>
                <w:sz w:val="18"/>
              </w:rPr>
              <w:t>高瓴</w:t>
            </w:r>
          </w:p>
        </w:tc>
        <w:tc>
          <w:tcPr>
            <w:tcW w:w="3685" w:type="dxa"/>
            <w:shd w:val="clear" w:color="auto" w:fill="F0F4F8"/>
          </w:tcPr>
          <w:p w14:paraId="7759218D">
            <w:r>
              <w:rPr>
                <w:rFonts w:ascii="微软雅黑" w:hAnsi="微软雅黑" w:eastAsia="微软雅黑"/>
                <w:sz w:val="18"/>
              </w:rPr>
              <w:t>智元、宇树、逐际动力等9+家</w:t>
            </w:r>
          </w:p>
        </w:tc>
        <w:tc>
          <w:tcPr>
            <w:tcW w:w="3402" w:type="dxa"/>
            <w:shd w:val="clear" w:color="auto" w:fill="F0F4F8"/>
          </w:tcPr>
          <w:p w14:paraId="7B0D4658">
            <w:r>
              <w:rPr>
                <w:rFonts w:ascii="微软雅黑" w:hAnsi="微软雅黑" w:eastAsia="微软雅黑"/>
                <w:sz w:val="18"/>
              </w:rPr>
              <w:t>全阶段</w:t>
            </w:r>
          </w:p>
        </w:tc>
      </w:tr>
      <w:tr w14:paraId="6B7B39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66AA793C">
            <w:r>
              <w:rPr>
                <w:rFonts w:ascii="微软雅黑" w:hAnsi="微软雅黑" w:eastAsia="微软雅黑"/>
                <w:sz w:val="18"/>
              </w:rPr>
              <w:t>蓝驰创投</w:t>
            </w:r>
          </w:p>
        </w:tc>
        <w:tc>
          <w:tcPr>
            <w:tcW w:w="3685" w:type="dxa"/>
          </w:tcPr>
          <w:p w14:paraId="21290AD6">
            <w:r>
              <w:rPr>
                <w:rFonts w:ascii="微软雅黑" w:hAnsi="微软雅黑" w:eastAsia="微软雅黑"/>
                <w:sz w:val="18"/>
              </w:rPr>
              <w:t>银河通用、智元</w:t>
            </w:r>
          </w:p>
        </w:tc>
        <w:tc>
          <w:tcPr>
            <w:tcW w:w="3402" w:type="dxa"/>
          </w:tcPr>
          <w:p w14:paraId="0904B8DF">
            <w:r>
              <w:rPr>
                <w:rFonts w:ascii="微软雅黑" w:hAnsi="微软雅黑" w:eastAsia="微软雅黑"/>
                <w:sz w:val="18"/>
              </w:rPr>
              <w:t>天使到A轮</w:t>
            </w:r>
          </w:p>
        </w:tc>
      </w:tr>
      <w:tr w14:paraId="0EAA75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0F4F8"/>
          </w:tcPr>
          <w:p w14:paraId="32A6CD3B">
            <w:r>
              <w:rPr>
                <w:rFonts w:ascii="微软雅黑" w:hAnsi="微软雅黑" w:eastAsia="微软雅黑"/>
                <w:sz w:val="18"/>
              </w:rPr>
              <w:t>蚂蚁集团</w:t>
            </w:r>
          </w:p>
        </w:tc>
        <w:tc>
          <w:tcPr>
            <w:tcW w:w="3685" w:type="dxa"/>
            <w:shd w:val="clear" w:color="auto" w:fill="F0F4F8"/>
          </w:tcPr>
          <w:p w14:paraId="7F43F400">
            <w:r>
              <w:rPr>
                <w:rFonts w:ascii="微软雅黑" w:hAnsi="微软雅黑" w:eastAsia="微软雅黑"/>
                <w:sz w:val="18"/>
              </w:rPr>
              <w:t>4+家（部分未公开）</w:t>
            </w:r>
          </w:p>
        </w:tc>
        <w:tc>
          <w:tcPr>
            <w:tcW w:w="3402" w:type="dxa"/>
            <w:shd w:val="clear" w:color="auto" w:fill="F0F4F8"/>
          </w:tcPr>
          <w:p w14:paraId="40F6CFC4">
            <w:r>
              <w:rPr>
                <w:rFonts w:ascii="微软雅黑" w:hAnsi="微软雅黑" w:eastAsia="微软雅黑"/>
                <w:sz w:val="18"/>
              </w:rPr>
              <w:t>天使到A轮</w:t>
            </w:r>
          </w:p>
        </w:tc>
      </w:tr>
      <w:tr w14:paraId="7D8B15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2C4A6578">
            <w:r>
              <w:rPr>
                <w:rFonts w:ascii="微软雅黑" w:hAnsi="微软雅黑" w:eastAsia="微软雅黑"/>
                <w:sz w:val="18"/>
              </w:rPr>
              <w:t>百度风投</w:t>
            </w:r>
          </w:p>
        </w:tc>
        <w:tc>
          <w:tcPr>
            <w:tcW w:w="3685" w:type="dxa"/>
          </w:tcPr>
          <w:p w14:paraId="2C968D99">
            <w:r>
              <w:rPr>
                <w:rFonts w:ascii="微软雅黑" w:hAnsi="微软雅黑" w:eastAsia="微软雅黑"/>
                <w:sz w:val="18"/>
              </w:rPr>
              <w:t>39笔(2026H1)，60%+为AI/机器人</w:t>
            </w:r>
          </w:p>
        </w:tc>
        <w:tc>
          <w:tcPr>
            <w:tcW w:w="3402" w:type="dxa"/>
          </w:tcPr>
          <w:p w14:paraId="32ECD057">
            <w:r>
              <w:rPr>
                <w:rFonts w:ascii="微软雅黑" w:hAnsi="微软雅黑" w:eastAsia="微软雅黑"/>
                <w:sz w:val="18"/>
              </w:rPr>
              <w:t>种子到A轮</w:t>
            </w:r>
          </w:p>
        </w:tc>
      </w:tr>
      <w:tr w14:paraId="42EDA2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0F4F8"/>
          </w:tcPr>
          <w:p w14:paraId="06483D59">
            <w:r>
              <w:rPr>
                <w:rFonts w:ascii="微软雅黑" w:hAnsi="微软雅黑" w:eastAsia="微软雅黑"/>
                <w:sz w:val="18"/>
              </w:rPr>
              <w:t>美团龙珠</w:t>
            </w:r>
          </w:p>
        </w:tc>
        <w:tc>
          <w:tcPr>
            <w:tcW w:w="3685" w:type="dxa"/>
            <w:shd w:val="clear" w:color="auto" w:fill="F0F4F8"/>
          </w:tcPr>
          <w:p w14:paraId="56B8CC16">
            <w:r>
              <w:rPr>
                <w:rFonts w:ascii="微软雅黑" w:hAnsi="微软雅黑" w:eastAsia="微软雅黑"/>
                <w:sz w:val="18"/>
              </w:rPr>
              <w:t>4+家商业服务场景机器人</w:t>
            </w:r>
          </w:p>
        </w:tc>
        <w:tc>
          <w:tcPr>
            <w:tcW w:w="3402" w:type="dxa"/>
            <w:shd w:val="clear" w:color="auto" w:fill="F0F4F8"/>
          </w:tcPr>
          <w:p w14:paraId="2B5D1976">
            <w:r>
              <w:rPr>
                <w:rFonts w:ascii="微软雅黑" w:hAnsi="微软雅黑" w:eastAsia="微软雅黑"/>
                <w:sz w:val="18"/>
              </w:rPr>
              <w:t>A到B轮</w:t>
            </w:r>
          </w:p>
        </w:tc>
      </w:tr>
      <w:tr w14:paraId="3D5BC8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4CEE6598">
            <w:r>
              <w:rPr>
                <w:rFonts w:ascii="微软雅黑" w:hAnsi="微软雅黑" w:eastAsia="微软雅黑"/>
                <w:sz w:val="18"/>
              </w:rPr>
              <w:t>腾讯</w:t>
            </w:r>
          </w:p>
        </w:tc>
        <w:tc>
          <w:tcPr>
            <w:tcW w:w="3685" w:type="dxa"/>
          </w:tcPr>
          <w:p w14:paraId="627AA8A8">
            <w:r>
              <w:rPr>
                <w:rFonts w:ascii="微软雅黑" w:hAnsi="微软雅黑" w:eastAsia="微软雅黑"/>
                <w:sz w:val="18"/>
              </w:rPr>
              <w:t>自变量、天机、速途</w:t>
            </w:r>
          </w:p>
        </w:tc>
        <w:tc>
          <w:tcPr>
            <w:tcW w:w="3402" w:type="dxa"/>
          </w:tcPr>
          <w:p w14:paraId="64C64985">
            <w:r>
              <w:rPr>
                <w:rFonts w:ascii="微软雅黑" w:hAnsi="微软雅黑" w:eastAsia="微软雅黑"/>
                <w:sz w:val="18"/>
              </w:rPr>
              <w:t>种子到A轮</w:t>
            </w:r>
          </w:p>
        </w:tc>
      </w:tr>
      <w:tr w14:paraId="2C81C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0F4F8"/>
          </w:tcPr>
          <w:p w14:paraId="262316C7">
            <w:r>
              <w:rPr>
                <w:rFonts w:ascii="微软雅黑" w:hAnsi="微软雅黑" w:eastAsia="微软雅黑"/>
                <w:sz w:val="18"/>
              </w:rPr>
              <w:t>小米</w:t>
            </w:r>
          </w:p>
        </w:tc>
        <w:tc>
          <w:tcPr>
            <w:tcW w:w="3685" w:type="dxa"/>
            <w:shd w:val="clear" w:color="auto" w:fill="F0F4F8"/>
          </w:tcPr>
          <w:p w14:paraId="131D585A">
            <w:r>
              <w:rPr>
                <w:rFonts w:ascii="微软雅黑" w:hAnsi="微软雅黑" w:eastAsia="微软雅黑"/>
                <w:sz w:val="18"/>
              </w:rPr>
              <w:t>自变量(三轮)、宇树(客户)</w:t>
            </w:r>
          </w:p>
        </w:tc>
        <w:tc>
          <w:tcPr>
            <w:tcW w:w="3402" w:type="dxa"/>
            <w:shd w:val="clear" w:color="auto" w:fill="F0F4F8"/>
          </w:tcPr>
          <w:p w14:paraId="7D6BBE98">
            <w:r>
              <w:rPr>
                <w:rFonts w:ascii="微软雅黑" w:hAnsi="微软雅黑" w:eastAsia="微软雅黑"/>
                <w:sz w:val="18"/>
              </w:rPr>
              <w:t>多轮跟投</w:t>
            </w:r>
          </w:p>
        </w:tc>
      </w:tr>
      <w:tr w14:paraId="12BB30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3D972441">
            <w:r>
              <w:rPr>
                <w:rFonts w:ascii="微软雅黑" w:hAnsi="微软雅黑" w:eastAsia="微软雅黑"/>
                <w:sz w:val="18"/>
              </w:rPr>
              <w:t>阿里</w:t>
            </w:r>
          </w:p>
        </w:tc>
        <w:tc>
          <w:tcPr>
            <w:tcW w:w="3685" w:type="dxa"/>
          </w:tcPr>
          <w:p w14:paraId="073CFEFC">
            <w:r>
              <w:rPr>
                <w:rFonts w:ascii="微软雅黑" w:hAnsi="微软雅黑" w:eastAsia="微软雅黑"/>
                <w:sz w:val="18"/>
              </w:rPr>
              <w:t>正在评估RoboX</w:t>
            </w:r>
          </w:p>
        </w:tc>
        <w:tc>
          <w:tcPr>
            <w:tcW w:w="3402" w:type="dxa"/>
          </w:tcPr>
          <w:p w14:paraId="7A8E95E2">
            <w:r>
              <w:rPr>
                <w:rFonts w:ascii="微软雅黑" w:hAnsi="微软雅黑" w:eastAsia="微软雅黑"/>
                <w:sz w:val="18"/>
              </w:rPr>
              <w:t>战略投资</w:t>
            </w:r>
          </w:p>
        </w:tc>
      </w:tr>
      <w:tr w14:paraId="2A91DD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0F4F8"/>
          </w:tcPr>
          <w:p w14:paraId="76486B3F">
            <w:r>
              <w:rPr>
                <w:rFonts w:ascii="微软雅黑" w:hAnsi="微软雅黑" w:eastAsia="微软雅黑"/>
                <w:sz w:val="18"/>
              </w:rPr>
              <w:t>云锋资本</w:t>
            </w:r>
          </w:p>
        </w:tc>
        <w:tc>
          <w:tcPr>
            <w:tcW w:w="3685" w:type="dxa"/>
            <w:shd w:val="clear" w:color="auto" w:fill="F0F4F8"/>
          </w:tcPr>
          <w:p w14:paraId="2F12238F">
            <w:r>
              <w:rPr>
                <w:rFonts w:ascii="微软雅黑" w:hAnsi="微软雅黑" w:eastAsia="微软雅黑"/>
                <w:sz w:val="18"/>
              </w:rPr>
              <w:t>千寻智能</w:t>
            </w:r>
          </w:p>
        </w:tc>
        <w:tc>
          <w:tcPr>
            <w:tcW w:w="3402" w:type="dxa"/>
            <w:shd w:val="clear" w:color="auto" w:fill="F0F4F8"/>
          </w:tcPr>
          <w:p w14:paraId="181B08D8">
            <w:r>
              <w:rPr>
                <w:rFonts w:ascii="微软雅黑" w:hAnsi="微软雅黑" w:eastAsia="微软雅黑"/>
                <w:sz w:val="18"/>
              </w:rPr>
              <w:t>A轮+</w:t>
            </w:r>
          </w:p>
        </w:tc>
      </w:tr>
      <w:tr w14:paraId="6E1731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75F042F3">
            <w:r>
              <w:rPr>
                <w:rFonts w:ascii="微软雅黑" w:hAnsi="微软雅黑" w:eastAsia="微软雅黑"/>
                <w:sz w:val="18"/>
              </w:rPr>
              <w:t>经纬创投</w:t>
            </w:r>
          </w:p>
        </w:tc>
        <w:tc>
          <w:tcPr>
            <w:tcW w:w="3685" w:type="dxa"/>
          </w:tcPr>
          <w:p w14:paraId="024BAC52">
            <w:r>
              <w:rPr>
                <w:rFonts w:ascii="微软雅黑" w:hAnsi="微软雅黑" w:eastAsia="微软雅黑"/>
                <w:sz w:val="18"/>
              </w:rPr>
              <w:t>多家机器人公司</w:t>
            </w:r>
          </w:p>
        </w:tc>
        <w:tc>
          <w:tcPr>
            <w:tcW w:w="3402" w:type="dxa"/>
          </w:tcPr>
          <w:p w14:paraId="45BF80A3">
            <w:r>
              <w:rPr>
                <w:rFonts w:ascii="微软雅黑" w:hAnsi="微软雅黑" w:eastAsia="微软雅黑"/>
                <w:sz w:val="18"/>
              </w:rPr>
              <w:t>天使到B轮</w:t>
            </w:r>
          </w:p>
        </w:tc>
      </w:tr>
      <w:tr w14:paraId="6B7BCC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0F4F8"/>
          </w:tcPr>
          <w:p w14:paraId="21ED5A3C">
            <w:r>
              <w:rPr>
                <w:rFonts w:ascii="微软雅黑" w:hAnsi="微软雅黑" w:eastAsia="微软雅黑"/>
                <w:sz w:val="18"/>
              </w:rPr>
              <w:t>启明创投</w:t>
            </w:r>
          </w:p>
        </w:tc>
        <w:tc>
          <w:tcPr>
            <w:tcW w:w="3685" w:type="dxa"/>
            <w:shd w:val="clear" w:color="auto" w:fill="F0F4F8"/>
          </w:tcPr>
          <w:p w14:paraId="081976B4">
            <w:r>
              <w:rPr>
                <w:rFonts w:ascii="微软雅黑" w:hAnsi="微软雅黑" w:eastAsia="微软雅黑"/>
                <w:sz w:val="18"/>
              </w:rPr>
              <w:t>具身智能多家</w:t>
            </w:r>
          </w:p>
        </w:tc>
        <w:tc>
          <w:tcPr>
            <w:tcW w:w="3402" w:type="dxa"/>
            <w:shd w:val="clear" w:color="auto" w:fill="F0F4F8"/>
          </w:tcPr>
          <w:p w14:paraId="48B6A322">
            <w:r>
              <w:rPr>
                <w:rFonts w:ascii="微软雅黑" w:hAnsi="微软雅黑" w:eastAsia="微软雅黑"/>
                <w:sz w:val="18"/>
              </w:rPr>
              <w:t>天使到A轮</w:t>
            </w:r>
          </w:p>
        </w:tc>
      </w:tr>
    </w:tbl>
    <w:p w14:paraId="20F52C38">
      <w:pPr>
        <w:pStyle w:val="4"/>
      </w:pPr>
      <w:r>
        <w:rPr>
          <w:rFonts w:ascii="微软雅黑" w:hAnsi="微软雅黑" w:eastAsia="微软雅黑"/>
        </w:rPr>
        <w:t>2.5 RoboX应重点对接的机构</w:t>
      </w:r>
    </w:p>
    <w:p w14:paraId="41F1E409">
      <w:r>
        <w:rPr>
          <w:rFonts w:ascii="微软雅黑" w:hAnsi="微软雅黑" w:eastAsia="微软雅黑"/>
          <w:b/>
          <w:color w:val="C0392B"/>
        </w:rPr>
        <w:t>第一梯队（必须优先接触）：</w:t>
      </w:r>
    </w:p>
    <w:p w14:paraId="37DA6819">
      <w:pPr>
        <w:ind w:firstLine="420"/>
      </w:pPr>
      <w:r>
        <w:rPr>
          <w:rFonts w:ascii="微软雅黑" w:hAnsi="微软雅黑" w:eastAsia="微软雅黑"/>
        </w:rPr>
        <w:t>红杉中国——正在深度接触同为达摩院出身的林俊旸，对达摩院技术团队有明确估值认知。高瓴——覆盖面最广，从天使轮就愿意下注，投资组合中多家公司可作为RoboX的硬件合作伙伴。蓝驰创投——早期阶段最果断，39亿元新基金急需配置，适合Pre-A阶段快速close。</w:t>
      </w:r>
    </w:p>
    <w:p w14:paraId="766FB507">
      <w:r>
        <w:rPr>
          <w:rFonts w:ascii="微软雅黑" w:hAnsi="微软雅黑" w:eastAsia="微软雅黑"/>
          <w:b/>
          <w:color w:val="D48A0B"/>
        </w:rPr>
        <w:t>第二梯队（同步推进）：</w:t>
      </w:r>
    </w:p>
    <w:p w14:paraId="7E4DEA99">
      <w:pPr>
        <w:ind w:firstLine="420"/>
      </w:pPr>
      <w:r>
        <w:rPr>
          <w:rFonts w:ascii="微软雅黑" w:hAnsi="微软雅黑" w:eastAsia="微软雅黑"/>
        </w:rPr>
        <w:t>蚂蚁集团——阿里生态天然关联方，2026年最激进的天使投资方。美团龙珠——商业服务场景资源和投资意愿都非常匹配。云锋资本——马云联合创立，对阿里系创业者有天然偏好。</w:t>
      </w:r>
    </w:p>
    <w:p w14:paraId="29A54789">
      <w:r>
        <w:rPr>
          <w:rFonts w:ascii="微软雅黑" w:hAnsi="微软雅黑" w:eastAsia="微软雅黑"/>
          <w:b/>
          <w:color w:val="277DA1"/>
        </w:rPr>
        <w:t>第三梯队（第二轮引入）：</w:t>
      </w:r>
    </w:p>
    <w:p w14:paraId="7B01D537">
      <w:pPr>
        <w:ind w:firstLine="420"/>
      </w:pPr>
      <w:r>
        <w:rPr>
          <w:rFonts w:ascii="微软雅黑" w:hAnsi="微软雅黑" w:eastAsia="微软雅黑"/>
        </w:rPr>
        <w:t>红杉、高瓴的大型美元/人民币双币基金适合在第二轮作为领投方站台。国资/政府引导基金应安排在第二轮引入，以提升项目政策可信度。</w:t>
      </w:r>
    </w:p>
    <w:p w14:paraId="383CD599">
      <w:pPr>
        <w:pStyle w:val="4"/>
      </w:pPr>
      <w:r>
        <w:rPr>
          <w:rFonts w:ascii="微软雅黑" w:hAnsi="微软雅黑" w:eastAsia="微软雅黑"/>
        </w:rPr>
        <w:t>2.6 达摩院/前阿里团队的估值参考</w:t>
      </w:r>
    </w:p>
    <w:p w14:paraId="6B7DCC81">
      <w:pPr>
        <w:ind w:firstLine="420"/>
      </w:pPr>
      <w:r>
        <w:rPr>
          <w:rFonts w:ascii="微软雅黑" w:hAnsi="微软雅黑" w:eastAsia="微软雅黑"/>
        </w:rPr>
        <w:t>一个值得注意的市场信号：前通义千问负责人林俊旸（达摩院最年轻P10）正在以约20亿美元估值进行种子轮融资，红杉中国和高瓴正在深度谈判。这为RoboX提供了一个直接的对标基准——同为达摩院核心技术团队独立创业，RoboX的技术积累（50万小时数据、三层模型架构、跨本体能力）同样具备高估值的支撑基础。</w:t>
      </w:r>
    </w:p>
    <w:p w14:paraId="491F6D40">
      <w:r>
        <w:br w:type="page"/>
      </w:r>
    </w:p>
    <w:p w14:paraId="0F9A7741">
      <w:pPr>
        <w:pStyle w:val="3"/>
      </w:pPr>
      <w:r>
        <w:rPr>
          <w:rFonts w:ascii="微软雅黑" w:hAnsi="微软雅黑" w:eastAsia="微软雅黑"/>
        </w:rPr>
        <w:t>三、国内顶级FA机构</w:t>
      </w:r>
    </w:p>
    <w:p w14:paraId="78E73A50">
      <w:pPr>
        <w:pStyle w:val="4"/>
      </w:pPr>
      <w:r>
        <w:rPr>
          <w:rFonts w:ascii="微软雅黑" w:hAnsi="微软雅黑" w:eastAsia="微软雅黑"/>
        </w:rPr>
        <w:t>3.1 具身智能领域FA排名（2025年）</w:t>
      </w:r>
    </w:p>
    <w:p w14:paraId="7F6E8D7D">
      <w:pPr>
        <w:ind w:firstLine="420"/>
      </w:pPr>
      <w:r>
        <w:rPr>
          <w:rFonts w:ascii="微软雅黑" w:hAnsi="微软雅黑" w:eastAsia="微软雅黑"/>
        </w:rPr>
        <w:t>根据第一新声、IT桔子、投中信息等多家第三方机构的排名数据：</w:t>
      </w:r>
    </w:p>
    <w:p w14:paraId="6D5B7DCA"/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2835"/>
        <w:gridCol w:w="5102"/>
      </w:tblGrid>
      <w:tr w14:paraId="256908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shd w:val="clear" w:color="auto" w:fill="1A3C6E"/>
          </w:tcPr>
          <w:p w14:paraId="48F81165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排名</w:t>
            </w:r>
          </w:p>
        </w:tc>
        <w:tc>
          <w:tcPr>
            <w:tcW w:w="2835" w:type="dxa"/>
            <w:shd w:val="clear" w:color="auto" w:fill="1A3C6E"/>
          </w:tcPr>
          <w:p w14:paraId="1941A678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FA机构</w:t>
            </w:r>
          </w:p>
        </w:tc>
        <w:tc>
          <w:tcPr>
            <w:tcW w:w="5102" w:type="dxa"/>
            <w:shd w:val="clear" w:color="auto" w:fill="1A3C6E"/>
          </w:tcPr>
          <w:p w14:paraId="5D7FC8F8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核心优势</w:t>
            </w:r>
          </w:p>
        </w:tc>
      </w:tr>
      <w:tr w14:paraId="25D85F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705161D4"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w="2835" w:type="dxa"/>
          </w:tcPr>
          <w:p w14:paraId="0D157448">
            <w:r>
              <w:rPr>
                <w:rFonts w:ascii="微软雅黑" w:hAnsi="微软雅黑" w:eastAsia="微软雅黑"/>
                <w:sz w:val="18"/>
              </w:rPr>
              <w:t>高鹄资本（Cygnus Capital）</w:t>
            </w:r>
          </w:p>
        </w:tc>
        <w:tc>
          <w:tcPr>
            <w:tcW w:w="5102" w:type="dxa"/>
          </w:tcPr>
          <w:p w14:paraId="3AB127E3">
            <w:r>
              <w:rPr>
                <w:rFonts w:ascii="微软雅黑" w:hAnsi="微软雅黑" w:eastAsia="微软雅黑"/>
                <w:sz w:val="18"/>
              </w:rPr>
              <w:t>具身智能专项排名第一</w:t>
            </w:r>
          </w:p>
        </w:tc>
      </w:tr>
      <w:tr w14:paraId="06AB1D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shd w:val="clear" w:color="auto" w:fill="F0F4F8"/>
          </w:tcPr>
          <w:p w14:paraId="31A31E0E"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  <w:tc>
          <w:tcPr>
            <w:tcW w:w="2835" w:type="dxa"/>
            <w:shd w:val="clear" w:color="auto" w:fill="F0F4F8"/>
          </w:tcPr>
          <w:p w14:paraId="5058CF7B">
            <w:r>
              <w:rPr>
                <w:rFonts w:ascii="微软雅黑" w:hAnsi="微软雅黑" w:eastAsia="微软雅黑"/>
                <w:sz w:val="18"/>
              </w:rPr>
              <w:t>华兴资本（China Renaissance）</w:t>
            </w:r>
          </w:p>
        </w:tc>
        <w:tc>
          <w:tcPr>
            <w:tcW w:w="5102" w:type="dxa"/>
            <w:shd w:val="clear" w:color="auto" w:fill="F0F4F8"/>
          </w:tcPr>
          <w:p w14:paraId="1CB2176E">
            <w:r>
              <w:rPr>
                <w:rFonts w:ascii="微软雅黑" w:hAnsi="微软雅黑" w:eastAsia="微软雅黑"/>
                <w:sz w:val="18"/>
              </w:rPr>
              <w:t>AI/机器人总交易量最大</w:t>
            </w:r>
          </w:p>
        </w:tc>
      </w:tr>
      <w:tr w14:paraId="299B95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13BDBCB9"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w="2835" w:type="dxa"/>
          </w:tcPr>
          <w:p w14:paraId="1E6BADF9">
            <w:r>
              <w:rPr>
                <w:rFonts w:ascii="微软雅黑" w:hAnsi="微软雅黑" w:eastAsia="微软雅黑"/>
                <w:sz w:val="18"/>
              </w:rPr>
              <w:t>光源资本（Lighthouse Capital）</w:t>
            </w:r>
          </w:p>
        </w:tc>
        <w:tc>
          <w:tcPr>
            <w:tcW w:w="5102" w:type="dxa"/>
          </w:tcPr>
          <w:p w14:paraId="507DB1B9">
            <w:r>
              <w:rPr>
                <w:rFonts w:ascii="微软雅黑" w:hAnsi="微软雅黑" w:eastAsia="微软雅黑"/>
                <w:sz w:val="18"/>
              </w:rPr>
              <w:t>综合排名第一，AI强势</w:t>
            </w:r>
          </w:p>
        </w:tc>
      </w:tr>
      <w:tr w14:paraId="60CF9C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shd w:val="clear" w:color="auto" w:fill="F0F4F8"/>
          </w:tcPr>
          <w:p w14:paraId="35FDC790">
            <w:r>
              <w:rPr>
                <w:rFonts w:ascii="微软雅黑" w:hAnsi="微软雅黑" w:eastAsia="微软雅黑"/>
                <w:sz w:val="18"/>
              </w:rPr>
              <w:t>4</w:t>
            </w:r>
          </w:p>
        </w:tc>
        <w:tc>
          <w:tcPr>
            <w:tcW w:w="2835" w:type="dxa"/>
            <w:shd w:val="clear" w:color="auto" w:fill="F0F4F8"/>
          </w:tcPr>
          <w:p w14:paraId="5969446B">
            <w:r>
              <w:rPr>
                <w:rFonts w:ascii="微软雅黑" w:hAnsi="微软雅黑" w:eastAsia="微软雅黑"/>
                <w:sz w:val="18"/>
              </w:rPr>
              <w:t>跃为资本（Yuewei Capital）</w:t>
            </w:r>
          </w:p>
        </w:tc>
        <w:tc>
          <w:tcPr>
            <w:tcW w:w="5102" w:type="dxa"/>
            <w:shd w:val="clear" w:color="auto" w:fill="F0F4F8"/>
          </w:tcPr>
          <w:p w14:paraId="1BB0E03A">
            <w:r>
              <w:rPr>
                <w:rFonts w:ascii="微软雅黑" w:hAnsi="微软雅黑" w:eastAsia="微软雅黑"/>
                <w:sz w:val="18"/>
              </w:rPr>
              <w:t>跨领域能力</w:t>
            </w:r>
          </w:p>
        </w:tc>
      </w:tr>
      <w:tr w14:paraId="37EA24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7331A6C0">
            <w:r>
              <w:rPr>
                <w:rFonts w:ascii="微软雅黑" w:hAnsi="微软雅黑" w:eastAsia="微软雅黑"/>
                <w:sz w:val="18"/>
              </w:rPr>
              <w:t>5</w:t>
            </w:r>
          </w:p>
        </w:tc>
        <w:tc>
          <w:tcPr>
            <w:tcW w:w="2835" w:type="dxa"/>
          </w:tcPr>
          <w:p w14:paraId="0BBA5AB7">
            <w:r>
              <w:rPr>
                <w:rFonts w:ascii="微软雅黑" w:hAnsi="微软雅黑" w:eastAsia="微软雅黑"/>
                <w:sz w:val="18"/>
              </w:rPr>
              <w:t>一苇资本（Yiwei Capital）</w:t>
            </w:r>
          </w:p>
        </w:tc>
        <w:tc>
          <w:tcPr>
            <w:tcW w:w="5102" w:type="dxa"/>
          </w:tcPr>
          <w:p w14:paraId="7DE847CA">
            <w:r>
              <w:rPr>
                <w:rFonts w:ascii="微软雅黑" w:hAnsi="微软雅黑" w:eastAsia="微软雅黑"/>
                <w:sz w:val="18"/>
              </w:rPr>
              <w:t>早期机器人专项</w:t>
            </w:r>
          </w:p>
        </w:tc>
      </w:tr>
    </w:tbl>
    <w:p w14:paraId="16DB4AA3">
      <w:pPr>
        <w:pStyle w:val="4"/>
      </w:pPr>
      <w:r>
        <w:rPr>
          <w:rFonts w:ascii="微软雅黑" w:hAnsi="微软雅黑" w:eastAsia="微软雅黑"/>
        </w:rPr>
        <w:t>3.2 重点FA机构详细介绍</w:t>
      </w:r>
    </w:p>
    <w:p w14:paraId="3670F37B">
      <w:pPr>
        <w:pStyle w:val="5"/>
      </w:pPr>
      <w:r>
        <w:rPr>
          <w:rFonts w:ascii="微软雅黑" w:hAnsi="微软雅黑" w:eastAsia="微软雅黑"/>
        </w:rPr>
        <w:t>高鹄资本（Cygnus Capital）</w:t>
      </w:r>
    </w:p>
    <w:p w14:paraId="7271B744">
      <w:pPr>
        <w:ind w:firstLine="420"/>
      </w:pPr>
      <w:r>
        <w:rPr>
          <w:rFonts w:ascii="微软雅黑" w:hAnsi="微软雅黑" w:eastAsia="微软雅黑"/>
        </w:rPr>
        <w:t>具身智能领域排名第一的FA。在AI和硬科技方向项目储备深厚，曾参与天机智能（高瓴/美团投资，10亿元轮次）等重大具身智能融资。团队在北京、上海、深圳、杭州四地设有办公室。官网：cygnusequity.net。</w:t>
      </w:r>
    </w:p>
    <w:p w14:paraId="48703B0E">
      <w:pPr>
        <w:pStyle w:val="5"/>
      </w:pPr>
      <w:r>
        <w:rPr>
          <w:rFonts w:ascii="微软雅黑" w:hAnsi="微软雅黑" w:eastAsia="微软雅黑"/>
        </w:rPr>
        <w:t>华兴资本（China Renaissance）</w:t>
      </w:r>
    </w:p>
    <w:p w14:paraId="7C50BA8A">
      <w:pPr>
        <w:ind w:firstLine="420"/>
      </w:pPr>
      <w:r>
        <w:rPr>
          <w:rFonts w:ascii="微软雅黑" w:hAnsi="微软雅黑" w:eastAsia="微软雅黑"/>
        </w:rPr>
        <w:t>由包凡于2004年创立，港股上市（01911.HK），中国最大的精品投行之一。2025年Q1完成9笔交易其中7笔为AI/机器人方向。代表性项目包括智谱（大模型）、傅利叶智能（从孵化阶段开始服务）、星动纪元（清华系机器人）。MD徐锟公开表示"具身智能已经到了GPT时刻"。团队超100人，覆盖Pre-A到IPO全周期。官网：huaxing.com，微信公众号：华兴资本。</w:t>
      </w:r>
    </w:p>
    <w:p w14:paraId="7B1ABC7F">
      <w:pPr>
        <w:pStyle w:val="5"/>
      </w:pPr>
      <w:r>
        <w:rPr>
          <w:rFonts w:ascii="微软雅黑" w:hAnsi="微软雅黑" w:eastAsia="微软雅黑"/>
        </w:rPr>
        <w:t>光源资本（Lighthouse Capital）</w:t>
      </w:r>
    </w:p>
    <w:p w14:paraId="4805267F">
      <w:pPr>
        <w:ind w:firstLine="420"/>
      </w:pPr>
      <w:r>
        <w:rPr>
          <w:rFonts w:ascii="微软雅黑" w:hAnsi="微软雅黑" w:eastAsia="微软雅黑"/>
        </w:rPr>
        <w:t>由郑烜乐于2014年创立，2025年综合排名第一的最活跃FA。同时运营创业者基金L2F（光源创业者基金），可以FA+跟投模式参与。在AI领域代表项目包括爱诗科技、星眸科技、西湖机器人等。WAIC等顶级AI峰会上担任"AI+N超级连接器"。官网：lighthousecap.cn，微信公众号：光源资本。</w:t>
      </w:r>
    </w:p>
    <w:p w14:paraId="6CA19DF2">
      <w:pPr>
        <w:pStyle w:val="5"/>
      </w:pPr>
      <w:r>
        <w:rPr>
          <w:rFonts w:ascii="微软雅黑" w:hAnsi="微软雅黑" w:eastAsia="微软雅黑"/>
        </w:rPr>
        <w:t>一苇资本（Yiwei Capital）</w:t>
      </w:r>
    </w:p>
    <w:p w14:paraId="0ED846EF">
      <w:pPr>
        <w:ind w:firstLine="420"/>
      </w:pPr>
      <w:r>
        <w:rPr>
          <w:rFonts w:ascii="微软雅黑" w:hAnsi="微软雅黑" w:eastAsia="微软雅黑"/>
        </w:rPr>
        <w:t>专注先进材料、机器人和自动化方向的早期FA。2025年Q1完成7笔交易，已服务自变量机器人、中科原动力、松延动力等。在具身智能领域排名前五，专注早期阶段（A/B轮），与RoboX当前阶段匹配度高。主要通过行业引荐接触。</w:t>
      </w:r>
    </w:p>
    <w:p w14:paraId="13DE0035">
      <w:pPr>
        <w:pStyle w:val="4"/>
      </w:pPr>
      <w:r>
        <w:rPr>
          <w:rFonts w:ascii="微软雅黑" w:hAnsi="微软雅黑" w:eastAsia="微软雅黑"/>
        </w:rPr>
        <w:t>3.3 其他值得关注的FA</w:t>
      </w:r>
    </w:p>
    <w:p w14:paraId="41EF96F7"/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3969"/>
        <w:gridCol w:w="3118"/>
      </w:tblGrid>
      <w:tr w14:paraId="1492E7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1A3C6E"/>
          </w:tcPr>
          <w:p w14:paraId="6AB9230E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FA机构</w:t>
            </w:r>
          </w:p>
        </w:tc>
        <w:tc>
          <w:tcPr>
            <w:tcW w:w="3969" w:type="dxa"/>
            <w:shd w:val="clear" w:color="auto" w:fill="1A3C6E"/>
          </w:tcPr>
          <w:p w14:paraId="3869625D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特色</w:t>
            </w:r>
          </w:p>
        </w:tc>
        <w:tc>
          <w:tcPr>
            <w:tcW w:w="3118" w:type="dxa"/>
            <w:shd w:val="clear" w:color="auto" w:fill="1A3C6E"/>
          </w:tcPr>
          <w:p w14:paraId="4FE93CC1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官网/联系方式</w:t>
            </w:r>
          </w:p>
        </w:tc>
      </w:tr>
      <w:tr w14:paraId="23F895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105D94AB">
            <w:r>
              <w:rPr>
                <w:rFonts w:ascii="微软雅黑" w:hAnsi="微软雅黑" w:eastAsia="微软雅黑"/>
                <w:sz w:val="18"/>
              </w:rPr>
              <w:t>远望资本</w:t>
            </w:r>
          </w:p>
        </w:tc>
        <w:tc>
          <w:tcPr>
            <w:tcW w:w="3969" w:type="dxa"/>
          </w:tcPr>
          <w:p w14:paraId="035BD081">
            <w:r>
              <w:rPr>
                <w:rFonts w:ascii="微软雅黑" w:hAnsi="微软雅黑" w:eastAsia="微软雅黑"/>
                <w:sz w:val="18"/>
              </w:rPr>
              <w:t>创始人程浩（迅雷前CEO），专注早期科技</w:t>
            </w:r>
          </w:p>
        </w:tc>
        <w:tc>
          <w:tcPr>
            <w:tcW w:w="3118" w:type="dxa"/>
          </w:tcPr>
          <w:p w14:paraId="0839B320">
            <w:r>
              <w:rPr>
                <w:rFonts w:ascii="微软雅黑" w:hAnsi="微软雅黑" w:eastAsia="微软雅黑"/>
                <w:sz w:val="18"/>
              </w:rPr>
              <w:t>微信公众号：远望资本</w:t>
            </w:r>
          </w:p>
        </w:tc>
      </w:tr>
      <w:tr w14:paraId="1816A1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0F4F8"/>
          </w:tcPr>
          <w:p w14:paraId="6F6232BF">
            <w:r>
              <w:rPr>
                <w:rFonts w:ascii="微软雅黑" w:hAnsi="微软雅黑" w:eastAsia="微软雅黑"/>
                <w:sz w:val="18"/>
              </w:rPr>
              <w:t>势能资本</w:t>
            </w:r>
          </w:p>
        </w:tc>
        <w:tc>
          <w:tcPr>
            <w:tcW w:w="3969" w:type="dxa"/>
            <w:shd w:val="clear" w:color="auto" w:fill="F0F4F8"/>
          </w:tcPr>
          <w:p w14:paraId="0F02DC61">
            <w:r>
              <w:rPr>
                <w:rFonts w:ascii="微软雅黑" w:hAnsi="微软雅黑" w:eastAsia="微软雅黑"/>
                <w:sz w:val="18"/>
              </w:rPr>
              <w:t>"死磕非共识项目"，专注硬科技</w:t>
            </w:r>
          </w:p>
        </w:tc>
        <w:tc>
          <w:tcPr>
            <w:tcW w:w="3118" w:type="dxa"/>
            <w:shd w:val="clear" w:color="auto" w:fill="F0F4F8"/>
          </w:tcPr>
          <w:p w14:paraId="6B80755E"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  <w:tr w14:paraId="53191F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31A04371">
            <w:r>
              <w:rPr>
                <w:rFonts w:ascii="微软雅黑" w:hAnsi="微软雅黑" w:eastAsia="微软雅黑"/>
                <w:sz w:val="18"/>
              </w:rPr>
              <w:t>庚辛资本</w:t>
            </w:r>
          </w:p>
        </w:tc>
        <w:tc>
          <w:tcPr>
            <w:tcW w:w="3969" w:type="dxa"/>
          </w:tcPr>
          <w:p w14:paraId="51658956">
            <w:r>
              <w:rPr>
                <w:rFonts w:ascii="微软雅黑" w:hAnsi="微软雅黑" w:eastAsia="微软雅黑"/>
                <w:sz w:val="18"/>
              </w:rPr>
              <w:t>精品型，专注硬科技/AI</w:t>
            </w:r>
          </w:p>
        </w:tc>
        <w:tc>
          <w:tcPr>
            <w:tcW w:w="3118" w:type="dxa"/>
          </w:tcPr>
          <w:p w14:paraId="6E7A66E6"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  <w:tr w14:paraId="37DDEB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0F4F8"/>
          </w:tcPr>
          <w:p w14:paraId="33D70668">
            <w:r>
              <w:rPr>
                <w:rFonts w:ascii="微软雅黑" w:hAnsi="微软雅黑" w:eastAsia="微软雅黑"/>
                <w:sz w:val="18"/>
              </w:rPr>
              <w:t>凡卓资本/小饭桌</w:t>
            </w:r>
          </w:p>
        </w:tc>
        <w:tc>
          <w:tcPr>
            <w:tcW w:w="3969" w:type="dxa"/>
            <w:shd w:val="clear" w:color="auto" w:fill="F0F4F8"/>
          </w:tcPr>
          <w:p w14:paraId="484CB4DB">
            <w:r>
              <w:rPr>
                <w:rFonts w:ascii="微软雅黑" w:hAnsi="微软雅黑" w:eastAsia="微软雅黑"/>
                <w:sz w:val="18"/>
              </w:rPr>
              <w:t>科技/芯片方向，活跃于早期</w:t>
            </w:r>
          </w:p>
        </w:tc>
        <w:tc>
          <w:tcPr>
            <w:tcW w:w="3118" w:type="dxa"/>
            <w:shd w:val="clear" w:color="auto" w:fill="F0F4F8"/>
          </w:tcPr>
          <w:p w14:paraId="6C741063">
            <w:r>
              <w:rPr>
                <w:rFonts w:ascii="微软雅黑" w:hAnsi="微软雅黑" w:eastAsia="微软雅黑"/>
                <w:sz w:val="18"/>
              </w:rPr>
              <w:t>xfz.cn</w:t>
            </w:r>
          </w:p>
        </w:tc>
      </w:tr>
      <w:tr w14:paraId="6D95F5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3B0B5740">
            <w:r>
              <w:rPr>
                <w:rFonts w:ascii="微软雅黑" w:hAnsi="微软雅黑" w:eastAsia="微软雅黑"/>
                <w:sz w:val="18"/>
              </w:rPr>
              <w:t>指数资本</w:t>
            </w:r>
          </w:p>
        </w:tc>
        <w:tc>
          <w:tcPr>
            <w:tcW w:w="3969" w:type="dxa"/>
          </w:tcPr>
          <w:p w14:paraId="579A1E37">
            <w:r>
              <w:rPr>
                <w:rFonts w:ascii="微软雅黑" w:hAnsi="微软雅黑" w:eastAsia="微软雅黑"/>
                <w:sz w:val="18"/>
              </w:rPr>
              <w:t>跨领域科技</w:t>
            </w:r>
          </w:p>
        </w:tc>
        <w:tc>
          <w:tcPr>
            <w:tcW w:w="3118" w:type="dxa"/>
          </w:tcPr>
          <w:p w14:paraId="132510D9"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  <w:tr w14:paraId="2857FD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0F4F8"/>
          </w:tcPr>
          <w:p w14:paraId="5CA201F2">
            <w:r>
              <w:rPr>
                <w:rFonts w:ascii="微软雅黑" w:hAnsi="微软雅黑" w:eastAsia="微软雅黑"/>
                <w:sz w:val="18"/>
              </w:rPr>
              <w:t>万创投行</w:t>
            </w:r>
          </w:p>
        </w:tc>
        <w:tc>
          <w:tcPr>
            <w:tcW w:w="3969" w:type="dxa"/>
            <w:shd w:val="clear" w:color="auto" w:fill="F0F4F8"/>
          </w:tcPr>
          <w:p w14:paraId="5D9DE603">
            <w:r>
              <w:rPr>
                <w:rFonts w:ascii="微软雅黑" w:hAnsi="微软雅黑" w:eastAsia="微软雅黑"/>
                <w:sz w:val="18"/>
              </w:rPr>
              <w:t>半导体/硬科技，2025Q2综合排名第二</w:t>
            </w:r>
          </w:p>
        </w:tc>
        <w:tc>
          <w:tcPr>
            <w:tcW w:w="3118" w:type="dxa"/>
            <w:shd w:val="clear" w:color="auto" w:fill="F0F4F8"/>
          </w:tcPr>
          <w:p w14:paraId="6AEC6900"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  <w:tr w14:paraId="060574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63848D69">
            <w:r>
              <w:rPr>
                <w:rFonts w:ascii="微软雅黑" w:hAnsi="微软雅黑" w:eastAsia="微软雅黑"/>
                <w:sz w:val="18"/>
              </w:rPr>
              <w:t>易凯资本</w:t>
            </w:r>
          </w:p>
        </w:tc>
        <w:tc>
          <w:tcPr>
            <w:tcW w:w="3969" w:type="dxa"/>
          </w:tcPr>
          <w:p w14:paraId="7A0C971D">
            <w:r>
              <w:rPr>
                <w:rFonts w:ascii="微软雅黑" w:hAnsi="微软雅黑" w:eastAsia="微软雅黑"/>
                <w:sz w:val="18"/>
              </w:rPr>
              <w:t>由王冉于2000年创立，中国最老牌FA之一</w:t>
            </w:r>
          </w:p>
        </w:tc>
        <w:tc>
          <w:tcPr>
            <w:tcW w:w="3118" w:type="dxa"/>
          </w:tcPr>
          <w:p w14:paraId="016BABBC">
            <w:r>
              <w:rPr>
                <w:rFonts w:ascii="微软雅黑" w:hAnsi="微软雅黑" w:eastAsia="微软雅黑"/>
                <w:sz w:val="18"/>
              </w:rPr>
              <w:t>ceccapitalgroup.com</w:t>
            </w:r>
          </w:p>
        </w:tc>
      </w:tr>
      <w:tr w14:paraId="614DD2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0F4F8"/>
          </w:tcPr>
          <w:p w14:paraId="042A6F75">
            <w:r>
              <w:rPr>
                <w:rFonts w:ascii="微软雅黑" w:hAnsi="微软雅黑" w:eastAsia="微软雅黑"/>
                <w:sz w:val="18"/>
              </w:rPr>
              <w:t>泰合资本</w:t>
            </w:r>
          </w:p>
        </w:tc>
        <w:tc>
          <w:tcPr>
            <w:tcW w:w="3969" w:type="dxa"/>
            <w:shd w:val="clear" w:color="auto" w:fill="F0F4F8"/>
          </w:tcPr>
          <w:p w14:paraId="712AA011">
            <w:r>
              <w:rPr>
                <w:rFonts w:ascii="微软雅黑" w:hAnsi="微软雅黑" w:eastAsia="微软雅黑"/>
                <w:sz w:val="18"/>
              </w:rPr>
              <w:t>精品型，深度战略顾问</w:t>
            </w:r>
          </w:p>
        </w:tc>
        <w:tc>
          <w:tcPr>
            <w:tcW w:w="3118" w:type="dxa"/>
            <w:shd w:val="clear" w:color="auto" w:fill="F0F4F8"/>
          </w:tcPr>
          <w:p w14:paraId="1D7A6EE8"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</w:tbl>
    <w:p w14:paraId="442BC1ED">
      <w:pPr>
        <w:pStyle w:val="4"/>
      </w:pPr>
      <w:r>
        <w:rPr>
          <w:rFonts w:ascii="微软雅黑" w:hAnsi="微软雅黑" w:eastAsia="微软雅黑"/>
        </w:rPr>
        <w:t>3.4 FA费用结构</w:t>
      </w:r>
    </w:p>
    <w:p w14:paraId="61D8A504"/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69"/>
        <w:gridCol w:w="4819"/>
      </w:tblGrid>
      <w:tr w14:paraId="7AE000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69" w:type="dxa"/>
            <w:shd w:val="clear" w:color="auto" w:fill="1A3C6E"/>
          </w:tcPr>
          <w:p w14:paraId="48873362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阶段/金额</w:t>
            </w:r>
          </w:p>
        </w:tc>
        <w:tc>
          <w:tcPr>
            <w:tcW w:w="4819" w:type="dxa"/>
            <w:shd w:val="clear" w:color="auto" w:fill="1A3C6E"/>
          </w:tcPr>
          <w:p w14:paraId="55F98D1B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通常佣金比例</w:t>
            </w:r>
          </w:p>
        </w:tc>
      </w:tr>
      <w:tr w14:paraId="629F48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69" w:type="dxa"/>
          </w:tcPr>
          <w:p w14:paraId="5C038D08">
            <w:r>
              <w:rPr>
                <w:rFonts w:ascii="微软雅黑" w:hAnsi="微软雅黑" w:eastAsia="微软雅黑"/>
                <w:sz w:val="18"/>
              </w:rPr>
              <w:t>天使轮</w:t>
            </w:r>
          </w:p>
        </w:tc>
        <w:tc>
          <w:tcPr>
            <w:tcW w:w="4819" w:type="dxa"/>
          </w:tcPr>
          <w:p w14:paraId="5B546A25">
            <w:r>
              <w:rPr>
                <w:rFonts w:ascii="微软雅黑" w:hAnsi="微软雅黑" w:eastAsia="微软雅黑"/>
                <w:sz w:val="18"/>
              </w:rPr>
              <w:t>5%</w:t>
            </w:r>
          </w:p>
        </w:tc>
      </w:tr>
      <w:tr w14:paraId="2C5E6D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69" w:type="dxa"/>
            <w:shd w:val="clear" w:color="auto" w:fill="F0F4F8"/>
          </w:tcPr>
          <w:p w14:paraId="311FAF76">
            <w:r>
              <w:rPr>
                <w:rFonts w:ascii="微软雅黑" w:hAnsi="微软雅黑" w:eastAsia="微软雅黑"/>
                <w:sz w:val="18"/>
              </w:rPr>
              <w:t>A轮</w:t>
            </w:r>
          </w:p>
        </w:tc>
        <w:tc>
          <w:tcPr>
            <w:tcW w:w="4819" w:type="dxa"/>
            <w:shd w:val="clear" w:color="auto" w:fill="F0F4F8"/>
          </w:tcPr>
          <w:p w14:paraId="3FBFB28D">
            <w:r>
              <w:rPr>
                <w:rFonts w:ascii="微软雅黑" w:hAnsi="微软雅黑" w:eastAsia="微软雅黑"/>
                <w:sz w:val="18"/>
              </w:rPr>
              <w:t>3%</w:t>
            </w:r>
          </w:p>
        </w:tc>
      </w:tr>
      <w:tr w14:paraId="1C2093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69" w:type="dxa"/>
          </w:tcPr>
          <w:p w14:paraId="1525A21E">
            <w:r>
              <w:rPr>
                <w:rFonts w:ascii="微软雅黑" w:hAnsi="微软雅黑" w:eastAsia="微软雅黑"/>
                <w:sz w:val="18"/>
              </w:rPr>
              <w:t>B轮及以上</w:t>
            </w:r>
          </w:p>
        </w:tc>
        <w:tc>
          <w:tcPr>
            <w:tcW w:w="4819" w:type="dxa"/>
          </w:tcPr>
          <w:p w14:paraId="7BA0F779">
            <w:r>
              <w:rPr>
                <w:rFonts w:ascii="微软雅黑" w:hAnsi="微软雅黑" w:eastAsia="微软雅黑"/>
                <w:sz w:val="18"/>
              </w:rPr>
              <w:t>约2%</w:t>
            </w:r>
          </w:p>
        </w:tc>
      </w:tr>
      <w:tr w14:paraId="25B3AB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69" w:type="dxa"/>
            <w:shd w:val="clear" w:color="auto" w:fill="F0F4F8"/>
          </w:tcPr>
          <w:p w14:paraId="14B8E923">
            <w:r>
              <w:rPr>
                <w:rFonts w:ascii="微软雅黑" w:hAnsi="微软雅黑" w:eastAsia="微软雅黑"/>
                <w:sz w:val="18"/>
              </w:rPr>
              <w:t>5000万元以下</w:t>
            </w:r>
          </w:p>
        </w:tc>
        <w:tc>
          <w:tcPr>
            <w:tcW w:w="4819" w:type="dxa"/>
            <w:shd w:val="clear" w:color="auto" w:fill="F0F4F8"/>
          </w:tcPr>
          <w:p w14:paraId="0D8D6AC1">
            <w:r>
              <w:rPr>
                <w:rFonts w:ascii="微软雅黑" w:hAnsi="微软雅黑" w:eastAsia="微软雅黑"/>
                <w:sz w:val="18"/>
              </w:rPr>
              <w:t>5%</w:t>
            </w:r>
          </w:p>
        </w:tc>
      </w:tr>
      <w:tr w14:paraId="271C40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69" w:type="dxa"/>
          </w:tcPr>
          <w:p w14:paraId="1E38A4B0">
            <w:r>
              <w:rPr>
                <w:rFonts w:ascii="微软雅黑" w:hAnsi="微软雅黑" w:eastAsia="微软雅黑"/>
                <w:sz w:val="18"/>
              </w:rPr>
              <w:t>5000万-1亿元</w:t>
            </w:r>
          </w:p>
        </w:tc>
        <w:tc>
          <w:tcPr>
            <w:tcW w:w="4819" w:type="dxa"/>
          </w:tcPr>
          <w:p w14:paraId="0872C3F7">
            <w:r>
              <w:rPr>
                <w:rFonts w:ascii="微软雅黑" w:hAnsi="微软雅黑" w:eastAsia="微软雅黑"/>
                <w:sz w:val="18"/>
              </w:rPr>
              <w:t>3%</w:t>
            </w:r>
          </w:p>
        </w:tc>
      </w:tr>
      <w:tr w14:paraId="261F0F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69" w:type="dxa"/>
            <w:shd w:val="clear" w:color="auto" w:fill="F0F4F8"/>
          </w:tcPr>
          <w:p w14:paraId="7ABECF1B">
            <w:r>
              <w:rPr>
                <w:rFonts w:ascii="微软雅黑" w:hAnsi="微软雅黑" w:eastAsia="微软雅黑"/>
                <w:sz w:val="18"/>
              </w:rPr>
              <w:t>1亿元以上</w:t>
            </w:r>
          </w:p>
        </w:tc>
        <w:tc>
          <w:tcPr>
            <w:tcW w:w="4819" w:type="dxa"/>
            <w:shd w:val="clear" w:color="auto" w:fill="F0F4F8"/>
          </w:tcPr>
          <w:p w14:paraId="7EDD0ABB">
            <w:r>
              <w:rPr>
                <w:rFonts w:ascii="微软雅黑" w:hAnsi="微软雅黑" w:eastAsia="微软雅黑"/>
                <w:sz w:val="18"/>
              </w:rPr>
              <w:t>2%</w:t>
            </w:r>
          </w:p>
        </w:tc>
      </w:tr>
    </w:tbl>
    <w:p w14:paraId="09CF8203">
      <w:pPr>
        <w:ind w:firstLine="420"/>
      </w:pPr>
      <w:r>
        <w:rPr>
          <w:rFonts w:ascii="微软雅黑" w:hAnsi="微软雅黑" w:eastAsia="微软雅黑"/>
        </w:rPr>
        <w:t>常见合作模式包括：纯成功费（最有利于创业者）、预付金+成功费（预付金通常10-30万元）、以及股权替代（FA接受创业公司股权代替现金）。独家排他期通常为6-12个月，尾巴期为12-24个月。</w:t>
      </w:r>
    </w:p>
    <w:p w14:paraId="08CCB08F">
      <w:pPr>
        <w:pStyle w:val="4"/>
      </w:pPr>
      <w:r>
        <w:rPr>
          <w:rFonts w:ascii="微软雅黑" w:hAnsi="微软雅黑" w:eastAsia="微软雅黑"/>
        </w:rPr>
        <w:t>3.5 关于"启蒙老师"</w:t>
      </w:r>
    </w:p>
    <w:p w14:paraId="404F6B24">
      <w:pPr>
        <w:ind w:firstLine="420"/>
      </w:pPr>
      <w:r>
        <w:rPr>
          <w:rFonts w:ascii="微软雅黑" w:hAnsi="微软雅黑" w:eastAsia="微软雅黑"/>
        </w:rPr>
        <w:t>会议记录中提到的"启蒙老师"作为推荐FA，经广泛搜索未能找到以此名称运营的FA机构。这可能是某位个人FA顾问的圈内昵称，或仅通过微信和私人网络运营的小型顾问。建议直接向推荐人索取微信联系方式进行引荐。在中国FA生态中，很多高效的早期阶段顾问以个人身份运作，而非品牌化机构。</w:t>
      </w:r>
    </w:p>
    <w:p w14:paraId="69567527">
      <w:pPr>
        <w:pStyle w:val="4"/>
      </w:pPr>
      <w:r>
        <w:rPr>
          <w:rFonts w:ascii="微软雅黑" w:hAnsi="微软雅黑" w:eastAsia="微软雅黑"/>
        </w:rPr>
        <w:t>3.6 RoboX的FA选择建议</w:t>
      </w:r>
    </w:p>
    <w:p w14:paraId="757E62BD">
      <w:r>
        <w:rPr>
          <w:rFonts w:ascii="微软雅黑" w:hAnsi="微软雅黑" w:eastAsia="微软雅黑"/>
          <w:b/>
        </w:rPr>
        <w:t>首选三家（建议同时接触2-3家形成竞争态势）：</w:t>
      </w:r>
    </w:p>
    <w:p w14:paraId="617A9AF6">
      <w:pPr>
        <w:ind w:firstLine="420"/>
      </w:pPr>
      <w:r>
        <w:rPr>
          <w:rFonts w:ascii="微软雅黑" w:hAnsi="微软雅黑" w:eastAsia="微软雅黑"/>
        </w:rPr>
        <w:t>高鹄资本——具身智能专项排名第一，行业理解最深。华兴资本——交易量和品牌最强，MD徐锟对具身智能有明确bullish判断，从孵化阶段就服务过傅利叶智能。光源资本——综合最活跃，运营自有创业者基金可跟投，对早期项目有额外价值。</w:t>
      </w:r>
    </w:p>
    <w:p w14:paraId="3A5ED49B">
      <w:r>
        <w:rPr>
          <w:rFonts w:ascii="微软雅黑" w:hAnsi="微软雅黑" w:eastAsia="微软雅黑"/>
          <w:b/>
        </w:rPr>
        <w:t>备选：</w:t>
      </w:r>
    </w:p>
    <w:p w14:paraId="427DA8BE">
      <w:pPr>
        <w:ind w:firstLine="420"/>
      </w:pPr>
      <w:r>
        <w:rPr>
          <w:rFonts w:ascii="微软雅黑" w:hAnsi="微软雅黑" w:eastAsia="微软雅黑"/>
        </w:rPr>
        <w:t>一苇资本——已服务自变量机器人，早期机器人方向经验丰富。远望资本——程浩对早期科技创业者有良好服务口碑。</w:t>
      </w:r>
    </w:p>
    <w:p w14:paraId="184883F0">
      <w:r>
        <w:rPr>
          <w:rFonts w:ascii="微软雅黑" w:hAnsi="微软雅黑" w:eastAsia="微软雅黑"/>
          <w:b/>
        </w:rPr>
        <w:t>策略建议：</w:t>
      </w:r>
    </w:p>
    <w:p w14:paraId="4B81181B">
      <w:pPr>
        <w:ind w:firstLine="420"/>
      </w:pPr>
      <w:r>
        <w:rPr>
          <w:rFonts w:ascii="微软雅黑" w:hAnsi="微软雅黑" w:eastAsia="微软雅黑"/>
        </w:rPr>
        <w:t>不要第一家就签独家排他协议。先与2-3家分别沟通，了解各家与红杉中国、高瓴、蓝驰的关系深度。Pre-A阶段的FA应以纯成功费为主（3-5%），尽量避免大额预付金。充分利用达摩院品牌——FA应帮助打造"阿里达摩院具身智能核心团队独立创业"的叙事。</w:t>
      </w:r>
    </w:p>
    <w:sectPr>
      <w:pgSz w:w="12240" w:h="15840"/>
      <w:pgMar w:top="1440" w:right="1797" w:bottom="1440" w:left="179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3A970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400" w:lineRule="exact"/>
    </w:pPr>
    <w:rPr>
      <w:rFonts w:ascii="微软雅黑" w:hAnsi="微软雅黑" w:eastAsia="微软雅黑" w:cstheme="minorBidi"/>
      <w:color w:val="333333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320" w:after="120"/>
      <w:outlineLvl w:val="0"/>
    </w:pPr>
    <w:rPr>
      <w:rFonts w:asciiTheme="majorHAnsi" w:hAnsiTheme="majorHAnsi" w:eastAsiaTheme="majorEastAsia" w:cstheme="majorBidi"/>
      <w:b/>
      <w:bCs/>
      <w:color w:val="1A3C6E"/>
      <w:sz w:val="30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120"/>
      <w:outlineLvl w:val="1"/>
    </w:pPr>
    <w:rPr>
      <w:rFonts w:asciiTheme="majorHAnsi" w:hAnsiTheme="majorHAnsi" w:eastAsiaTheme="majorEastAsia" w:cstheme="majorBidi"/>
      <w:b/>
      <w:bCs/>
      <w:color w:val="2D5A8E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120"/>
      <w:outlineLvl w:val="2"/>
    </w:pPr>
    <w:rPr>
      <w:rFonts w:asciiTheme="majorHAnsi" w:hAnsiTheme="majorHAnsi" w:eastAsiaTheme="majorEastAsia" w:cstheme="majorBidi"/>
      <w:b/>
      <w:bCs/>
      <w:color w:val="3A6EA0"/>
      <w:sz w:val="23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before="320" w:after="120" w:line="240" w:lineRule="auto"/>
      <w:contextualSpacing/>
    </w:pPr>
    <w:rPr>
      <w:rFonts w:asciiTheme="majorHAnsi" w:hAnsiTheme="majorHAnsi" w:eastAsiaTheme="majorEastAsia" w:cstheme="majorBidi"/>
      <w:b/>
      <w:color w:val="1A3C6E"/>
      <w:spacing w:val="5"/>
      <w:kern w:val="28"/>
      <w:sz w:val="44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2806</Words>
  <Characters>3791</Characters>
  <Lines>0</Lines>
  <Paragraphs>0</Paragraphs>
  <TotalTime>8</TotalTime>
  <ScaleCrop>false</ScaleCrop>
  <LinksUpToDate>false</LinksUpToDate>
  <CharactersWithSpaces>3851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Anson</cp:lastModifiedBy>
  <dcterms:modified xsi:type="dcterms:W3CDTF">2026-07-23T16:11:54Z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171F2453B11846DE98C2A954BD04C1A0_13</vt:lpwstr>
  </property>
</Properties>
</file>