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b/>
          <w:bCs/>
          <w:color w:val="2E75B6"/>
          <w:sz w:val="52"/>
          <w:szCs w:val="52"/>
        </w:rPr>
        <w:t xml:space="preserve">RoboX 阿里云生态场景漏斗清单</w:t>
      </w:r>
    </w:p>
    <w:p>
      <w:pPr>
        <w:spacing w:before="200"/>
        <w:jc w:val="center"/>
      </w:pPr>
      <w:r>
        <w:rPr>
          <w:color w:val="555555"/>
          <w:sz w:val="26"/>
          <w:szCs w:val="26"/>
        </w:rPr>
        <w:t xml:space="preserve">—— 80-100 家伙伴 × 高价值任务候选池 × 认领机制</w:t>
      </w:r>
    </w:p>
    <w:p>
      <w:pPr>
        <w:spacing w:before="1200"/>
      </w:pPr>
    </w:p>
    <w:p>
      <w:pPr>
        <w:jc w:val="center"/>
      </w:pPr>
      <w:r>
        <w:rPr>
          <w:color w:val="888888"/>
          <w:sz w:val="22"/>
          <w:szCs w:val="22"/>
        </w:rPr>
        <w:t xml:space="preserve">2026 年 8 月 12 日</w:t>
      </w:r>
    </w:p>
    <w:p>
      <w:pPr>
        <w:spacing w:before="200"/>
        <w:jc w:val="center"/>
      </w:pPr>
      <w:r>
        <w:rPr>
          <w:color w:val="AAAAAA"/>
          <w:sz w:val="20"/>
          <w:szCs w:val="20"/>
        </w:rPr>
        <w:t xml:space="preserve">基于多轮战略讨论、14 份会议纪要与三份可行性分析文档整合生成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一、场景漏斗方法论</w:t>
      </w:r>
    </w:p>
    <w:p>
      <w:pPr>
        <w:spacing w:after="120" w:line="276"/>
      </w:pPr>
      <w:r>
        <w:t xml:space="preserve">用阿里云生态（80-100 家合作伙伴）做场景验证与投资线索，核心是三层漏斗：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谁做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Top 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高价值任务候选池（本文第二节，6-8 个候选）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RoboX 定义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候选清单（一页纸）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中层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生态伙伴认领：行业解决方案商认领可试点场景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伙伴筛选 + 定向推送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认领意向 ≥10 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底层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落地试点 → ROI 账本 → 复制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RoboX 出技术 + 伙伴出渠道客户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≥3 试点启动，≥1 账本跑通</w:t>
            </w:r>
          </w:p>
        </w:tc>
      </w:tr>
    </w:tbl>
    <w:p>
      <w:pPr>
        <w:spacing w:after="200" w:before="200"/>
      </w:pPr>
    </w:p>
    <w:p>
      <w:pPr>
        <w:spacing w:after="120" w:line="276"/>
      </w:pPr>
      <w:r>
        <w:rPr>
          <w:b/>
          <w:bCs/>
        </w:rPr>
        <w:t xml:space="preserve">漏斗逻辑：RoboX 出技术（大脑 System 1/0 + TacWM），伙伴出存量渠道客户——用伙伴的客户做场景验证，比自拓客户快一个量级。</w:t>
      </w:r>
    </w:p>
    <w:p>
      <w:pPr>
        <w:spacing w:after="200" w:before="200"/>
      </w:pPr>
    </w:p>
    <w:p>
      <w:pPr>
        <w:pStyle w:val="Heading1"/>
      </w:pPr>
      <w:r>
        <w:t xml:space="preserve">二、高价值任务候选池（Top 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1000"/>
        <w:gridCol w:w="9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任务包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目标替代岗位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价值密度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接触距离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对应生态伙伴类别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实验室湿实验自动化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移液/配液/分装/贴标/离心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实验助理/研究员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极高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不接触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科研信息化 / AI for Science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高铁/飞机餐盒装配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菜品自动装盒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配餐车间工人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中高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不接触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食品工业 / 中央厨房方案商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药房配药辅助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配药/分拣/复核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药师/药士（辅助）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中高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不接触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智慧医疗 / 医药流通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酒店高价值环节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高端咖啡吧制售/贵宾服务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高技能服务岗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不接触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智慧酒店方案商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文旅移动餐车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现制饮品/烘焙出品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景区店员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低-中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不接触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智慧文旅 / 商业空间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数据中心巡检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无人巡检/抄表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巡检员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不接触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数据中心运维 / 云服务商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康复手法辅助（挂起）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上肢/手部精细动作训练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康复治疗师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极高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接触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智慧医疗（待认证评估）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三、阿里云生态伙伴分类画像（中层）</w:t>
      </w:r>
    </w:p>
    <w:p>
      <w:pPr>
        <w:spacing w:after="120" w:before="80" w:line="276"/>
      </w:pPr>
      <w:r>
        <w:rPr>
          <w:i/>
          <w:iCs/>
          <w:color w:val="777777"/>
          <w:sz w:val="18"/>
          <w:szCs w:val="18"/>
        </w:rPr>
        <w:t xml:space="preserve">依据：团队从阿里体系独立保留的关系网，已接触超 100 家合作伙伴（含长虹、西湖文旅等实体客户）；系统架构师出身阿里云百炼，通义/万象系成员在队。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0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伙伴类别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预估数量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典型画像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认领场景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智慧医院方案商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10-15 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医院集成商，有院内渠道与招标经验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药房配药辅助、康复（挂起）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智慧养老方案商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10-15 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养老院/社区渠道，承接政府项目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康养护理（远期）、数据采集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智慧酒店方案商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10-15 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酒店 PMS/智能客房供应商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高端咖啡吧、贵宾服务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智慧文旅/景区方案商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10-15 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景区运营方、文旅集团科技公司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移动餐车、无人商业空间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科研/高校信息化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 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高校/科研院所采购服务商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实验室湿实验自动化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餐饮零售数字化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15-20 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连锁餐饮/零售 SaaS 服务商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中央厨房、现制出品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云服务/系统集成商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10-15 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阿里云伙伴体系内的 SI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跨场景交付与运维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四、伙伴认领机制（核心动作）</w:t>
      </w:r>
    </w:p>
    <w:p>
      <w:pPr>
        <w:spacing w:after="120" w:line="276"/>
      </w:pPr>
      <w:r>
        <w:t xml:space="preserve">制作《RoboX 高价值任务候选清单》一页纸（第二节表格压缩版），按行业标签定向推送，请伙伴“认领可试点场景”。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认领条件：伙伴提供存量客户试点入口 + 场景集成能力；RoboX 提供大脑能力 + 数据回流通道。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分润模型：试点期共同投入（伙伴出客户/集成，RoboX 出模型/算法）；复制期按任务结果分成。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排他与防替代：认领协议含最低试点量承诺 + 区域/场景排他期；以模型持续迭代保持技术领先。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同步筛选带 CVC 的伙伴做“引望式”股权接触（范式 4）。</w:t>
      </w:r>
    </w:p>
    <w:p>
      <w:pPr>
        <w:spacing w:after="200" w:before="200"/>
      </w:pPr>
    </w:p>
    <w:p>
      <w:pPr>
        <w:pStyle w:val="Heading1"/>
      </w:pPr>
      <w:r>
        <w:t xml:space="preserve">五、落地漏斗跟踪表（模板）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500"/>
        <w:gridCol w:w="1500"/>
        <w:gridCol w:w="1800"/>
        <w:gridCol w:w="1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伙伴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存量客户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任务包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状态（接触/认领/试点/账本）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预计首单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实验室湿实验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移液/配液动作包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待认领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 Q4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高铁餐盒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TBD（长虹线）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自动装盒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待认领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 Q4-2027 Q1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移动餐车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长虹/文旅集团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西湖/洛阳/四川文旅、熊猫基地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现制出品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线索中（洽谈）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 Q4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药房配药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配药复核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待认领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2027 Q1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六、作战动作与时间表（9 月日历）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4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动作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负责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入列官方生态（高飞引荐 + 云栖大会具身智能展馆签约）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明修/Anson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月云栖大会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官方生态名录 + 现场签约露出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 场景漏斗发布（候选清单 + 伙伴分类表 + 认领函）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 月底前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≥10 家伙伴认领（9 月底）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 端云联合技术叙事（System 2 × 通义/百炼）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明修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月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联合技术方案一页纸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4. 算力换资源（迁阿里云，6 折谈判，海外主体数据回流）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CFO/明修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Q4 前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云上消耗年度承诺换引荐权重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 投资线索（高飞推荐清单 + 阿里系基金 + 带 CVC 伙伴）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持续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进入 1-2 家基金尽调池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6. “飞哥上课”制度化（月度外部顾问会）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每月一次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全国客户雷达 → 场景雷达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七、考核指标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9 月底：≥10 家伙伴认领场景；云栖大会完成签约/入选名录。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10 月底：≥3 个试点启动（实验室/高铁/餐车至少其一）。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12 月底：≥1 个 ROI 账本跑通（与首任务决策联动）。</w:t>
      </w:r>
    </w:p>
    <w:p>
      <w:pPr>
        <w:spacing w:after="200" w:before="200"/>
      </w:pPr>
    </w:p>
    <w:p>
      <w:pPr>
        <w:spacing w:after="120" w:before="80" w:line="276"/>
      </w:pPr>
      <w:r>
        <w:rPr>
          <w:i/>
          <w:iCs/>
          <w:color w:val="777777"/>
          <w:sz w:val="18"/>
          <w:szCs w:val="18"/>
        </w:rPr>
        <w:t xml:space="preserve">本清单与《RoboX 商业模式与资本市场故事 V2》《首任务调研框架打分表》配套使用。阿里云相关数据以实际洽谈为准。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color w:val="999999"/>
        <w:sz w:val="16"/>
        <w:szCs w:val="16"/>
      </w:rPr>
      <w:t xml:space="preserve">RoboX 内部资料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2026-08-12T12:38:13.734Z</dcterms:created>
  <dcterms:modified xsi:type="dcterms:W3CDTF">2026-08-12T12:38:13.734Z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