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jc w:val="center"/>
      </w:pPr>
      <w:r>
        <w:rPr>
          <w:b/>
          <w:bCs/>
          <w:color w:val="2E75B6"/>
          <w:sz w:val="52"/>
          <w:szCs w:val="52"/>
        </w:rPr>
        <w:t xml:space="preserve">RoboX 首任务调研框架打分表</w:t>
      </w:r>
    </w:p>
    <w:p>
      <w:pPr>
        <w:spacing w:before="200"/>
        <w:jc w:val="center"/>
      </w:pPr>
      <w:r>
        <w:rPr>
          <w:color w:val="555555"/>
          <w:sz w:val="26"/>
          <w:szCs w:val="26"/>
        </w:rPr>
        <w:t xml:space="preserve">—— 六维筛选矩阵 × 候选场景横向评分（2 周决策）</w:t>
      </w:r>
    </w:p>
    <w:p>
      <w:pPr>
        <w:spacing w:before="1200"/>
      </w:pPr>
    </w:p>
    <w:p>
      <w:pPr>
        <w:jc w:val="center"/>
      </w:pPr>
      <w:r>
        <w:rPr>
          <w:color w:val="888888"/>
          <w:sz w:val="22"/>
          <w:szCs w:val="22"/>
        </w:rPr>
        <w:t xml:space="preserve">2026 年 8 月 12 日</w:t>
      </w:r>
    </w:p>
    <w:p>
      <w:pPr>
        <w:spacing w:before="200"/>
        <w:jc w:val="center"/>
      </w:pPr>
      <w:r>
        <w:rPr>
          <w:color w:val="AAAAAA"/>
          <w:sz w:val="20"/>
          <w:szCs w:val="20"/>
        </w:rPr>
        <w:t xml:space="preserve">基于多轮战略讨论、14 份会议纪要与三份可行性分析文档整合生成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一、调研目标与决策时限</w:t>
      </w:r>
    </w:p>
    <w:p>
      <w:pPr>
        <w:spacing w:after="120" w:line="276"/>
      </w:pPr>
      <w:r>
        <w:t xml:space="preserve">目标：在 2 周内（2026-08-12 至 08-26）确定“第一个可收费任务”（账本 1），产出四样东西：任务包定义、ROI 账本模板、试点合作方名单、决策结论。</w:t>
      </w:r>
    </w:p>
    <w:p>
      <w:pPr>
        <w:spacing w:after="120" w:line="276"/>
      </w:pPr>
      <w:r>
        <w:rPr>
          <w:b/>
          <w:bCs/>
        </w:rPr>
        <w:t xml:space="preserve">前置约束（第一筛）：人机接触距离优先于价值密度——不接触人类、无医疗器械级许可门槛的场景优先。</w:t>
      </w:r>
    </w:p>
    <w:p>
      <w:pPr>
        <w:spacing w:after="200" w:before="200"/>
      </w:pPr>
    </w:p>
    <w:p>
      <w:pPr>
        <w:pStyle w:val="Heading1"/>
      </w:pPr>
      <w:r>
        <w:t xml:space="preserve">二、六维筛选矩阵（按决策优先级排序）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3600"/>
        <w:gridCol w:w="28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序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维度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回答的问题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权重/规则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①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人机接触距离（安全/许可）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机器人是否直接接触人类？监管/认证风险级别？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一票否决：接触人类且无认证路径者挂起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②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任务可标准化/可验收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能否拆为可计件的标准动作包？验收标准是否客观？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权重 25%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付费方支付能力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谁付费？预算来源？决策链长度？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权重 20%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④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价值密度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替代岗位的单任务价值？任务单价 vs 人力成本（锚 2/3）？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权重 20%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⑤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数据价值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产生数据的稀缺性？对 TacWM/数据金字塔的贡献？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权重 20%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⑥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大众感知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是否便于 PR、政府与投资人叙事？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权重 15%</w:t>
            </w:r>
          </w:p>
        </w:tc>
      </w:tr>
    </w:tbl>
    <w:p>
      <w:pPr>
        <w:spacing w:after="200" w:before="200"/>
      </w:pPr>
    </w:p>
    <w:p>
      <w:pPr>
        <w:pStyle w:val="Heading1"/>
      </w:pPr>
      <w:r>
        <w:t xml:space="preserve">三、评分标准（每维 1-5 分）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360"/>
        <w:gridCol w:w="20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维度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5 分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3 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1 分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② 标准化/可验收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动作包可计件，验收客观（称重/计数/质检）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半结构化，验收需人工抽检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非标、验收依赖主观判断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③ 付费方支付能力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 端明确预算，决策链 ≤3 个月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预算存在但需招投标，6-12 个月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 端/无预算，决策链不清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④ 价值密度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替代岗位时薪 ≥ 300 元或任务单价高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替代岗位时薪 60-300 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替代岗位时薪 &lt; 60 元（低价值替代）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⑤ 数据价值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稀缺触觉/Ego 数据，全行业难获取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高频数据但触觉含量有限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通用数据，无壁垒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⑥ 大众感知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媒体天然会讲（星辰大海/救人/科学家）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有话题点但需引导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公众无感</w:t>
            </w:r>
          </w:p>
        </w:tc>
      </w:tr>
    </w:tbl>
    <w:p>
      <w:pPr>
        <w:spacing w:after="200" w:before="200"/>
      </w:pPr>
    </w:p>
    <w:p>
      <w:pPr>
        <w:pStyle w:val="Heading1"/>
      </w:pPr>
      <w:r>
        <w:t xml:space="preserve">四、候选场景初始打分表（2 周内用实证数据更新）</w:t>
      </w:r>
    </w:p>
    <w:p>
      <w:pPr>
        <w:spacing w:after="120" w:before="80" w:line="276"/>
      </w:pPr>
      <w:r>
        <w:rPr>
          <w:i/>
          <w:iCs/>
          <w:color w:val="777777"/>
          <w:sz w:val="18"/>
          <w:szCs w:val="18"/>
        </w:rPr>
        <w:t xml:space="preserve">说明：① 人机接触距离为否决项，直接判定（5=不接触，1=接触）；加权分仅对通过否决项者计算。初始分基于 8-08 可行性分析及会议纪要，须按第六节计划实地验证后更新。</w:t>
      </w:r>
    </w:p>
    <w:p>
      <w:pPr>
        <w:spacing w:after="200" w:before="200"/>
      </w:pP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700"/>
        <w:gridCol w:w="700"/>
        <w:gridCol w:w="700"/>
        <w:gridCol w:w="700"/>
        <w:gridCol w:w="700"/>
        <w:gridCol w:w="700"/>
        <w:gridCol w:w="8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场景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任务包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接触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标准化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付费方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价值密度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数据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感知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加权分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实验室湿实验自动化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移液/配液/分装/贴标/离心动作包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3.95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高铁餐盒装配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3-5 款菜品自动装盒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3.90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药房配药辅助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配药/分拣/复核（不接触病人）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3.60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文旅移动餐车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现制饮品/烘焙出品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3.25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数据中心/商业设施巡检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无人巡检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3.05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康复手法辅助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上肢/手部精细动作训练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1（否决挂起）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待认证评估</w:t>
            </w:r>
          </w:p>
        </w:tc>
      </w:tr>
    </w:tbl>
    <w:p>
      <w:pPr>
        <w:spacing w:after="200" w:before="200"/>
      </w:pPr>
    </w:p>
    <w:p>
      <w:pPr>
        <w:spacing w:after="120" w:before="80" w:line="276"/>
      </w:pPr>
      <w:r>
        <w:rPr>
          <w:i/>
          <w:iCs/>
          <w:color w:val="777777"/>
          <w:sz w:val="18"/>
          <w:szCs w:val="18"/>
        </w:rPr>
        <w:t xml:space="preserve">加权分 = 0.25×标准化 + 0.20×付费方 + 0.20×价值密度 + 0.20×数据 + 0.15×感知。初始结论：实验室湿实验自动化与高铁餐盒装配并列第一梯队，2 周内重点验证差距。</w:t>
      </w:r>
    </w:p>
    <w:p>
      <w:pPr>
        <w:spacing w:after="200" w:before="200"/>
      </w:pPr>
    </w:p>
    <w:p>
      <w:pPr>
        <w:pStyle w:val="Heading1"/>
      </w:pPr>
      <w:r>
        <w:t xml:space="preserve">五、一票否决项清单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直接接触人类且无认证路径（如康复手法辅助）→ 挂起，先过医疗器械认证可行性评估再回表。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任务完全无法拆解为可验收的计件单元。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付费方无预算或预算 &lt; 首年投入。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与“不替代廉价劳动力”红线冲突且无重构空间（如移动餐车若以“替代店员”为卖点则触发）。</w:t>
      </w:r>
    </w:p>
    <w:p>
      <w:pPr>
        <w:spacing w:after="200" w:before="200"/>
      </w:pPr>
    </w:p>
    <w:p>
      <w:pPr>
        <w:pStyle w:val="Heading1"/>
      </w:pPr>
      <w:r>
        <w:t xml:space="preserve">六、2 周调研计划</w:t>
      </w:r>
    </w:p>
    <w:p>
      <w:pPr>
        <w:pStyle w:val="Heading2"/>
      </w:pPr>
      <w:r>
        <w:t xml:space="preserve">Week 1（8/12-8/18）：桌面调研与成本结构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D1-2 竞争/先例扫描：实验室自动化（AutoAGI、Labman、Benchling 生态）、高铁配餐（龙恩等）、餐车（影智 XBOT/智平方/银河太空舱）、康复（傅利叶/如身/中航创世）、药房（Cybernet/华康）。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D3-4 成本结构：替代岗位薪酬中位数、任务单价、隐性成本（认证/运维/保险/停机）。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D5 访谈准备：起草 3 套付费方访谈提纲（科研机构/药企、铁路配餐、文旅集团）。</w:t>
      </w:r>
    </w:p>
    <w:p>
      <w:pPr>
        <w:pStyle w:val="Heading2"/>
      </w:pPr>
      <w:r>
        <w:t xml:space="preserve">Week 2（8/19-8/25）：访谈与交叉验证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D6-8 至少 3 场付费方访谈，各场景 1 场；记录预算、决策链、验收标准。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D9 与长虹/阿里云生态伙伴交叉验证试点可行性（谁出客户、谁出集成）。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D10 完成打分表更新 + ROI 账本模板（Excel）+ 决策建议书。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8/26 向管理层汇报，出正式决策。</w:t>
      </w:r>
    </w:p>
    <w:p>
      <w:pPr>
        <w:spacing w:after="200" w:before="200"/>
      </w:pPr>
    </w:p>
    <w:p>
      <w:pPr>
        <w:pStyle w:val="Heading1"/>
      </w:pPr>
      <w:r>
        <w:t xml:space="preserve">七、决策规则与输出物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总分最高且无否决项者为首任务。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若第一名与第二名差距 &lt; 0.5 分，启动双轨验证（各 2 个月最小试点）再定。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输出物：任务包定义书（≤15 页）+ ROI 账本模板（Excel，任务单价 vs 人力成本）+ 试点伙伴名单 + 首任务决策备忘录。</w:t>
      </w:r>
    </w:p>
    <w:p>
      <w:pPr>
        <w:spacing w:after="200" w:before="200"/>
      </w:pPr>
    </w:p>
    <w:p>
      <w:pPr>
        <w:spacing w:after="120" w:before="80" w:line="276"/>
      </w:pPr>
      <w:r>
        <w:rPr>
          <w:i/>
          <w:iCs/>
          <w:color w:val="777777"/>
          <w:sz w:val="18"/>
          <w:szCs w:val="18"/>
        </w:rPr>
        <w:t xml:space="preserve">本表为内部决策工具，不对外。打分须留证据链（访谈纪要、报价单、政策文件）。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color w:val="999999"/>
        <w:sz w:val="16"/>
        <w:szCs w:val="16"/>
      </w:rPr>
      <w:t xml:space="preserve">RoboX 内部资料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</w:rPr>
    </w:rPrDefault>
    <w:pPrDefault>
      <w:pPr>
        <w:spacing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b/>
      <w:bCs/>
      <w:color w:val="2E75B6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b/>
      <w:bCs/>
      <w:color w:val="2E75B6"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2026-08-12T12:38:13.697Z</dcterms:created>
  <dcterms:modified xsi:type="dcterms:W3CDTF">2026-08-12T12:38:13.698Z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