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98F1"/>
    <w:p w14:paraId="6C6A2458"/>
    <w:p w14:paraId="0BFB9BC6"/>
    <w:p w14:paraId="070729D9">
      <w:pPr>
        <w:jc w:val="center"/>
      </w:pPr>
      <w:r>
        <w:rPr>
          <w:rFonts w:ascii="微软雅黑" w:hAnsi="微软雅黑" w:eastAsia="微软雅黑"/>
          <w:b/>
          <w:color w:val="1A3C6E"/>
          <w:sz w:val="56"/>
        </w:rPr>
        <w:t>RoboX × 聚合顺</w:t>
      </w:r>
    </w:p>
    <w:p w14:paraId="478E4FF7"/>
    <w:p w14:paraId="29AE111B">
      <w:pPr>
        <w:jc w:val="center"/>
      </w:pPr>
      <w:r>
        <w:rPr>
          <w:rFonts w:ascii="微软雅黑" w:hAnsi="微软雅黑" w:eastAsia="微软雅黑"/>
          <w:b/>
          <w:color w:val="1A3C6E"/>
          <w:sz w:val="40"/>
        </w:rPr>
        <w:t>合作沟通会议记录</w:t>
      </w:r>
    </w:p>
    <w:p w14:paraId="51A8A39D"/>
    <w:p w14:paraId="02BCE92A">
      <w:pPr>
        <w:jc w:val="center"/>
      </w:pPr>
      <w:r>
        <w:rPr>
          <w:rFonts w:ascii="微软雅黑" w:hAnsi="微软雅黑" w:eastAsia="微软雅黑"/>
          <w:color w:val="666666"/>
          <w:sz w:val="28"/>
        </w:rPr>
        <w:t>2026年7月23日</w:t>
      </w:r>
    </w:p>
    <w:p w14:paraId="5FD00D5F"/>
    <w:p w14:paraId="22C33E81">
      <w:pPr>
        <w:jc w:val="center"/>
      </w:pPr>
      <w:r>
        <w:rPr>
          <w:rFonts w:ascii="微软雅黑" w:hAnsi="微软雅黑" w:eastAsia="微软雅黑"/>
          <w:i/>
          <w:color w:val="999999"/>
          <w:sz w:val="22"/>
        </w:rPr>
        <w:t>机密 | 仅供内部使用</w:t>
      </w:r>
    </w:p>
    <w:p w14:paraId="0E16ABC6">
      <w:r>
        <w:br w:type="page"/>
      </w:r>
    </w:p>
    <w:p w14:paraId="62E826F9">
      <w:pPr>
        <w:pStyle w:val="3"/>
      </w:pPr>
      <w:r>
        <w:rPr>
          <w:rFonts w:ascii="微软雅黑" w:hAnsi="微软雅黑" w:eastAsia="微软雅黑"/>
        </w:rPr>
        <w:t>会议基本信息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803"/>
      </w:tblGrid>
      <w:tr w14:paraId="4BF1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3C6E"/>
          </w:tcPr>
          <w:p w14:paraId="2F79A3C6">
            <w:pPr>
              <w:jc w:val="center"/>
            </w:pPr>
            <w:r>
              <w:rPr>
                <w:rFonts w:ascii="微软雅黑" w:hAnsi="微软雅黑" w:eastAsia="微软雅黑"/>
                <w:b/>
                <w:color w:val="FFFFFF"/>
                <w:sz w:val="20"/>
              </w:rPr>
              <w:t>项目</w:t>
            </w:r>
          </w:p>
        </w:tc>
        <w:tc>
          <w:tcPr>
            <w:tcW w:w="6803" w:type="dxa"/>
            <w:shd w:val="clear" w:color="auto" w:fill="1A3C6E"/>
          </w:tcPr>
          <w:p w14:paraId="1EBD54C0">
            <w:pPr>
              <w:jc w:val="center"/>
            </w:pPr>
            <w:r>
              <w:rPr>
                <w:rFonts w:ascii="微软雅黑" w:hAnsi="微软雅黑" w:eastAsia="微软雅黑"/>
                <w:b/>
                <w:color w:val="FFFFFF"/>
                <w:sz w:val="20"/>
              </w:rPr>
              <w:t>内容</w:t>
            </w:r>
          </w:p>
        </w:tc>
      </w:tr>
      <w:tr w14:paraId="66AB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27F0E51">
            <w:r>
              <w:rPr>
                <w:rFonts w:ascii="微软雅黑" w:hAnsi="微软雅黑" w:eastAsia="微软雅黑"/>
                <w:sz w:val="20"/>
              </w:rPr>
              <w:t>会议时间</w:t>
            </w:r>
          </w:p>
        </w:tc>
        <w:tc>
          <w:tcPr>
            <w:tcW w:w="6803" w:type="dxa"/>
          </w:tcPr>
          <w:p w14:paraId="4BA580AE">
            <w:r>
              <w:rPr>
                <w:rFonts w:ascii="微软雅黑" w:hAnsi="微软雅黑" w:eastAsia="微软雅黑"/>
                <w:sz w:val="20"/>
              </w:rPr>
              <w:t>2026年7月23日（周三）</w:t>
            </w:r>
          </w:p>
        </w:tc>
      </w:tr>
      <w:tr w14:paraId="2AC5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8"/>
          </w:tcPr>
          <w:p w14:paraId="210F97D9">
            <w:r>
              <w:rPr>
                <w:rFonts w:ascii="微软雅黑" w:hAnsi="微软雅黑" w:eastAsia="微软雅黑"/>
                <w:sz w:val="20"/>
              </w:rPr>
              <w:t>会议地点</w:t>
            </w:r>
          </w:p>
        </w:tc>
        <w:tc>
          <w:tcPr>
            <w:tcW w:w="6803" w:type="dxa"/>
            <w:shd w:val="clear" w:color="auto" w:fill="F0F4F8"/>
          </w:tcPr>
          <w:p w14:paraId="6A2CAF4C">
            <w:r>
              <w:rPr>
                <w:rFonts w:ascii="微软雅黑" w:hAnsi="微软雅黑" w:eastAsia="微软雅黑"/>
                <w:sz w:val="20"/>
              </w:rPr>
              <w:t>聚合顺公司（浙江</w:t>
            </w:r>
            <w:r>
              <w:rPr>
                <w:rFonts w:hint="eastAsia"/>
                <w:sz w:val="20"/>
                <w:lang w:val="en-US" w:eastAsia="zh-CN"/>
              </w:rPr>
              <w:t>杭州</w:t>
            </w:r>
            <w:r>
              <w:rPr>
                <w:rFonts w:ascii="微软雅黑" w:hAnsi="微软雅黑" w:eastAsia="微软雅黑"/>
                <w:sz w:val="20"/>
              </w:rPr>
              <w:t>）</w:t>
            </w:r>
          </w:p>
        </w:tc>
      </w:tr>
      <w:tr w14:paraId="4B65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0FF9E74">
            <w:r>
              <w:rPr>
                <w:rFonts w:ascii="微软雅黑" w:hAnsi="微软雅黑" w:eastAsia="微软雅黑"/>
                <w:sz w:val="20"/>
              </w:rPr>
              <w:t>会议时长</w:t>
            </w:r>
          </w:p>
        </w:tc>
        <w:tc>
          <w:tcPr>
            <w:tcW w:w="6803" w:type="dxa"/>
          </w:tcPr>
          <w:p w14:paraId="2C97C227">
            <w:r>
              <w:rPr>
                <w:rFonts w:ascii="微软雅黑" w:hAnsi="微软雅黑" w:eastAsia="微软雅黑"/>
                <w:sz w:val="20"/>
              </w:rPr>
              <w:t>约1小时33分钟（含技术路演9分34秒 + 深度讨论1小时23分钟）</w:t>
            </w:r>
          </w:p>
        </w:tc>
      </w:tr>
      <w:tr w14:paraId="6E99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8"/>
          </w:tcPr>
          <w:p w14:paraId="2AD2C7FF">
            <w:r>
              <w:rPr>
                <w:rFonts w:ascii="微软雅黑" w:hAnsi="微软雅黑" w:eastAsia="微软雅黑"/>
                <w:sz w:val="20"/>
              </w:rPr>
              <w:t>参会人员</w:t>
            </w:r>
          </w:p>
        </w:tc>
        <w:tc>
          <w:tcPr>
            <w:tcW w:w="6803" w:type="dxa"/>
            <w:shd w:val="clear" w:color="auto" w:fill="F0F4F8"/>
          </w:tcPr>
          <w:p w14:paraId="54396498">
            <w:r>
              <w:rPr>
                <w:rFonts w:ascii="微软雅黑" w:hAnsi="微软雅黑" w:eastAsia="微软雅黑"/>
                <w:sz w:val="20"/>
              </w:rPr>
              <w:t>RoboX创始人明修及团队、聚合顺董事长、董事长顾问及相关人士</w:t>
            </w:r>
          </w:p>
        </w:tc>
      </w:tr>
      <w:tr w14:paraId="77D8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296A40B">
            <w:r>
              <w:rPr>
                <w:rFonts w:ascii="微软雅黑" w:hAnsi="微软雅黑" w:eastAsia="微软雅黑"/>
                <w:sz w:val="20"/>
              </w:rPr>
              <w:t>会议主题</w:t>
            </w:r>
          </w:p>
        </w:tc>
        <w:tc>
          <w:tcPr>
            <w:tcW w:w="6803" w:type="dxa"/>
          </w:tcPr>
          <w:p w14:paraId="358C1464">
            <w:r>
              <w:rPr>
                <w:rFonts w:ascii="微软雅黑" w:hAnsi="微软雅黑" w:eastAsia="微软雅黑"/>
                <w:sz w:val="20"/>
              </w:rPr>
              <w:t>RoboX具身智能技术路演，以及与聚合顺在材料供应链层面的合作可能性探讨</w:t>
            </w:r>
          </w:p>
        </w:tc>
      </w:tr>
    </w:tbl>
    <w:p w14:paraId="487B64D7"/>
    <w:p w14:paraId="1E33552A">
      <w:pPr>
        <w:pStyle w:val="3"/>
      </w:pPr>
      <w:r>
        <w:rPr>
          <w:rFonts w:ascii="微软雅黑" w:hAnsi="微软雅黑" w:eastAsia="微软雅黑"/>
        </w:rPr>
        <w:t>一、RoboX技术路演</w:t>
      </w:r>
    </w:p>
    <w:p w14:paraId="2A252F05">
      <w:pPr>
        <w:ind w:firstLine="420"/>
      </w:pPr>
      <w:r>
        <w:rPr>
          <w:rFonts w:ascii="微软雅黑" w:hAnsi="微软雅黑" w:eastAsia="微软雅黑"/>
        </w:rPr>
        <w:t>RoboX创始人明修首先进行了技术路演，核心介绍了公司的三层模型架构、数据战略以及技术差异化优势。</w:t>
      </w:r>
    </w:p>
    <w:p w14:paraId="6E1749F0">
      <w:pPr>
        <w:pStyle w:val="4"/>
      </w:pPr>
      <w:r>
        <w:rPr>
          <w:rFonts w:ascii="微软雅黑" w:hAnsi="微软雅黑" w:eastAsia="微软雅黑"/>
        </w:rPr>
        <w:t>三层模型架构（System 0/1/2）</w:t>
      </w:r>
    </w:p>
    <w:p w14:paraId="35BFFB5D">
      <w:pPr>
        <w:ind w:firstLine="420"/>
      </w:pPr>
      <w:r>
        <w:rPr>
          <w:rFonts w:ascii="微软雅黑" w:hAnsi="微软雅黑" w:eastAsia="微软雅黑"/>
        </w:rPr>
        <w:t>RoboX将具身智能模型分为三层协同工作。System 2是大规模通用推理模型，参数量可达上T级别，运行在数据中心中，负责高层任务规划。System 1运行在机器人本体芯片上，负责理解视觉、触觉等感知信号并输出中层控制指令，频率在10到100赫兹。System 0（即BFM-Motion层）直接控制电机，频率可达500赫兹甚至千赫兹级别。</w:t>
      </w:r>
    </w:p>
    <w:p w14:paraId="0EBD9B71">
      <w:pPr>
        <w:ind w:firstLine="420"/>
      </w:pPr>
      <w:r>
        <w:rPr>
          <w:rFonts w:ascii="微软雅黑" w:hAnsi="微软雅黑" w:eastAsia="微软雅黑"/>
        </w:rPr>
        <w:t>三层模型之间通过"潜空间"（latent space）通信，而非自然语言，从而避免了语言理解带来的参数浪费，使模型能够将全部能力集中于操控任务本身。这一分层架构是RoboX与同行的核心差异——目前大多数竞争者的System 1和System 2之间仍依赖语言交互。</w:t>
      </w:r>
    </w:p>
    <w:p w14:paraId="1BF1F755">
      <w:pPr>
        <w:pStyle w:val="4"/>
      </w:pPr>
      <w:r>
        <w:rPr>
          <w:rFonts w:ascii="微软雅黑" w:hAnsi="微软雅黑" w:eastAsia="微软雅黑"/>
        </w:rPr>
        <w:t>数据战略与规模</w:t>
      </w:r>
    </w:p>
    <w:p w14:paraId="3B242D3E">
      <w:pPr>
        <w:ind w:firstLine="420"/>
      </w:pPr>
      <w:r>
        <w:rPr>
          <w:rFonts w:ascii="微软雅黑" w:hAnsi="微软雅黑" w:eastAsia="微软雅黑"/>
        </w:rPr>
        <w:t>在数据层面，RoboX目前的第一视角数据量已接近50万小时，是全世界规模最大的机器人操作数据集之一。公司的目标是快速突破100万小时，并最终达到千万小时级别。RoboX此前发表的VRE001工作被认定为行业内首个将大规模人类第一视角数据用于模型预训练的研究，英伟达后续在此基础上加入了手套采集环节，实现了从裸手彩色摄像头数据到手套数据再到灵巧手动作的有效迁移。</w:t>
      </w:r>
    </w:p>
    <w:p w14:paraId="51F3D50C">
      <w:pPr>
        <w:ind w:firstLine="420"/>
      </w:pPr>
      <w:r>
        <w:rPr>
          <w:rFonts w:ascii="微软雅黑" w:hAnsi="微软雅黑" w:eastAsia="微软雅黑"/>
        </w:rPr>
        <w:t>数据金字塔包括四个层级：真机数据、第一视角加触觉数据、第一视角和第三视角视频数据、以及互联网视频数据。整个行业目前最大规模约为450万小时，国内头部企业声称达到20万小时。RoboX认为千万小时是行业共识的终极目标，竞争极其激烈。</w:t>
      </w:r>
    </w:p>
    <w:p w14:paraId="4A25C73A">
      <w:pPr>
        <w:pStyle w:val="4"/>
      </w:pPr>
      <w:r>
        <w:rPr>
          <w:rFonts w:ascii="微软雅黑" w:hAnsi="微软雅黑" w:eastAsia="微软雅黑"/>
        </w:rPr>
        <w:t>精细动作控制与跨本体支持</w:t>
      </w:r>
    </w:p>
    <w:p w14:paraId="41F3613A">
      <w:pPr>
        <w:ind w:firstLine="420"/>
      </w:pPr>
      <w:r>
        <w:rPr>
          <w:rFonts w:ascii="微软雅黑" w:hAnsi="微软雅黑" w:eastAsia="微软雅黑"/>
        </w:rPr>
        <w:t>RoboX特别强调了精细动作控制能力。相比开源模型将微小位移信号视为噪声而忽略，RoboX的模型能够在"向前走一小步""弯腰多弯一点"等精细动作上表现出色，这些能力是机器人进入家庭场景的关键。</w:t>
      </w:r>
    </w:p>
    <w:p w14:paraId="7523EF0B">
      <w:pPr>
        <w:ind w:firstLine="420"/>
      </w:pPr>
      <w:r>
        <w:rPr>
          <w:rFonts w:ascii="微软雅黑" w:hAnsi="微软雅黑" w:eastAsia="微软雅黑"/>
        </w:rPr>
        <w:t>目前RoboX已实现用一个统一模型同时支持多种机器人本体——包括宇树的双足机器人、星辰的轮式机器人和天机的双臂机器人，通过统一的action space设计实现跨构型兼容，无需为每种硬件重新训练。</w:t>
      </w:r>
    </w:p>
    <w:p w14:paraId="39428071">
      <w:pPr>
        <w:pStyle w:val="4"/>
      </w:pPr>
      <w:r>
        <w:rPr>
          <w:rFonts w:ascii="微软雅黑" w:hAnsi="微软雅黑" w:eastAsia="微软雅黑"/>
        </w:rPr>
        <w:t>灵巧手本体与合作伙伴</w:t>
      </w:r>
    </w:p>
    <w:p w14:paraId="60D890AE">
      <w:pPr>
        <w:ind w:firstLine="420"/>
      </w:pPr>
      <w:r>
        <w:rPr>
          <w:rFonts w:ascii="微软雅黑" w:hAnsi="微软雅黑" w:eastAsia="微软雅黑"/>
        </w:rPr>
        <w:t>当前灵巧手行业仍面临发热、结构稳定性和精细操作等未解问题。RoboX采取的策略是不自研硬件，而是深入定制合作——在过去半年跑了80多家上下游企业，已与多家优秀供应商建立深度协同关系。在腱绳驱动方案上，明修判断这一技术路线将与直驱方案长期并存，大约各占一半市场份额。</w:t>
      </w:r>
    </w:p>
    <w:p w14:paraId="792BFA9A">
      <w:pPr>
        <w:pStyle w:val="4"/>
      </w:pPr>
      <w:r>
        <w:rPr>
          <w:rFonts w:ascii="微软雅黑" w:hAnsi="微软雅黑" w:eastAsia="微软雅黑"/>
        </w:rPr>
        <w:t>商业化路线图</w:t>
      </w:r>
    </w:p>
    <w:p w14:paraId="30F5BD96">
      <w:pPr>
        <w:ind w:firstLine="420"/>
      </w:pPr>
      <w:r>
        <w:rPr>
          <w:rFonts w:ascii="微软雅黑" w:hAnsi="微软雅黑" w:eastAsia="微软雅黑"/>
        </w:rPr>
        <w:t>RoboX的三年规划分为三个阶段：首先用18个月进行能力积累，然后快速切入商业服务场景，最后以最快速度积累"原子智能指令"，进入家庭场景落地。</w:t>
      </w:r>
    </w:p>
    <w:p w14:paraId="3102276A">
      <w:pPr>
        <w:pStyle w:val="3"/>
      </w:pPr>
      <w:r>
        <w:rPr>
          <w:rFonts w:ascii="微软雅黑" w:hAnsi="微软雅黑" w:eastAsia="微软雅黑"/>
        </w:rPr>
        <w:t>二、机器人硬件与技术路线讨论</w:t>
      </w:r>
    </w:p>
    <w:p w14:paraId="4AEF7343">
      <w:pPr>
        <w:ind w:firstLine="420"/>
      </w:pPr>
      <w:r>
        <w:rPr>
          <w:rFonts w:ascii="微软雅黑" w:hAnsi="微软雅黑" w:eastAsia="微软雅黑"/>
        </w:rPr>
        <w:t>技术路演结束后，双方进入深度讨论环节。董事长顾问首先就硬件技术路线展开了详细询问。</w:t>
      </w:r>
    </w:p>
    <w:p w14:paraId="47449867">
      <w:pPr>
        <w:pStyle w:val="4"/>
      </w:pPr>
      <w:r>
        <w:rPr>
          <w:rFonts w:ascii="微软雅黑" w:hAnsi="微软雅黑" w:eastAsia="微软雅黑"/>
        </w:rPr>
        <w:t>绳驱动与直驱之争</w:t>
      </w:r>
    </w:p>
    <w:p w14:paraId="3CA323CA">
      <w:pPr>
        <w:ind w:firstLine="420"/>
      </w:pPr>
      <w:r>
        <w:rPr>
          <w:rFonts w:ascii="微软雅黑" w:hAnsi="微软雅黑" w:eastAsia="微软雅黑"/>
        </w:rPr>
        <w:t>顾问提到星辰（绳驱动全身机器人）目前估值约100到150亿，是做本体领域估值最高的公司。绳驱动方案的优势在于轻量化和安全性，但其劣势在于无法形成产业链协同——目前走这条技术路线的仅有星辰一家，上游供应链无法规模化降本。资本市场对星辰的态度从2025年开始转冷，融资进度明显放缓。</w:t>
      </w:r>
    </w:p>
    <w:p w14:paraId="03195574">
      <w:pPr>
        <w:ind w:firstLine="420"/>
      </w:pPr>
      <w:r>
        <w:rPr>
          <w:rFonts w:ascii="微软雅黑" w:hAnsi="微软雅黑" w:eastAsia="微软雅黑"/>
        </w:rPr>
        <w:t>顾问用了一个形象的比喻："大家都在搞电车，你搞了个新能源。新能源不好吗？好呀，但没有人跟。"核心问题在于单一技术路线缺乏产业链生态支撑。</w:t>
      </w:r>
    </w:p>
    <w:p w14:paraId="012BFB86">
      <w:pPr>
        <w:ind w:firstLine="420"/>
      </w:pPr>
      <w:r>
        <w:rPr>
          <w:rFonts w:ascii="微软雅黑" w:hAnsi="微软雅黑" w:eastAsia="微软雅黑"/>
        </w:rPr>
        <w:t>明修回应称，腱绳和关节电机的混合方案目前已成为行业主流趋势，部分关节使用电机直驱、部分使用腱绳传动。在触觉传感器方面，全身覆盖触觉传感器已是确定趋势，核心变量在于材料形态——是类肤质橡胶还是织物集成方案。</w:t>
      </w:r>
    </w:p>
    <w:p w14:paraId="640650A6">
      <w:pPr>
        <w:pStyle w:val="4"/>
      </w:pPr>
      <w:r>
        <w:rPr>
          <w:rFonts w:ascii="微软雅黑" w:hAnsi="微软雅黑" w:eastAsia="微软雅黑"/>
        </w:rPr>
        <w:t>运控层的挑战</w:t>
      </w:r>
    </w:p>
    <w:p w14:paraId="4C41CC8B">
      <w:pPr>
        <w:ind w:firstLine="420"/>
      </w:pPr>
      <w:r>
        <w:rPr>
          <w:rFonts w:ascii="微软雅黑" w:hAnsi="微软雅黑" w:eastAsia="微软雅黑"/>
        </w:rPr>
        <w:t>顾问指出，机器人运控（类似汽车底盘调校）是目前行业的薄弱环节。中国市面上最好的运控团队大约只有70分水平，且现有模型输出的控制信号并非平滑曲线，仍需运控层做补充。跨本体适配时，运控层仍需定制化开发，这意味着硬件定义权实际上仍掌握在RoboX这类模型方手中。</w:t>
      </w:r>
    </w:p>
    <w:p w14:paraId="35E1DFA9">
      <w:pPr>
        <w:ind w:firstLine="420"/>
      </w:pPr>
      <w:r>
        <w:rPr>
          <w:rFonts w:ascii="微软雅黑" w:hAnsi="微软雅黑" w:eastAsia="微软雅黑"/>
        </w:rPr>
        <w:t>明修确认了这一点——System 0（BFM-Motion）层原生支持手眼协同控制，对于通用机械臂只需接收末端坐标即可执行操作。</w:t>
      </w:r>
    </w:p>
    <w:p w14:paraId="5E321168">
      <w:pPr>
        <w:pStyle w:val="3"/>
      </w:pPr>
      <w:r>
        <w:rPr>
          <w:rFonts w:ascii="微软雅黑" w:hAnsi="微软雅黑" w:eastAsia="微软雅黑"/>
        </w:rPr>
        <w:t>三、材料合作可能性探讨</w:t>
      </w:r>
    </w:p>
    <w:p w14:paraId="6DE09F07">
      <w:pPr>
        <w:ind w:firstLine="420"/>
      </w:pPr>
      <w:r>
        <w:rPr>
          <w:rFonts w:ascii="微软雅黑" w:hAnsi="微软雅黑" w:eastAsia="微软雅黑"/>
        </w:rPr>
        <w:t>聚合顺董事长在这一环节详细阐述了公司在特种高分子材料领域的技术积累和合作意愿。</w:t>
      </w:r>
    </w:p>
    <w:p w14:paraId="70B8DF12">
      <w:pPr>
        <w:pStyle w:val="4"/>
      </w:pPr>
      <w:r>
        <w:rPr>
          <w:rFonts w:ascii="微软雅黑" w:hAnsi="微软雅黑" w:eastAsia="微软雅黑"/>
        </w:rPr>
        <w:t>聚合顺的材料能力</w:t>
      </w:r>
    </w:p>
    <w:p w14:paraId="49CE83D1">
      <w:pPr>
        <w:ind w:firstLine="420"/>
      </w:pPr>
      <w:r>
        <w:rPr>
          <w:rFonts w:ascii="微软雅黑" w:hAnsi="微软雅黑" w:eastAsia="微软雅黑"/>
        </w:rPr>
        <w:t>聚合顺作为上市公司，主营业务涵盖尼龙和聚高强聚乙烯等特种材料。董事长介绍，聚高强聚乙烯材料可用于制作防护服、手套等高强度场景，技术源自帝斯曼（DSM）合资体系。在机器人领域，这类材料可用于关节承载部件、减速器组件以及机器人骨骼结构等。董事长特别提到高流动尼龙（高丽龙）在强度和成本方面的优势，可以替代部分金属结构件，实现轻量化并降低能耗。</w:t>
      </w:r>
    </w:p>
    <w:p w14:paraId="59280D81">
      <w:pPr>
        <w:pStyle w:val="4"/>
      </w:pPr>
      <w:r>
        <w:rPr>
          <w:rFonts w:ascii="微软雅黑" w:hAnsi="微软雅黑" w:eastAsia="微软雅黑"/>
        </w:rPr>
        <w:t>研发合作模式</w:t>
      </w:r>
    </w:p>
    <w:p w14:paraId="4B17E36C">
      <w:pPr>
        <w:ind w:firstLine="420"/>
      </w:pPr>
      <w:r>
        <w:rPr>
          <w:rFonts w:ascii="微软雅黑" w:hAnsi="微软雅黑" w:eastAsia="微软雅黑"/>
        </w:rPr>
        <w:t>董事长提出了一个极具吸引力的合作方案：聚合顺作为上市公司有充足的研发费用预算，可以承接RoboX的材料需求进行定向研发。"有一些产品能力有需要的，可以给我们要求，我们出研发经费做好了给你用。"这意味着RoboX无需承担材料端的研发成本，聚合顺的研发费用还可以享受税收优惠和政策补贴。</w:t>
      </w:r>
    </w:p>
    <w:p w14:paraId="3BC73665">
      <w:pPr>
        <w:ind w:firstLine="420"/>
      </w:pPr>
      <w:r>
        <w:rPr>
          <w:rFonts w:ascii="微软雅黑" w:hAnsi="微软雅黑" w:eastAsia="微软雅黑"/>
        </w:rPr>
        <w:t>董事长还提到与武汉纺织大学的长期产学研合作关系，可以为机器人特殊材料需求提供学术支撑。</w:t>
      </w:r>
    </w:p>
    <w:p w14:paraId="2C71E205">
      <w:pPr>
        <w:pStyle w:val="4"/>
      </w:pPr>
      <w:r>
        <w:rPr>
          <w:rFonts w:ascii="微软雅黑" w:hAnsi="微软雅黑" w:eastAsia="微软雅黑"/>
        </w:rPr>
        <w:t>产业链视角</w:t>
      </w:r>
    </w:p>
    <w:p w14:paraId="40CAC0EE">
      <w:pPr>
        <w:ind w:firstLine="420"/>
      </w:pPr>
      <w:r>
        <w:rPr>
          <w:rFonts w:ascii="微软雅黑" w:hAnsi="微软雅黑" w:eastAsia="微软雅黑"/>
        </w:rPr>
        <w:t>董事长从宏观角度指出，机器人产业可以带动大量上下游产业链，这是国家政策支持的重要原因。"你做一个机器人带动很多产业链，所有国家喜欢就这个。"聚合顺愿意作为材料供应链的一环，与RoboX形成长期合作。</w:t>
      </w:r>
    </w:p>
    <w:p w14:paraId="710C833D">
      <w:pPr>
        <w:pStyle w:val="3"/>
      </w:pPr>
      <w:r>
        <w:rPr>
          <w:rFonts w:ascii="微软雅黑" w:hAnsi="微软雅黑" w:eastAsia="微软雅黑"/>
        </w:rPr>
        <w:t>四、数据采集与商业化策略</w:t>
      </w:r>
    </w:p>
    <w:p w14:paraId="740FD160">
      <w:pPr>
        <w:pStyle w:val="4"/>
      </w:pPr>
      <w:r>
        <w:rPr>
          <w:rFonts w:ascii="微软雅黑" w:hAnsi="微软雅黑" w:eastAsia="微软雅黑"/>
        </w:rPr>
        <w:t>数据采集合作伙伴</w:t>
      </w:r>
    </w:p>
    <w:p w14:paraId="0E3B6593">
      <w:pPr>
        <w:ind w:firstLine="420"/>
      </w:pPr>
      <w:r>
        <w:rPr>
          <w:rFonts w:ascii="微软雅黑" w:hAnsi="微软雅黑" w:eastAsia="微软雅黑"/>
        </w:rPr>
        <w:t>明修透露，Rocket（AR眼镜公司）的下一代专门用于数据采集的眼镜是由他参与定义的。此外，Pico等AR/VR设备厂商也是潜在的数据采集合作方。RoboX还开发了数据采集APP，可以安装在手机或AR眼镜上，让普通用户有机会参与数据采集。在隐私方面，团队认为部分用户对数据共享持开放态度，可以通过"科研用途"等合理解释获取用户授权。</w:t>
      </w:r>
    </w:p>
    <w:p w14:paraId="302AD391">
      <w:pPr>
        <w:pStyle w:val="4"/>
      </w:pPr>
      <w:r>
        <w:rPr>
          <w:rFonts w:ascii="微软雅黑" w:hAnsi="微软雅黑" w:eastAsia="微软雅黑"/>
        </w:rPr>
        <w:t>数据壁垒的核心逻辑</w:t>
      </w:r>
    </w:p>
    <w:p w14:paraId="4FCEB0C1">
      <w:pPr>
        <w:ind w:firstLine="420"/>
      </w:pPr>
      <w:r>
        <w:rPr>
          <w:rFonts w:ascii="微软雅黑" w:hAnsi="微软雅黑" w:eastAsia="微软雅黑"/>
        </w:rPr>
        <w:t>顾问和明修在数据商业化问题上达成了高度共识：数据是RoboX的核心壁垒，不能出售也不能公开采集方法。明修明确表示："我数据不卖，我数据怎么来的我也不告诉任何人。"顾问补充说，数据的价值不仅在于规模，更在于"知道怎么训练模型、用什么数据训练模型"这套know-how。一旦公开采集方法和数据管线，竞争对手就能快速复制。</w:t>
      </w:r>
    </w:p>
    <w:p w14:paraId="04C287E5">
      <w:pPr>
        <w:pStyle w:val="4"/>
      </w:pPr>
      <w:r>
        <w:rPr>
          <w:rFonts w:ascii="微软雅黑" w:hAnsi="微软雅黑" w:eastAsia="微软雅黑"/>
        </w:rPr>
        <w:t>数据外包的陷阱</w:t>
      </w:r>
    </w:p>
    <w:p w14:paraId="0E564982">
      <w:pPr>
        <w:ind w:firstLine="420"/>
      </w:pPr>
      <w:r>
        <w:rPr>
          <w:rFonts w:ascii="微软雅黑" w:hAnsi="微软雅黑" w:eastAsia="微软雅黑"/>
        </w:rPr>
        <w:t>顾问指出数据商业化的一个悖论：每周有2到3家公司向阿里推销数据，但绝大多数客户仍处于预训练阶段，真正需要大规模数据的只有头部厂商。如果RoboX只做数据采集外包，身份就变成了"外包商"而非"Scale AI"。明修认同这一判断，但也表示未来在特定场景下不排除合作可能。</w:t>
      </w:r>
    </w:p>
    <w:p w14:paraId="27E8B5AD">
      <w:pPr>
        <w:pStyle w:val="3"/>
      </w:pPr>
      <w:r>
        <w:rPr>
          <w:rFonts w:ascii="微软雅黑" w:hAnsi="微软雅黑" w:eastAsia="微软雅黑"/>
        </w:rPr>
        <w:t>五、商业化路径与竞争格局</w:t>
      </w:r>
    </w:p>
    <w:p w14:paraId="3906BED9">
      <w:pPr>
        <w:pStyle w:val="4"/>
      </w:pPr>
      <w:r>
        <w:rPr>
          <w:rFonts w:ascii="微软雅黑" w:hAnsi="微软雅黑" w:eastAsia="微软雅黑"/>
        </w:rPr>
        <w:t>行业竞争态势</w:t>
      </w:r>
    </w:p>
    <w:p w14:paraId="72CDEC3E">
      <w:pPr>
        <w:ind w:firstLine="420"/>
      </w:pPr>
      <w:r>
        <w:rPr>
          <w:rFonts w:ascii="微软雅黑" w:hAnsi="微软雅黑" w:eastAsia="微软雅黑"/>
        </w:rPr>
        <w:t>顾问对当前具身智能行业的竞争格局做了系统性分析。他认为专业投资人判断行业已经进入中期阶段，到2025年底至2026年将迎来大规模洗牌。"在未来的一年里面会死掉一大半，然后剩下死完之后就开始比长跑，谁的耐力好。"</w:t>
      </w:r>
    </w:p>
    <w:p w14:paraId="1AB5C89A">
      <w:pPr>
        <w:ind w:firstLine="420"/>
      </w:pPr>
      <w:r>
        <w:rPr>
          <w:rFonts w:ascii="微软雅黑" w:hAnsi="微软雅黑" w:eastAsia="微软雅黑"/>
        </w:rPr>
        <w:t>OpenAI和Sora等数字AI巨头已官宣入局具身智能，可能会加速这一过渡期。穿越周期的关键是"要么拿着足够的钱撑过这波寒冬，要么就快速形成商业化能力"。顾问估计行业寒冬持续2到3年，也有投资人认为18个月即可完成洗牌。</w:t>
      </w:r>
    </w:p>
    <w:p w14:paraId="09A27344">
      <w:pPr>
        <w:pStyle w:val="4"/>
      </w:pPr>
      <w:r>
        <w:rPr>
          <w:rFonts w:ascii="微软雅黑" w:hAnsi="微软雅黑" w:eastAsia="微软雅黑"/>
        </w:rPr>
        <w:t>跨本体能力的商业价值</w:t>
      </w:r>
    </w:p>
    <w:p w14:paraId="309FC6A2">
      <w:pPr>
        <w:ind w:firstLine="420"/>
      </w:pPr>
      <w:r>
        <w:rPr>
          <w:rFonts w:ascii="微软雅黑" w:hAnsi="微软雅黑" w:eastAsia="微软雅黑"/>
        </w:rPr>
        <w:t>顾问指出，当前机器人落地的核心难题不在于模型本身，而在于"谁家的硬件可以通用"。不同厂商的机器人硬件差异巨大，上下半身运动控制互不兼容，导致每个场景都需要定制化适配。明修确认RoboX的上下半身运动控制已经打通，且具备自有运控团队，能够与关节厂商做深度运控层配合。</w:t>
      </w:r>
    </w:p>
    <w:p w14:paraId="722740AE">
      <w:pPr>
        <w:pStyle w:val="4"/>
      </w:pPr>
      <w:r>
        <w:rPr>
          <w:rFonts w:ascii="微软雅黑" w:hAnsi="微软雅黑" w:eastAsia="微软雅黑"/>
        </w:rPr>
        <w:t>自变量（智元）的案例</w:t>
      </w:r>
    </w:p>
    <w:p w14:paraId="50E09090">
      <w:pPr>
        <w:ind w:firstLine="420"/>
      </w:pPr>
      <w:r>
        <w:rPr>
          <w:rFonts w:ascii="微软雅黑" w:hAnsi="微软雅黑" w:eastAsia="微软雅黑"/>
        </w:rPr>
        <w:t>与会者讨论了自变量（智元机器人）的内部运作问题。顾问提到，他曾为自变量拉来雀巢全球CTO的合作机会，但对方内部无人接洽，导致合作流产。明修也提到，餐厅场景的所有任务分配给了团队成员，但对方"没敢做"。这反映出大型机器人公司在商业化落地上的内部消耗和决策迟缓问题。</w:t>
      </w:r>
    </w:p>
    <w:p w14:paraId="0E399C1F">
      <w:pPr>
        <w:pStyle w:val="3"/>
      </w:pPr>
      <w:r>
        <w:rPr>
          <w:rFonts w:ascii="微软雅黑" w:hAnsi="微软雅黑" w:eastAsia="微软雅黑"/>
        </w:rPr>
        <w:t>六、教育场景与公司注册策略</w:t>
      </w:r>
    </w:p>
    <w:p w14:paraId="746788CB">
      <w:pPr>
        <w:pStyle w:val="4"/>
      </w:pPr>
      <w:r>
        <w:rPr>
          <w:rFonts w:ascii="微软雅黑" w:hAnsi="微软雅黑" w:eastAsia="微软雅黑"/>
        </w:rPr>
        <w:t>教育场景的商业潜力</w:t>
      </w:r>
    </w:p>
    <w:p w14:paraId="7A8688E8">
      <w:pPr>
        <w:ind w:firstLine="420"/>
      </w:pPr>
      <w:r>
        <w:rPr>
          <w:rFonts w:ascii="微软雅黑" w:hAnsi="微软雅黑" w:eastAsia="微软雅黑"/>
        </w:rPr>
        <w:t>顾问讨论了教育场景作为短期收入来源的可能性。他提到许华哲团队的复合机器人做麻婆豆腐的案例，以及团队在教育领域的已有积累。教育场景的优势在于客户决策链短、付费意愿明确，可以作为RoboX在18个月能力积累期内的"造血"手段。</w:t>
      </w:r>
    </w:p>
    <w:p w14:paraId="2C52CBC0">
      <w:pPr>
        <w:pStyle w:val="4"/>
      </w:pPr>
      <w:r>
        <w:rPr>
          <w:rFonts w:ascii="微软雅黑" w:hAnsi="微软雅黑" w:eastAsia="微软雅黑"/>
        </w:rPr>
        <w:t>公司注册地策略</w:t>
      </w:r>
    </w:p>
    <w:p w14:paraId="4449D9A5">
      <w:pPr>
        <w:ind w:firstLine="420"/>
      </w:pPr>
      <w:r>
        <w:rPr>
          <w:rFonts w:ascii="微软雅黑" w:hAnsi="微软雅黑" w:eastAsia="微软雅黑"/>
        </w:rPr>
        <w:t>与会者详细讨论了RoboX的公司注册地问题。明修目前有一个注册在余杭的主体（挂在别人名下），还有一个在滨江的已注册主体。顾问建议的策略是：先在政策条件最优的地方落地，再与管委会或区领导谈判争取最大优惠，最后将公司迁回目标区域。核心原则是"对政府来讲他要增量，如果你已经在这儿了，对他来讲就是他碗里的菜了"——要用新注册主体争取增量政策支持。</w:t>
      </w:r>
    </w:p>
    <w:p w14:paraId="14376EFF">
      <w:pPr>
        <w:pStyle w:val="3"/>
      </w:pPr>
      <w:r>
        <w:rPr>
          <w:rFonts w:ascii="微软雅黑" w:hAnsi="微软雅黑" w:eastAsia="微软雅黑"/>
        </w:rPr>
        <w:t>七、融资策略与资本规划</w:t>
      </w:r>
    </w:p>
    <w:p w14:paraId="227D2444">
      <w:pPr>
        <w:pStyle w:val="4"/>
      </w:pPr>
      <w:r>
        <w:rPr>
          <w:rFonts w:ascii="微软雅黑" w:hAnsi="微软雅黑" w:eastAsia="微软雅黑"/>
        </w:rPr>
        <w:t>阿里投资进展</w:t>
      </w:r>
    </w:p>
    <w:p w14:paraId="44DA058D">
      <w:pPr>
        <w:ind w:firstLine="420"/>
      </w:pPr>
      <w:r>
        <w:rPr>
          <w:rFonts w:ascii="微软雅黑" w:hAnsi="微软雅黑" w:eastAsia="微软雅黑"/>
        </w:rPr>
        <w:t>阿里方面有三个团队正在同步评估RoboX：远景资本（由阿里CEO吴泳铭主导）、阿里战投、阿里巴巴创业者基金。远景资本由吴泳铭在任职CEO前创立，对项目态度积极。团队前一天已在北京与相关方会面，进展较快。董事长建议RoboX应争取拿到阿里的投资，即使价格低一点也值得——"这个品牌还是在的"，而且RoboX团队出自达摩院，阿里投资具有天然的叙事逻辑。</w:t>
      </w:r>
    </w:p>
    <w:p w14:paraId="285AB1F3">
      <w:pPr>
        <w:pStyle w:val="4"/>
      </w:pPr>
      <w:r>
        <w:rPr>
          <w:rFonts w:ascii="微软雅黑" w:hAnsi="微软雅黑" w:eastAsia="微软雅黑"/>
        </w:rPr>
        <w:t>融资节奏设计</w:t>
      </w:r>
    </w:p>
    <w:p w14:paraId="19E2EACB">
      <w:pPr>
        <w:ind w:firstLine="420"/>
      </w:pPr>
      <w:r>
        <w:rPr>
          <w:rFonts w:ascii="微软雅黑" w:hAnsi="微软雅黑" w:eastAsia="微软雅黑"/>
        </w:rPr>
        <w:t>讨论中形成的共识是：阿里作为负一轮领投方，后续第一轮由其他机构接续。明修表示资金用途大致为三分之一用于数据、三分之一用于算力、三分之一用于人力。算力方面，如果拿了阿里的钱就使用阿里云，否则有自有算力渠道。第二轮必须引入大型市场化VC机构，如红杉、高瓴等，优先选择拥有美元和人民币双币基金的机构。</w:t>
      </w:r>
    </w:p>
    <w:p w14:paraId="7F8895B9">
      <w:pPr>
        <w:pStyle w:val="4"/>
      </w:pPr>
      <w:r>
        <w:rPr>
          <w:rFonts w:ascii="微软雅黑" w:hAnsi="微软雅黑" w:eastAsia="微软雅黑"/>
        </w:rPr>
        <w:t>资金需求与退出路径</w:t>
      </w:r>
    </w:p>
    <w:p w14:paraId="5E59FDEB">
      <w:pPr>
        <w:ind w:firstLine="420"/>
      </w:pPr>
      <w:r>
        <w:rPr>
          <w:rFonts w:ascii="微软雅黑" w:hAnsi="微软雅黑" w:eastAsia="微软雅黑"/>
        </w:rPr>
        <w:t>顾问判断，RoboX属于"高举高打"型项目，从品牌、技术到资本均需按最高标准配置，预估总烧钱规模达20亿级别。这类项目无法采用渐进式发展路线，必须"上来就轰"。主要退出方式为被大厂收购，预期将获得极高溢价。</w:t>
      </w:r>
    </w:p>
    <w:p w14:paraId="0E7AB6AD">
      <w:pPr>
        <w:pStyle w:val="4"/>
      </w:pPr>
      <w:r>
        <w:rPr>
          <w:rFonts w:ascii="微软雅黑" w:hAnsi="微软雅黑" w:eastAsia="微软雅黑"/>
        </w:rPr>
        <w:t>18个月窗口期</w:t>
      </w:r>
    </w:p>
    <w:p w14:paraId="2C245CEB">
      <w:pPr>
        <w:ind w:firstLine="420"/>
      </w:pPr>
      <w:r>
        <w:rPr>
          <w:rFonts w:ascii="微软雅黑" w:hAnsi="微软雅黑" w:eastAsia="微软雅黑"/>
        </w:rPr>
        <w:t>与会者反复强调融资的时间紧迫性。顾问认为必须在202</w:t>
      </w:r>
      <w:r>
        <w:rPr>
          <w:rFonts w:hint="eastAsia"/>
          <w:lang w:val="en-US" w:eastAsia="zh-CN"/>
        </w:rPr>
        <w:t>7</w:t>
      </w:r>
      <w:bookmarkStart w:id="0" w:name="_GoBack"/>
      <w:bookmarkEnd w:id="0"/>
      <w:r>
        <w:rPr>
          <w:rFonts w:ascii="微软雅黑" w:hAnsi="微软雅黑" w:eastAsia="微软雅黑"/>
        </w:rPr>
        <w:t>年春节前完成关键融资轮次，占住"创业周期"的有利位置。明修表示对关键指标有信心但时间紧张。</w:t>
      </w:r>
    </w:p>
    <w:p w14:paraId="6D9B5100">
      <w:r>
        <w:br w:type="page"/>
      </w:r>
    </w:p>
    <w:p w14:paraId="7BAC0204">
      <w:pPr>
        <w:pStyle w:val="3"/>
      </w:pPr>
      <w:r>
        <w:rPr>
          <w:rFonts w:ascii="微软雅黑" w:hAnsi="微软雅黑" w:eastAsia="微软雅黑"/>
        </w:rPr>
        <w:t>八、三方核心观点总结</w:t>
      </w:r>
    </w:p>
    <w:p w14:paraId="444F6940">
      <w:pPr>
        <w:pStyle w:val="4"/>
      </w:pPr>
      <w:r>
        <w:rPr>
          <w:rFonts w:ascii="微软雅黑" w:hAnsi="微软雅黑" w:eastAsia="微软雅黑"/>
        </w:rPr>
        <w:t>RoboX创始人明修的核心观点</w:t>
      </w:r>
    </w:p>
    <w:p w14:paraId="66C5F209">
      <w:pPr>
        <w:ind w:firstLine="420"/>
      </w:pPr>
      <w:r>
        <w:rPr>
          <w:rFonts w:ascii="微软雅黑" w:hAnsi="微软雅黑" w:eastAsia="微软雅黑"/>
        </w:rPr>
        <w:t>明修的技术自信建立在三个支柱之上：分层模型架构的原创性、数据规模的领先性、以及跨本体能力的稀缺性。</w:t>
      </w:r>
    </w:p>
    <w:p w14:paraId="0862B9EA">
      <w:pPr>
        <w:ind w:firstLine="420"/>
      </w:pPr>
      <w:r>
        <w:rPr>
          <w:rFonts w:ascii="微软雅黑" w:hAnsi="微软雅黑" w:eastAsia="微软雅黑"/>
        </w:rPr>
        <w:t>在技术路线上，他认为三层模型通过潜空间通信的架构是与同行的根本差异，这种设计让模型能够专注于操控任务而非语言理解。在数据层面，50万小时的第一视角数据是当前全球最大规模之一，但他更看重的是"知道怎么训练模型、用什么数据训练模型"的know-how壁垒——这套能力不可复制、不可出售。</w:t>
      </w:r>
    </w:p>
    <w:p w14:paraId="15260B44">
      <w:pPr>
        <w:ind w:firstLine="420"/>
      </w:pPr>
      <w:r>
        <w:rPr>
          <w:rFonts w:ascii="微软雅黑" w:hAnsi="微软雅黑" w:eastAsia="微软雅黑"/>
        </w:rPr>
        <w:t>在商业化策略上，他坚持18个月能力积累期后再进入商业服务，期间不急于变现，也不公开数据采集方法以保护核心壁垒。在硬件策略上，他选择不自研本体，而是深入供应链做定制合作，已经跑了80多家企业建立了广泛的供应商网络。跨本体能力是他认为RoboX区别于所有竞争对手的关键——一个模型支持多种机器人构型，这在行业内尚无先例。</w:t>
      </w:r>
    </w:p>
    <w:p w14:paraId="58070909">
      <w:pPr>
        <w:ind w:firstLine="420"/>
      </w:pPr>
      <w:r>
        <w:rPr>
          <w:rFonts w:ascii="微软雅黑" w:hAnsi="微软雅黑" w:eastAsia="微软雅黑"/>
        </w:rPr>
        <w:t>在行业判断上，明修认同行将在未来一年内经历大规模洗牌，他认为RoboX的数据和技术积累足以穿越周期，但融资节奏必须抓紧。对于阿里的投资，他持开放态度，认为品牌背书的价值大于资金本身。</w:t>
      </w:r>
    </w:p>
    <w:p w14:paraId="38B32F00">
      <w:pPr>
        <w:pStyle w:val="4"/>
      </w:pPr>
      <w:r>
        <w:rPr>
          <w:rFonts w:ascii="微软雅黑" w:hAnsi="微软雅黑" w:eastAsia="微软雅黑"/>
        </w:rPr>
        <w:t>聚合顺董事长的核心观点</w:t>
      </w:r>
    </w:p>
    <w:p w14:paraId="47EC8133">
      <w:pPr>
        <w:ind w:firstLine="420"/>
      </w:pPr>
      <w:r>
        <w:rPr>
          <w:rFonts w:ascii="微软雅黑" w:hAnsi="微软雅黑" w:eastAsia="微软雅黑"/>
        </w:rPr>
        <w:t>董事长的视角始终围绕"材料如何赋能机器人产业"这一主题展开，同时也表现出对新兴产业投资的浓厚兴趣。</w:t>
      </w:r>
    </w:p>
    <w:p w14:paraId="657BD653">
      <w:pPr>
        <w:ind w:firstLine="420"/>
      </w:pPr>
      <w:r>
        <w:rPr>
          <w:rFonts w:ascii="微软雅黑" w:hAnsi="微软雅黑" w:eastAsia="微软雅黑"/>
        </w:rPr>
        <w:t>在合作意愿上，他展现了极高的主动性——提出由聚合顺承担研发费用、为RoboX定向开发机器人专用材料的方案。作为上市公司，聚合顺的研发预算充裕且有税收优势，这种"你提需求、我出钱研发、成果共享"的模式对早期创业公司极具吸引力。在材料技术上，他重点推介了聚高强聚乙烯和高流动尼龙两类材料，认为可以替代部分金属结构件实现机器人轻量化。</w:t>
      </w:r>
    </w:p>
    <w:p w14:paraId="245C5AA5">
      <w:pPr>
        <w:ind w:firstLine="420"/>
      </w:pPr>
      <w:r>
        <w:rPr>
          <w:rFonts w:ascii="微软雅黑" w:hAnsi="微软雅黑" w:eastAsia="微软雅黑"/>
        </w:rPr>
        <w:t>在投资判断上，董事长表现出务实商人的敏锐直觉。他关注RoboX离开达摩院后的品牌延续问题——"如果你离开了达摩院，那还有这么多人会找你吗？知名度会不会下降？"同时也关心数据的真实有效性——"别人也会采集啊，是否有效？"这些问题直指创业公司从大平台独立后的核心挑战。</w:t>
      </w:r>
    </w:p>
    <w:p w14:paraId="22339066">
      <w:pPr>
        <w:ind w:firstLine="420"/>
      </w:pPr>
      <w:r>
        <w:rPr>
          <w:rFonts w:ascii="微软雅黑" w:hAnsi="微软雅黑" w:eastAsia="微软雅黑"/>
        </w:rPr>
        <w:t>此外，董事长还流露出对新兴产业布局的强烈意愿。他提到公司"也是要观察一下，新的东西嘛，AI机器人这些热点东西也要去弄一点"，显示出传统材料企业向高科技领域延伸的战略意图。他还分享了芯片、存储等硬科技领域的投资案例和人脉资源，展现了温州商人的广泛商业网络。</w:t>
      </w:r>
    </w:p>
    <w:p w14:paraId="7E13B3A6">
      <w:pPr>
        <w:pStyle w:val="4"/>
      </w:pPr>
      <w:r>
        <w:rPr>
          <w:rFonts w:ascii="微软雅黑" w:hAnsi="微软雅黑" w:eastAsia="微软雅黑"/>
        </w:rPr>
        <w:t>董事长顾问的核心观点</w:t>
      </w:r>
    </w:p>
    <w:p w14:paraId="238F7680">
      <w:pPr>
        <w:ind w:firstLine="420"/>
      </w:pPr>
      <w:r>
        <w:rPr>
          <w:rFonts w:ascii="微软雅黑" w:hAnsi="微软雅黑" w:eastAsia="微软雅黑"/>
        </w:rPr>
        <w:t>顾问是整场会议中发言最多、视角最广的角色，兼具行业专家的深度和资本圈层的广度。</w:t>
      </w:r>
    </w:p>
    <w:p w14:paraId="4D2D533B">
      <w:pPr>
        <w:ind w:firstLine="420"/>
      </w:pPr>
      <w:r>
        <w:rPr>
          <w:rFonts w:ascii="微软雅黑" w:hAnsi="微软雅黑" w:eastAsia="微软雅黑"/>
        </w:rPr>
        <w:t>在行业判断上，他给出了一个清晰的时间表：具身智能行业已进入中期，18个月内将完成第一轮洗牌，"会死掉一大半"。穿越周期的标准很明确——要么有足够多的钱撑过寒冬，要么快速形成商业化能力。OpenAI和Sora等数字AI巨头的入局可能加速这一进程。2到3年后行业将进入"比长跑"阶段，耐力决定胜负。</w:t>
      </w:r>
    </w:p>
    <w:p w14:paraId="18CEBEB2">
      <w:pPr>
        <w:ind w:firstLine="420"/>
      </w:pPr>
      <w:r>
        <w:rPr>
          <w:rFonts w:ascii="微软雅黑" w:hAnsi="微软雅黑" w:eastAsia="微软雅黑"/>
        </w:rPr>
        <w:t>在技术路线评估上，他对RoboX的分层架构和跨本体能力表示认可，但也不断抛出尖锐问题来验证技术落地的可行性。他特别关注运控层的成熟度（"中国最好的运控只有70分"）、硬件通用性的现实困境（"谁家的硬件可以通用？"）、以及从实验室到商业场景的鸿沟。他用星辰的案例说明，单一技术路线缺乏产业链生态支撑的风险——"好东西不一定能跑得起来"。</w:t>
      </w:r>
    </w:p>
    <w:p w14:paraId="1D72253A">
      <w:pPr>
        <w:ind w:firstLine="420"/>
      </w:pPr>
      <w:r>
        <w:rPr>
          <w:rFonts w:ascii="微软雅黑" w:hAnsi="微软雅黑" w:eastAsia="微软雅黑"/>
        </w:rPr>
        <w:t>在商业化建议上，他提出了几个关键主张：数据不能卖、采集方法不能公开；教育场景可以作为短期收入来源；融资必须在春节前完成以占住周期位置；第二轮必须引入红杉、高瓴级别的市场化VC做背书；阿里投资的品牌价值大于财务价值。他还建议引入专业FA机构协助融资，并推荐了具体人选。</w:t>
      </w:r>
    </w:p>
    <w:p w14:paraId="033ACDFD">
      <w:pPr>
        <w:ind w:firstLine="420"/>
      </w:pPr>
      <w:r>
        <w:rPr>
          <w:rFonts w:ascii="微软雅黑" w:hAnsi="微软雅黑" w:eastAsia="微软雅黑"/>
        </w:rPr>
        <w:t>在战略定位上，他将RoboX定义为"高举高打"型项目——预估烧钱20亿级别，必须从品牌、技术到资本全面按最高标准配置，无法走渐进式路线。退出路径主要靠被大厂收购，核心壁垒在于作为"连接器"角色的数据聚合潜力。</w:t>
      </w:r>
    </w:p>
    <w:p w14:paraId="5704E035">
      <w:r>
        <w:br w:type="page"/>
      </w:r>
    </w:p>
    <w:p w14:paraId="4FAB2D98">
      <w:pPr>
        <w:pStyle w:val="3"/>
      </w:pPr>
      <w:r>
        <w:rPr>
          <w:rFonts w:ascii="微软雅黑" w:hAnsi="微软雅黑" w:eastAsia="微软雅黑"/>
        </w:rPr>
        <w:t>九、后续行动事项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417"/>
        <w:gridCol w:w="4535"/>
        <w:gridCol w:w="1984"/>
      </w:tblGrid>
      <w:tr w14:paraId="12DC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A3C6E"/>
          </w:tcPr>
          <w:p w14:paraId="614B85FE">
            <w:pPr>
              <w:jc w:val="center"/>
            </w:pPr>
            <w:r>
              <w:rPr>
                <w:rFonts w:ascii="微软雅黑" w:hAnsi="微软雅黑" w:eastAsia="微软雅黑"/>
                <w:b/>
                <w:color w:val="FFFFFF"/>
                <w:sz w:val="20"/>
              </w:rPr>
              <w:t>序号</w:t>
            </w:r>
          </w:p>
        </w:tc>
        <w:tc>
          <w:tcPr>
            <w:tcW w:w="1417" w:type="dxa"/>
            <w:shd w:val="clear" w:color="auto" w:fill="1A3C6E"/>
          </w:tcPr>
          <w:p w14:paraId="4C719FCD">
            <w:pPr>
              <w:jc w:val="center"/>
            </w:pPr>
            <w:r>
              <w:rPr>
                <w:rFonts w:ascii="微软雅黑" w:hAnsi="微软雅黑" w:eastAsia="微软雅黑"/>
                <w:b/>
                <w:color w:val="FFFFFF"/>
                <w:sz w:val="20"/>
              </w:rPr>
              <w:t>负责方</w:t>
            </w:r>
          </w:p>
        </w:tc>
        <w:tc>
          <w:tcPr>
            <w:tcW w:w="4535" w:type="dxa"/>
            <w:shd w:val="clear" w:color="auto" w:fill="1A3C6E"/>
          </w:tcPr>
          <w:p w14:paraId="6C38B5D3">
            <w:pPr>
              <w:jc w:val="center"/>
            </w:pPr>
            <w:r>
              <w:rPr>
                <w:rFonts w:ascii="微软雅黑" w:hAnsi="微软雅黑" w:eastAsia="微软雅黑"/>
                <w:b/>
                <w:color w:val="FFFFFF"/>
                <w:sz w:val="20"/>
              </w:rPr>
              <w:t>行动事项</w:t>
            </w:r>
          </w:p>
        </w:tc>
        <w:tc>
          <w:tcPr>
            <w:tcW w:w="1984" w:type="dxa"/>
            <w:shd w:val="clear" w:color="auto" w:fill="1A3C6E"/>
          </w:tcPr>
          <w:p w14:paraId="0EB0BA24">
            <w:pPr>
              <w:jc w:val="center"/>
            </w:pPr>
            <w:r>
              <w:rPr>
                <w:rFonts w:ascii="微软雅黑" w:hAnsi="微软雅黑" w:eastAsia="微软雅黑"/>
                <w:b/>
                <w:color w:val="FFFFFF"/>
                <w:sz w:val="20"/>
              </w:rPr>
              <w:t>时间节点</w:t>
            </w:r>
          </w:p>
        </w:tc>
      </w:tr>
      <w:tr w14:paraId="45B7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59BAF48">
            <w:r>
              <w:rPr>
                <w:rFonts w:ascii="微软雅黑" w:hAnsi="微软雅黑" w:eastAsia="微软雅黑"/>
                <w:sz w:val="20"/>
              </w:rPr>
              <w:t>1</w:t>
            </w:r>
          </w:p>
        </w:tc>
        <w:tc>
          <w:tcPr>
            <w:tcW w:w="1417" w:type="dxa"/>
          </w:tcPr>
          <w:p w14:paraId="347F8CAB">
            <w:r>
              <w:rPr>
                <w:rFonts w:ascii="微软雅黑" w:hAnsi="微软雅黑" w:eastAsia="微软雅黑"/>
                <w:sz w:val="20"/>
              </w:rPr>
              <w:t>RoboX</w:t>
            </w:r>
          </w:p>
        </w:tc>
        <w:tc>
          <w:tcPr>
            <w:tcW w:w="4535" w:type="dxa"/>
          </w:tcPr>
          <w:p w14:paraId="3C184521">
            <w:r>
              <w:rPr>
                <w:rFonts w:ascii="微软雅黑" w:hAnsi="微软雅黑" w:eastAsia="微软雅黑"/>
                <w:sz w:val="20"/>
              </w:rPr>
              <w:t>整理材料需求清单，提交给聚合顺进行定向研发评估</w:t>
            </w:r>
          </w:p>
        </w:tc>
        <w:tc>
          <w:tcPr>
            <w:tcW w:w="1984" w:type="dxa"/>
          </w:tcPr>
          <w:p w14:paraId="459B5DDA">
            <w:r>
              <w:rPr>
                <w:rFonts w:ascii="微软雅黑" w:hAnsi="微软雅黑" w:eastAsia="微软雅黑"/>
                <w:sz w:val="20"/>
              </w:rPr>
              <w:t>会后一周内</w:t>
            </w:r>
          </w:p>
        </w:tc>
      </w:tr>
      <w:tr w14:paraId="1304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0F4F8"/>
          </w:tcPr>
          <w:p w14:paraId="4A20844A">
            <w:r>
              <w:rPr>
                <w:rFonts w:ascii="微软雅黑" w:hAnsi="微软雅黑" w:eastAsia="微软雅黑"/>
                <w:sz w:val="20"/>
              </w:rPr>
              <w:t>2</w:t>
            </w:r>
          </w:p>
        </w:tc>
        <w:tc>
          <w:tcPr>
            <w:tcW w:w="1417" w:type="dxa"/>
            <w:shd w:val="clear" w:color="auto" w:fill="F0F4F8"/>
          </w:tcPr>
          <w:p w14:paraId="0F42B4C7">
            <w:r>
              <w:rPr>
                <w:rFonts w:ascii="微软雅黑" w:hAnsi="微软雅黑" w:eastAsia="微软雅黑"/>
                <w:sz w:val="20"/>
              </w:rPr>
              <w:t>聚合顺</w:t>
            </w:r>
          </w:p>
        </w:tc>
        <w:tc>
          <w:tcPr>
            <w:tcW w:w="4535" w:type="dxa"/>
            <w:shd w:val="clear" w:color="auto" w:fill="F0F4F8"/>
          </w:tcPr>
          <w:p w14:paraId="6E7ECE21">
            <w:r>
              <w:rPr>
                <w:rFonts w:ascii="微软雅黑" w:hAnsi="微软雅黑" w:eastAsia="微软雅黑"/>
                <w:sz w:val="20"/>
              </w:rPr>
              <w:t>安排研发团队对接RoboX材料需求，启动高流动尼龙和聚高强聚乙烯在机器人关节、骨骼等场景的可行性研究</w:t>
            </w:r>
          </w:p>
        </w:tc>
        <w:tc>
          <w:tcPr>
            <w:tcW w:w="1984" w:type="dxa"/>
            <w:shd w:val="clear" w:color="auto" w:fill="F0F4F8"/>
          </w:tcPr>
          <w:p w14:paraId="5CE7040D">
            <w:r>
              <w:rPr>
                <w:rFonts w:ascii="微软雅黑" w:hAnsi="微软雅黑" w:eastAsia="微软雅黑"/>
                <w:sz w:val="20"/>
              </w:rPr>
              <w:t>收到需求后两周内</w:t>
            </w:r>
          </w:p>
        </w:tc>
      </w:tr>
      <w:tr w14:paraId="5545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C1F42BA">
            <w:r>
              <w:rPr>
                <w:rFonts w:ascii="微软雅黑" w:hAnsi="微软雅黑" w:eastAsia="微软雅黑"/>
                <w:sz w:val="20"/>
              </w:rPr>
              <w:t>3</w:t>
            </w:r>
          </w:p>
        </w:tc>
        <w:tc>
          <w:tcPr>
            <w:tcW w:w="1417" w:type="dxa"/>
          </w:tcPr>
          <w:p w14:paraId="53596167">
            <w:r>
              <w:rPr>
                <w:rFonts w:ascii="微软雅黑" w:hAnsi="微软雅黑" w:eastAsia="微软雅黑"/>
                <w:sz w:val="20"/>
              </w:rPr>
              <w:t>RoboX</w:t>
            </w:r>
          </w:p>
        </w:tc>
        <w:tc>
          <w:tcPr>
            <w:tcW w:w="4535" w:type="dxa"/>
          </w:tcPr>
          <w:p w14:paraId="073ECC4D">
            <w:r>
              <w:rPr>
                <w:rFonts w:ascii="微软雅黑" w:hAnsi="微软雅黑" w:eastAsia="微软雅黑"/>
                <w:sz w:val="20"/>
              </w:rPr>
              <w:t>等待阿里三个团队的投资决策明确后，确定后续跟投方和融资节奏</w:t>
            </w:r>
          </w:p>
        </w:tc>
        <w:tc>
          <w:tcPr>
            <w:tcW w:w="1984" w:type="dxa"/>
          </w:tcPr>
          <w:p w14:paraId="52CA8011">
            <w:r>
              <w:rPr>
                <w:rFonts w:ascii="微软雅黑" w:hAnsi="微软雅黑" w:eastAsia="微软雅黑"/>
                <w:sz w:val="20"/>
              </w:rPr>
              <w:t>2026年8月</w:t>
            </w:r>
          </w:p>
        </w:tc>
      </w:tr>
      <w:tr w14:paraId="33F1E9F3">
        <w:tblPrEx>
          <w:tblCellMar>
            <w:top w:w="0" w:type="dxa"/>
            <w:left w:w="108" w:type="dxa"/>
            <w:bottom w:w="0" w:type="dxa"/>
            <w:right w:w="108" w:type="dxa"/>
          </w:tblCellMar>
        </w:tblPrEx>
        <w:trPr>
          <w:jc w:val="center"/>
        </w:trPr>
        <w:tc>
          <w:tcPr>
            <w:tcW w:w="850" w:type="dxa"/>
            <w:shd w:val="clear" w:color="auto" w:fill="F0F4F8"/>
          </w:tcPr>
          <w:p w14:paraId="123CE1C9">
            <w:r>
              <w:rPr>
                <w:rFonts w:ascii="微软雅黑" w:hAnsi="微软雅黑" w:eastAsia="微软雅黑"/>
                <w:sz w:val="20"/>
              </w:rPr>
              <w:t>4</w:t>
            </w:r>
          </w:p>
        </w:tc>
        <w:tc>
          <w:tcPr>
            <w:tcW w:w="1417" w:type="dxa"/>
            <w:shd w:val="clear" w:color="auto" w:fill="F0F4F8"/>
          </w:tcPr>
          <w:p w14:paraId="322F76AC">
            <w:r>
              <w:rPr>
                <w:rFonts w:ascii="微软雅黑" w:hAnsi="微软雅黑" w:eastAsia="微软雅黑"/>
                <w:sz w:val="20"/>
              </w:rPr>
              <w:t>RoboX</w:t>
            </w:r>
          </w:p>
        </w:tc>
        <w:tc>
          <w:tcPr>
            <w:tcW w:w="4535" w:type="dxa"/>
            <w:shd w:val="clear" w:color="auto" w:fill="F0F4F8"/>
          </w:tcPr>
          <w:p w14:paraId="62B4F767">
            <w:r>
              <w:rPr>
                <w:rFonts w:ascii="微软雅黑" w:hAnsi="微软雅黑" w:eastAsia="微软雅黑"/>
                <w:sz w:val="20"/>
              </w:rPr>
              <w:t>评估余杭和滨江两个主体的政策条件差异，选择最优方案进行业务装入</w:t>
            </w:r>
          </w:p>
        </w:tc>
        <w:tc>
          <w:tcPr>
            <w:tcW w:w="1984" w:type="dxa"/>
            <w:shd w:val="clear" w:color="auto" w:fill="F0F4F8"/>
          </w:tcPr>
          <w:p w14:paraId="2CF7B50B">
            <w:r>
              <w:rPr>
                <w:rFonts w:ascii="微软雅黑" w:hAnsi="微软雅黑" w:eastAsia="微软雅黑"/>
                <w:sz w:val="20"/>
              </w:rPr>
              <w:t>2026年Q3</w:t>
            </w:r>
          </w:p>
        </w:tc>
      </w:tr>
      <w:tr w14:paraId="3B12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B55F12">
            <w:r>
              <w:rPr>
                <w:rFonts w:ascii="微软雅黑" w:hAnsi="微软雅黑" w:eastAsia="微软雅黑"/>
                <w:sz w:val="20"/>
              </w:rPr>
              <w:t>5</w:t>
            </w:r>
          </w:p>
        </w:tc>
        <w:tc>
          <w:tcPr>
            <w:tcW w:w="1417" w:type="dxa"/>
          </w:tcPr>
          <w:p w14:paraId="30266D2D">
            <w:r>
              <w:rPr>
                <w:rFonts w:ascii="微软雅黑" w:hAnsi="微软雅黑" w:eastAsia="微软雅黑"/>
                <w:sz w:val="20"/>
              </w:rPr>
              <w:t>董事长顾问</w:t>
            </w:r>
          </w:p>
        </w:tc>
        <w:tc>
          <w:tcPr>
            <w:tcW w:w="4535" w:type="dxa"/>
          </w:tcPr>
          <w:p w14:paraId="53BC9BFA">
            <w:r>
              <w:rPr>
                <w:rFonts w:ascii="微软雅黑" w:hAnsi="微软雅黑" w:eastAsia="微软雅黑"/>
                <w:sz w:val="20"/>
              </w:rPr>
              <w:t>引入专业FA机构协助融资，并安排刘总担任资本市场顾问</w:t>
            </w:r>
          </w:p>
        </w:tc>
        <w:tc>
          <w:tcPr>
            <w:tcW w:w="1984" w:type="dxa"/>
          </w:tcPr>
          <w:p w14:paraId="4365BA0F">
            <w:r>
              <w:rPr>
                <w:rFonts w:ascii="微软雅黑" w:hAnsi="微软雅黑" w:eastAsia="微软雅黑"/>
                <w:sz w:val="20"/>
              </w:rPr>
              <w:t>2026年春节前</w:t>
            </w:r>
          </w:p>
        </w:tc>
      </w:tr>
      <w:tr w14:paraId="5F0C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0F4F8"/>
          </w:tcPr>
          <w:p w14:paraId="016E85FE">
            <w:r>
              <w:rPr>
                <w:rFonts w:ascii="微软雅黑" w:hAnsi="微软雅黑" w:eastAsia="微软雅黑"/>
                <w:sz w:val="20"/>
              </w:rPr>
              <w:t>6</w:t>
            </w:r>
          </w:p>
        </w:tc>
        <w:tc>
          <w:tcPr>
            <w:tcW w:w="1417" w:type="dxa"/>
            <w:shd w:val="clear" w:color="auto" w:fill="F0F4F8"/>
          </w:tcPr>
          <w:p w14:paraId="3A3BB18C">
            <w:r>
              <w:rPr>
                <w:rFonts w:ascii="微软雅黑" w:hAnsi="微软雅黑" w:eastAsia="微软雅黑"/>
                <w:sz w:val="20"/>
              </w:rPr>
              <w:t>RoboX</w:t>
            </w:r>
          </w:p>
        </w:tc>
        <w:tc>
          <w:tcPr>
            <w:tcW w:w="4535" w:type="dxa"/>
            <w:shd w:val="clear" w:color="auto" w:fill="F0F4F8"/>
          </w:tcPr>
          <w:p w14:paraId="4ECF87F6">
            <w:r>
              <w:rPr>
                <w:rFonts w:ascii="微软雅黑" w:hAnsi="微软雅黑" w:eastAsia="微软雅黑"/>
                <w:sz w:val="20"/>
              </w:rPr>
              <w:t>在2026年春节前完成关键融资轮次，占住创业周期有利位置</w:t>
            </w:r>
          </w:p>
        </w:tc>
        <w:tc>
          <w:tcPr>
            <w:tcW w:w="1984" w:type="dxa"/>
            <w:shd w:val="clear" w:color="auto" w:fill="F0F4F8"/>
          </w:tcPr>
          <w:p w14:paraId="7EB45183">
            <w:r>
              <w:rPr>
                <w:rFonts w:ascii="微软雅黑" w:hAnsi="微软雅黑" w:eastAsia="微软雅黑"/>
                <w:sz w:val="20"/>
              </w:rPr>
              <w:t>2026年春节前</w:t>
            </w:r>
          </w:p>
        </w:tc>
      </w:tr>
    </w:tbl>
    <w:p w14:paraId="1DEB26C4"/>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5411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440" w:lineRule="exact"/>
    </w:pPr>
    <w:rPr>
      <w:rFonts w:ascii="微软雅黑" w:hAnsi="微软雅黑" w:eastAsia="微软雅黑" w:cstheme="minorBidi"/>
      <w:color w:val="333333"/>
      <w:sz w:val="22"/>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1A3C6E"/>
      <w:sz w:val="32"/>
      <w:szCs w:val="28"/>
    </w:rPr>
  </w:style>
  <w:style w:type="paragraph" w:styleId="4">
    <w:name w:val="heading 2"/>
    <w:basedOn w:val="1"/>
    <w:next w:val="1"/>
    <w:link w:val="139"/>
    <w:unhideWhenUsed/>
    <w:qFormat/>
    <w:uiPriority w:val="9"/>
    <w:pPr>
      <w:keepNext/>
      <w:keepLines/>
      <w:spacing w:before="240" w:after="160"/>
      <w:outlineLvl w:val="1"/>
    </w:pPr>
    <w:rPr>
      <w:rFonts w:asciiTheme="majorHAnsi" w:hAnsiTheme="majorHAnsi" w:eastAsiaTheme="majorEastAsia" w:cstheme="majorBidi"/>
      <w:b/>
      <w:bCs/>
      <w:color w:val="2D5A8E"/>
      <w:sz w:val="28"/>
      <w:szCs w:val="26"/>
    </w:rPr>
  </w:style>
  <w:style w:type="paragraph" w:styleId="5">
    <w:name w:val="heading 3"/>
    <w:basedOn w:val="1"/>
    <w:next w:val="1"/>
    <w:link w:val="140"/>
    <w:unhideWhenUsed/>
    <w:qFormat/>
    <w:uiPriority w:val="9"/>
    <w:pPr>
      <w:keepNext/>
      <w:keepLines/>
      <w:spacing w:before="240" w:after="160"/>
      <w:outlineLvl w:val="2"/>
    </w:pPr>
    <w:rPr>
      <w:rFonts w:asciiTheme="majorHAnsi" w:hAnsiTheme="majorHAnsi" w:eastAsiaTheme="majorEastAsia" w:cstheme="majorBidi"/>
      <w:b/>
      <w:bCs/>
      <w:color w:val="3A6EA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360" w:after="160" w:line="240" w:lineRule="auto"/>
      <w:contextualSpacing/>
    </w:pPr>
    <w:rPr>
      <w:rFonts w:asciiTheme="majorHAnsi" w:hAnsiTheme="majorHAnsi" w:eastAsiaTheme="majorEastAsia" w:cstheme="majorBidi"/>
      <w:b/>
      <w:color w:val="1A3C6E"/>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5687</Words>
  <Characters>6067</Characters>
  <Lines>0</Lines>
  <Paragraphs>0</Paragraphs>
  <TotalTime>5</TotalTime>
  <ScaleCrop>false</ScaleCrop>
  <LinksUpToDate>false</LinksUpToDate>
  <CharactersWithSpaces>6083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2026-07-23T15:41:19Z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E5C359C4FF824725A4E38EAE4D1A23AC_13</vt:lpwstr>
  </property>
</Properties>
</file>