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67F68C"/>
    <w:p w14:paraId="205173D4"/>
    <w:p w14:paraId="1BD63DE5"/>
    <w:p w14:paraId="147E2DC5"/>
    <w:p w14:paraId="1B47EC6D"/>
    <w:p w14:paraId="3A378DBF"/>
    <w:p w14:paraId="7436DD65">
      <w:pPr>
        <w:jc w:val="center"/>
      </w:pPr>
      <w:r>
        <w:rPr>
          <w:rFonts w:ascii="Arial" w:hAnsi="Arial" w:eastAsia="微软雅黑"/>
          <w:b/>
          <w:color w:val="1A1A2E"/>
          <w:sz w:val="64"/>
        </w:rPr>
        <w:t>RoboX Robotics</w:t>
      </w:r>
    </w:p>
    <w:p w14:paraId="006D0BB0">
      <w:pPr>
        <w:jc w:val="center"/>
      </w:pPr>
      <w:r>
        <w:rPr>
          <w:rFonts w:ascii="Arial" w:hAnsi="Arial" w:eastAsia="微软雅黑"/>
          <w:b/>
          <w:color w:val="0F3460"/>
          <w:sz w:val="40"/>
        </w:rPr>
        <w:t>投资人视角深度分析报告</w:t>
      </w:r>
    </w:p>
    <w:p w14:paraId="429CF862"/>
    <w:p w14:paraId="51366AD9">
      <w:pPr>
        <w:jc w:val="center"/>
      </w:pPr>
      <w:r>
        <w:rPr>
          <w:rFonts w:ascii="Arial" w:hAnsi="Arial" w:eastAsia="微软雅黑"/>
          <w:color w:val="666666"/>
          <w:sz w:val="24"/>
        </w:rPr>
        <w:t>Pitch Deck Review + LOBSTR Score + 商业服务场景深度质疑</w:t>
      </w:r>
    </w:p>
    <w:p w14:paraId="11DD9BF4"/>
    <w:p w14:paraId="4FA71658"/>
    <w:p w14:paraId="71B341F2">
      <w:pPr>
        <w:jc w:val="center"/>
      </w:pPr>
      <w:r>
        <w:rPr>
          <w:rFonts w:ascii="Arial" w:hAnsi="Arial" w:eastAsia="微软雅黑"/>
          <w:color w:val="999999"/>
          <w:sz w:val="22"/>
        </w:rPr>
        <w:t>2026年7月</w:t>
      </w:r>
    </w:p>
    <w:p w14:paraId="70234465">
      <w:pPr>
        <w:jc w:val="center"/>
      </w:pPr>
      <w:r>
        <w:rPr>
          <w:rFonts w:ascii="Arial" w:hAnsi="Arial" w:eastAsia="微软雅黑"/>
          <w:b/>
          <w:color w:val="CC0000"/>
          <w:sz w:val="20"/>
        </w:rPr>
        <w:t>Confidential</w:t>
      </w:r>
    </w:p>
    <w:p w14:paraId="0BFE7DD8">
      <w:r>
        <w:br w:type="page"/>
      </w:r>
    </w:p>
    <w:p w14:paraId="5191BC41">
      <w:pPr>
        <w:pStyle w:val="3"/>
      </w:pPr>
      <w:r>
        <w:t>第一部分：Pitch Deck 综合评审</w:t>
      </w:r>
    </w:p>
    <w:p w14:paraId="194316B1">
      <w:pPr>
        <w:jc w:val="center"/>
      </w:pPr>
      <w:r>
        <w:rPr>
          <w:rFonts w:ascii="Arial" w:hAnsi="Arial" w:eastAsia="微软雅黑"/>
          <w:b/>
          <w:color w:val="1A1A2E"/>
          <w:sz w:val="36"/>
        </w:rPr>
        <w:t>Overall Score: 72 / 100</w:t>
      </w:r>
    </w:p>
    <w:p w14:paraId="42057DB6"/>
    <w:p w14:paraId="4BE20CFF">
      <w:pPr>
        <w:pStyle w:val="4"/>
      </w:pPr>
      <w:r>
        <w:t>评审维度评分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22"/>
        <w:gridCol w:w="1091"/>
        <w:gridCol w:w="5049"/>
      </w:tblGrid>
      <w:tr w14:paraId="17A6B3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1A1A2E"/>
          </w:tcPr>
          <w:p w14:paraId="662BF7D4"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20"/>
              </w:rPr>
              <w:t>评审维度</w:t>
            </w:r>
          </w:p>
        </w:tc>
        <w:tc>
          <w:tcPr>
            <w:tcW w:w="1152" w:type="dxa"/>
            <w:shd w:val="clear" w:color="auto" w:fill="1A1A2E"/>
          </w:tcPr>
          <w:p w14:paraId="791083A1"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20"/>
              </w:rPr>
              <w:t>评分</w:t>
            </w:r>
          </w:p>
        </w:tc>
        <w:tc>
          <w:tcPr>
            <w:tcW w:w="5472" w:type="dxa"/>
            <w:shd w:val="clear" w:color="auto" w:fill="1A1A2E"/>
          </w:tcPr>
          <w:p w14:paraId="527A124A"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20"/>
              </w:rPr>
              <w:t>判断</w:t>
            </w:r>
          </w:p>
        </w:tc>
      </w:tr>
      <w:tr w14:paraId="74CBDD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0CB7D22E">
            <w:r>
              <w:rPr>
                <w:rFonts w:ascii="Arial" w:hAnsi="Arial" w:eastAsia="微软雅黑"/>
                <w:sz w:val="19"/>
              </w:rPr>
              <w:t>问题定义 (Problem)</w:t>
            </w:r>
          </w:p>
        </w:tc>
        <w:tc>
          <w:tcPr>
            <w:tcW w:w="1152" w:type="dxa"/>
          </w:tcPr>
          <w:p w14:paraId="761EEAE1">
            <w:r>
              <w:rPr>
                <w:rFonts w:ascii="Arial" w:hAnsi="Arial" w:eastAsia="微软雅黑"/>
                <w:sz w:val="19"/>
              </w:rPr>
              <w:t>8/10</w:t>
            </w:r>
          </w:p>
        </w:tc>
        <w:tc>
          <w:tcPr>
            <w:tcW w:w="5472" w:type="dxa"/>
          </w:tcPr>
          <w:p w14:paraId="1AF829ED">
            <w:r>
              <w:rPr>
                <w:rFonts w:ascii="Arial" w:hAnsi="Arial" w:eastAsia="微软雅黑"/>
                <w:sz w:val="19"/>
              </w:rPr>
              <w:t>物理智能的数据瓶颈和灵巧操作缺口是真实且紧迫的行业痛点，量化清晰</w:t>
            </w:r>
          </w:p>
        </w:tc>
      </w:tr>
      <w:tr w14:paraId="06D93E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F5F5F5"/>
          </w:tcPr>
          <w:p w14:paraId="74864AC3">
            <w:r>
              <w:rPr>
                <w:rFonts w:ascii="Arial" w:hAnsi="Arial" w:eastAsia="微软雅黑"/>
                <w:sz w:val="19"/>
              </w:rPr>
              <w:t>解决方案 (Solution)</w:t>
            </w:r>
          </w:p>
        </w:tc>
        <w:tc>
          <w:tcPr>
            <w:tcW w:w="1152" w:type="dxa"/>
            <w:shd w:val="clear" w:color="auto" w:fill="F5F5F5"/>
          </w:tcPr>
          <w:p w14:paraId="424F9A1F">
            <w:r>
              <w:rPr>
                <w:rFonts w:ascii="Arial" w:hAnsi="Arial" w:eastAsia="微软雅黑"/>
                <w:sz w:val="19"/>
              </w:rPr>
              <w:t>8/10</w:t>
            </w:r>
          </w:p>
        </w:tc>
        <w:tc>
          <w:tcPr>
            <w:tcW w:w="5472" w:type="dxa"/>
            <w:shd w:val="clear" w:color="auto" w:fill="F5F5F5"/>
          </w:tcPr>
          <w:p w14:paraId="413B286E">
            <w:r>
              <w:rPr>
                <w:rFonts w:ascii="Arial" w:hAnsi="Arial" w:eastAsia="微软雅黑"/>
                <w:sz w:val="19"/>
              </w:rPr>
              <w:t>"手眼脑协同"三层闭环定位明确，统一表征+全栈模型+Scaling Law框架设计有技术深度</w:t>
            </w:r>
          </w:p>
        </w:tc>
      </w:tr>
      <w:tr w14:paraId="78942E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561F0CD1">
            <w:r>
              <w:rPr>
                <w:rFonts w:ascii="Arial" w:hAnsi="Arial" w:eastAsia="微软雅黑"/>
                <w:sz w:val="19"/>
              </w:rPr>
              <w:t>市场规模 (Market Size)</w:t>
            </w:r>
          </w:p>
        </w:tc>
        <w:tc>
          <w:tcPr>
            <w:tcW w:w="1152" w:type="dxa"/>
          </w:tcPr>
          <w:p w14:paraId="785E55AB">
            <w:r>
              <w:rPr>
                <w:rFonts w:ascii="Arial" w:hAnsi="Arial" w:eastAsia="微软雅黑"/>
                <w:sz w:val="19"/>
              </w:rPr>
              <w:t>6/10</w:t>
            </w:r>
          </w:p>
        </w:tc>
        <w:tc>
          <w:tcPr>
            <w:tcW w:w="5472" w:type="dxa"/>
          </w:tcPr>
          <w:p w14:paraId="274A2FF1">
            <w:r>
              <w:rPr>
                <w:rFonts w:ascii="Arial" w:hAnsi="Arial" w:eastAsia="微软雅黑"/>
                <w:sz w:val="19"/>
              </w:rPr>
              <w:t>提到具身智能万亿赛道，但缺乏自下而上的TAM/SAM/SOM拆解，仅有顶层叙事</w:t>
            </w:r>
          </w:p>
        </w:tc>
      </w:tr>
      <w:tr w14:paraId="6DC617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F5F5F5"/>
          </w:tcPr>
          <w:p w14:paraId="7ED59844">
            <w:r>
              <w:rPr>
                <w:rFonts w:ascii="Arial" w:hAnsi="Arial" w:eastAsia="微软雅黑"/>
                <w:sz w:val="19"/>
              </w:rPr>
              <w:t>商业模式 (Business Model)</w:t>
            </w:r>
          </w:p>
        </w:tc>
        <w:tc>
          <w:tcPr>
            <w:tcW w:w="1152" w:type="dxa"/>
            <w:shd w:val="clear" w:color="auto" w:fill="F5F5F5"/>
          </w:tcPr>
          <w:p w14:paraId="1B2688C8">
            <w:r>
              <w:rPr>
                <w:rFonts w:ascii="Arial" w:hAnsi="Arial" w:eastAsia="微软雅黑"/>
                <w:sz w:val="19"/>
              </w:rPr>
              <w:t>5/10</w:t>
            </w:r>
          </w:p>
        </w:tc>
        <w:tc>
          <w:tcPr>
            <w:tcW w:w="5472" w:type="dxa"/>
            <w:shd w:val="clear" w:color="auto" w:fill="F5F5F5"/>
          </w:tcPr>
          <w:p w14:paraId="1519ABA2">
            <w:r>
              <w:rPr>
                <w:rFonts w:ascii="Arial" w:hAnsi="Arial" w:eastAsia="微软雅黑"/>
                <w:sz w:val="19"/>
              </w:rPr>
              <w:t>36月路线图清晰，但缺少具体收入模型、定价策略和单位经济分析</w:t>
            </w:r>
          </w:p>
        </w:tc>
      </w:tr>
      <w:tr w14:paraId="57194C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1AB36EEF">
            <w:r>
              <w:rPr>
                <w:rFonts w:ascii="Arial" w:hAnsi="Arial" w:eastAsia="微软雅黑"/>
                <w:sz w:val="19"/>
              </w:rPr>
              <w:t>业务牵引力 (Traction)</w:t>
            </w:r>
          </w:p>
        </w:tc>
        <w:tc>
          <w:tcPr>
            <w:tcW w:w="1152" w:type="dxa"/>
          </w:tcPr>
          <w:p w14:paraId="063C3528">
            <w:r>
              <w:rPr>
                <w:rFonts w:ascii="Arial" w:hAnsi="Arial" w:eastAsia="微软雅黑"/>
                <w:sz w:val="19"/>
              </w:rPr>
              <w:t>6/10</w:t>
            </w:r>
          </w:p>
        </w:tc>
        <w:tc>
          <w:tcPr>
            <w:tcW w:w="5472" w:type="dxa"/>
          </w:tcPr>
          <w:p w14:paraId="3D95353D">
            <w:r>
              <w:rPr>
                <w:rFonts w:ascii="Arial" w:hAnsi="Arial" w:eastAsia="微软雅黑"/>
                <w:sz w:val="19"/>
              </w:rPr>
              <w:t>有顶级大厂脱敏背景和已跑通的6项硬能力，但无公开客户、合同或收入数据</w:t>
            </w:r>
          </w:p>
        </w:tc>
      </w:tr>
      <w:tr w14:paraId="1AFA63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F5F5F5"/>
          </w:tcPr>
          <w:p w14:paraId="3B79B4C5">
            <w:r>
              <w:rPr>
                <w:rFonts w:ascii="Arial" w:hAnsi="Arial" w:eastAsia="微软雅黑"/>
                <w:sz w:val="19"/>
              </w:rPr>
              <w:t>团队 (Team)</w:t>
            </w:r>
          </w:p>
        </w:tc>
        <w:tc>
          <w:tcPr>
            <w:tcW w:w="1152" w:type="dxa"/>
            <w:shd w:val="clear" w:color="auto" w:fill="F5F5F5"/>
          </w:tcPr>
          <w:p w14:paraId="6226B0FD">
            <w:r>
              <w:rPr>
                <w:rFonts w:ascii="Arial" w:hAnsi="Arial" w:eastAsia="微软雅黑"/>
                <w:sz w:val="19"/>
              </w:rPr>
              <w:t>7/10</w:t>
            </w:r>
          </w:p>
        </w:tc>
        <w:tc>
          <w:tcPr>
            <w:tcW w:w="5472" w:type="dxa"/>
            <w:shd w:val="clear" w:color="auto" w:fill="F5F5F5"/>
          </w:tcPr>
          <w:p w14:paraId="3B256212">
            <w:r>
              <w:rPr>
                <w:rFonts w:ascii="Arial" w:hAnsi="Arial" w:eastAsia="微软雅黑"/>
                <w:sz w:val="19"/>
              </w:rPr>
              <w:t>核心团队4人覆盖战略/商业/模型/数据，创始人14年AI经验，首席科学家"流程中"是风险点</w:t>
            </w:r>
          </w:p>
        </w:tc>
      </w:tr>
      <w:tr w14:paraId="6CFEED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5148BB5C">
            <w:r>
              <w:rPr>
                <w:rFonts w:ascii="Arial" w:hAnsi="Arial" w:eastAsia="微软雅黑"/>
                <w:sz w:val="19"/>
              </w:rPr>
              <w:t>竞争分析 (Competition)</w:t>
            </w:r>
          </w:p>
        </w:tc>
        <w:tc>
          <w:tcPr>
            <w:tcW w:w="1152" w:type="dxa"/>
          </w:tcPr>
          <w:p w14:paraId="126C7792">
            <w:r>
              <w:rPr>
                <w:rFonts w:ascii="Arial" w:hAnsi="Arial" w:eastAsia="微软雅黑"/>
                <w:sz w:val="19"/>
              </w:rPr>
              <w:t>8/10</w:t>
            </w:r>
          </w:p>
        </w:tc>
        <w:tc>
          <w:tcPr>
            <w:tcW w:w="5472" w:type="dxa"/>
          </w:tcPr>
          <w:p w14:paraId="00A3B2EF">
            <w:r>
              <w:rPr>
                <w:rFonts w:ascii="Arial" w:hAnsi="Arial" w:eastAsia="微软雅黑"/>
                <w:sz w:val="19"/>
              </w:rPr>
              <w:t>竞争图谱详实，差异化定位清楚</w:t>
            </w:r>
          </w:p>
        </w:tc>
      </w:tr>
      <w:tr w14:paraId="4E87A6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F5F5F5"/>
          </w:tcPr>
          <w:p w14:paraId="29082748">
            <w:r>
              <w:rPr>
                <w:rFonts w:ascii="Arial" w:hAnsi="Arial" w:eastAsia="微软雅黑"/>
                <w:sz w:val="19"/>
              </w:rPr>
              <w:t>财务预测 (Financials)</w:t>
            </w:r>
          </w:p>
        </w:tc>
        <w:tc>
          <w:tcPr>
            <w:tcW w:w="1152" w:type="dxa"/>
            <w:shd w:val="clear" w:color="auto" w:fill="F5F5F5"/>
          </w:tcPr>
          <w:p w14:paraId="292390EB">
            <w:r>
              <w:rPr>
                <w:rFonts w:ascii="Arial" w:hAnsi="Arial" w:eastAsia="微软雅黑"/>
                <w:sz w:val="19"/>
              </w:rPr>
              <w:t>3/10</w:t>
            </w:r>
          </w:p>
        </w:tc>
        <w:tc>
          <w:tcPr>
            <w:tcW w:w="5472" w:type="dxa"/>
            <w:shd w:val="clear" w:color="auto" w:fill="F5F5F5"/>
          </w:tcPr>
          <w:p w14:paraId="3DF8428A">
            <w:r>
              <w:rPr>
                <w:rFonts w:ascii="Arial" w:hAnsi="Arial" w:eastAsia="微软雅黑"/>
                <w:sz w:val="19"/>
              </w:rPr>
              <w:t>完全没有财务预测、融资额度、估值和资金用途说明</w:t>
            </w:r>
          </w:p>
        </w:tc>
      </w:tr>
      <w:tr w14:paraId="6F6A21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57E3962C">
            <w:r>
              <w:rPr>
                <w:rFonts w:ascii="Arial" w:hAnsi="Arial" w:eastAsia="微软雅黑"/>
                <w:sz w:val="19"/>
              </w:rPr>
              <w:t>融资诉求 (Ask)</w:t>
            </w:r>
          </w:p>
        </w:tc>
        <w:tc>
          <w:tcPr>
            <w:tcW w:w="1152" w:type="dxa"/>
          </w:tcPr>
          <w:p w14:paraId="0AC90352">
            <w:r>
              <w:rPr>
                <w:rFonts w:ascii="Arial" w:hAnsi="Arial" w:eastAsia="微软雅黑"/>
                <w:sz w:val="19"/>
              </w:rPr>
              <w:t>2/10</w:t>
            </w:r>
          </w:p>
        </w:tc>
        <w:tc>
          <w:tcPr>
            <w:tcW w:w="5472" w:type="dxa"/>
          </w:tcPr>
          <w:p w14:paraId="59E372A5">
            <w:r>
              <w:rPr>
                <w:rFonts w:ascii="Arial" w:hAnsi="Arial" w:eastAsia="微软雅黑"/>
                <w:sz w:val="19"/>
              </w:rPr>
              <w:t>未提出具体融资金额、轮次、估值预期和资金用途分配</w:t>
            </w:r>
          </w:p>
        </w:tc>
      </w:tr>
      <w:tr w14:paraId="16C4E5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F5F5F5"/>
          </w:tcPr>
          <w:p w14:paraId="751E4DD4">
            <w:r>
              <w:rPr>
                <w:rFonts w:ascii="Arial" w:hAnsi="Arial" w:eastAsia="微软雅黑"/>
                <w:sz w:val="19"/>
              </w:rPr>
              <w:t>叙事与设计 (Story/Design)</w:t>
            </w:r>
          </w:p>
        </w:tc>
        <w:tc>
          <w:tcPr>
            <w:tcW w:w="1152" w:type="dxa"/>
            <w:shd w:val="clear" w:color="auto" w:fill="F5F5F5"/>
          </w:tcPr>
          <w:p w14:paraId="43692C66">
            <w:r>
              <w:rPr>
                <w:rFonts w:ascii="Arial" w:hAnsi="Arial" w:eastAsia="微软雅黑"/>
                <w:sz w:val="19"/>
              </w:rPr>
              <w:t>8/10</w:t>
            </w:r>
          </w:p>
        </w:tc>
        <w:tc>
          <w:tcPr>
            <w:tcW w:w="5472" w:type="dxa"/>
            <w:shd w:val="clear" w:color="auto" w:fill="F5F5F5"/>
          </w:tcPr>
          <w:p w14:paraId="0291973B">
            <w:r>
              <w:rPr>
                <w:rFonts w:ascii="Arial" w:hAnsi="Arial" w:eastAsia="微软雅黑"/>
                <w:sz w:val="19"/>
              </w:rPr>
              <w:t>叙事逻辑完整，从"Token到Physical Token"的范式转换切入，技术层层递进</w:t>
            </w:r>
          </w:p>
        </w:tc>
      </w:tr>
    </w:tbl>
    <w:p w14:paraId="4ECD490A"/>
    <w:p w14:paraId="046355B6">
      <w:pPr>
        <w:pStyle w:val="4"/>
      </w:pPr>
      <w:r>
        <w:t>一、核心产品</w:t>
      </w:r>
    </w:p>
    <w:p w14:paraId="15074A87">
      <w:r>
        <w:t>RoboX 的核心产品是手眼脑协同的物理智能系统，包含三大支柱：</w:t>
      </w:r>
    </w:p>
    <w:p w14:paraId="1E555E12">
      <w:r>
        <w:rPr>
          <w:rFonts w:ascii="Arial" w:hAnsi="Arial" w:eastAsia="微软雅黑"/>
          <w:b/>
          <w:color w:val="0F3460"/>
        </w:rPr>
        <w:t>1. 人类操作数据闭环</w:t>
      </w:r>
      <w:r>
        <w:t xml:space="preserve"> — 规模化采集人类上半身（第一视角Ego）操作数据，通过手套+App+真机回流形成持续校准飞轮。数据路线已收敛到"人类知识到机器人能力"迁移范式，与NVIDIA EgoScale、达摩院RynnVLA的行业方向一致。</w:t>
      </w:r>
    </w:p>
    <w:p w14:paraId="6F0F8E1E">
      <w:r>
        <w:rPr>
          <w:rFonts w:ascii="Arial" w:hAnsi="Arial" w:eastAsia="微软雅黑"/>
          <w:b/>
          <w:color w:val="0F3460"/>
        </w:rPr>
        <w:t>2. 灵巧操作基础模型</w:t>
      </w:r>
      <w:r>
        <w:t xml:space="preserve"> — 包含操作VLA模型（VTLA）、触觉世界模型（TacWM）和触觉增强动作模型（WTAM），三者共享物理引擎。核心创新是"每个动作执行前先经触觉世界模型想象验证物理可行性"。VLA模型在同一真机数据上实测成功率90.6%，显著超过同期SOTA的pi0（70.4%）和GR00T N1.5（55.6%）。</w:t>
      </w:r>
    </w:p>
    <w:p w14:paraId="6A9D8F99">
      <w:r>
        <w:rPr>
          <w:rFonts w:ascii="Arial" w:hAnsi="Arial" w:eastAsia="微软雅黑"/>
          <w:b/>
          <w:color w:val="0F3460"/>
        </w:rPr>
        <w:t>3. 手眼脑智能系统（具身大脑）</w:t>
      </w:r>
      <w:r>
        <w:t xml:space="preserve"> — 采用System 2/1/0三层级联架构：System 2（RX-Brain，VLM推理，&lt;10Hz）负责时空推理和任务规划；System 1（TacWM/WTAM，10-100Hz）负责操作与触觉前瞻；System 0（RX-Motion，BFM-Motion，50-500Hz）负责全身运动控制。各层通过latent space交互而非显式语言。</w:t>
      </w:r>
    </w:p>
    <w:p w14:paraId="61913A65">
      <w:r>
        <w:t>硬件端自研灵巧手（直驱路线优先），聚焦驱动器（FOC）和低反向间隙减速器两大核心难点，触觉感知由外部供应商协同。</w:t>
      </w:r>
    </w:p>
    <w:p w14:paraId="39FC29F7">
      <w:pPr>
        <w:pStyle w:val="4"/>
      </w:pPr>
      <w:r>
        <w:t>二、技术优势</w:t>
      </w:r>
    </w:p>
    <w:p w14:paraId="09FADDF0">
      <w:r>
        <w:rPr>
          <w:rFonts w:ascii="Arial" w:hAnsi="Arial" w:eastAsia="微软雅黑"/>
          <w:b/>
          <w:color w:val="0F3460"/>
        </w:rPr>
        <w:t>统一表征底座（Omni-Space）：</w:t>
      </w:r>
      <w:r>
        <w:t>将多模态语义与物理时空统一在同一时空基础模型中，提供2B/8B/30B-A3B MoE三档规模。已被NVIDIA Cosmos引用并对比，核心指标仍保持领先，即将发布新版本全面超越Cosmos。</w:t>
      </w:r>
    </w:p>
    <w:p w14:paraId="6AF9C448">
      <w:r>
        <w:rPr>
          <w:rFonts w:ascii="Arial" w:hAnsi="Arial" w:eastAsia="微软雅黑"/>
          <w:b/>
          <w:color w:val="0F3460"/>
        </w:rPr>
        <w:t>触觉世界模型独占定位：</w:t>
      </w:r>
      <w:r>
        <w:t>同时拉满"世界模型能力"和"触觉丰富度"两个维度，独占"高WM x 高触觉"象限。竞对要么只做世界模型无触觉，要么只做触觉无世界模型。</w:t>
      </w:r>
    </w:p>
    <w:p w14:paraId="6E0EB890">
      <w:r>
        <w:rPr>
          <w:rFonts w:ascii="Arial" w:hAnsi="Arial" w:eastAsia="微软雅黑"/>
          <w:b/>
          <w:color w:val="0F3460"/>
        </w:rPr>
        <w:t>人类视频先验驱动的高效VLA：</w:t>
      </w:r>
      <w:r>
        <w:t>三阶段训练（1200万段人类操作视频预训练、人类轨迹感知、机器人VLA），将第一视角视频预训练成功率从约4%拉升到90%，数据效率极高。</w:t>
      </w:r>
    </w:p>
    <w:p w14:paraId="18262BE3">
      <w:r>
        <w:rPr>
          <w:rFonts w:ascii="Arial" w:hAnsi="Arial" w:eastAsia="微软雅黑"/>
          <w:b/>
          <w:color w:val="0F3460"/>
        </w:rPr>
        <w:t>System 2/1/0同源大脑：</w:t>
      </w:r>
      <w:r>
        <w:t>三层共享底座、latent space交互，而非行业常见的显式语言串联。System 2可向Agentic拓展（工具调用、长程规划、记忆反思），System 0通过BFM-Motion实现跨形态本体接口。</w:t>
      </w:r>
    </w:p>
    <w:p w14:paraId="64FC512F">
      <w:r>
        <w:rPr>
          <w:rFonts w:ascii="Arial" w:hAnsi="Arial" w:eastAsia="微软雅黑"/>
          <w:b/>
          <w:color w:val="0F3460"/>
        </w:rPr>
        <w:t>数据飞轮设计：</w:t>
      </w:r>
      <w:r>
        <w:t>"Ego采集到模型训练到真机部署到数据回流到模型进化"的闭环设计，配合全栈数据解决方案（全模态数据装置+低成本众包），具备规模化复制潜力。</w:t>
      </w:r>
    </w:p>
    <w:p w14:paraId="7AC09369">
      <w:pPr>
        <w:pStyle w:val="4"/>
      </w:pPr>
      <w:r>
        <w:t>三、差异化竞争力</w:t>
      </w:r>
    </w:p>
    <w:p w14:paraId="422E8C1B">
      <w:r>
        <w:t>在竞争格局中，RoboX 的独特定位是"灵巧 x 智能"的交集，而非单点突破：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7"/>
        <w:gridCol w:w="3086"/>
        <w:gridCol w:w="4169"/>
      </w:tblGrid>
      <w:tr w14:paraId="602F84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1A1A2E"/>
          </w:tcPr>
          <w:p w14:paraId="0A254AF5"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20"/>
              </w:rPr>
              <w:t>维度</w:t>
            </w:r>
          </w:p>
        </w:tc>
        <w:tc>
          <w:tcPr>
            <w:tcW w:w="3312" w:type="dxa"/>
            <w:shd w:val="clear" w:color="auto" w:fill="1A1A2E"/>
          </w:tcPr>
          <w:p w14:paraId="433BC025"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20"/>
              </w:rPr>
              <w:t>RoboX定位</w:t>
            </w:r>
          </w:p>
        </w:tc>
        <w:tc>
          <w:tcPr>
            <w:tcW w:w="4464" w:type="dxa"/>
            <w:shd w:val="clear" w:color="auto" w:fill="1A1A2E"/>
          </w:tcPr>
          <w:p w14:paraId="589DF4A8"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20"/>
              </w:rPr>
              <w:t>主要竞对位置</w:t>
            </w:r>
          </w:p>
        </w:tc>
      </w:tr>
      <w:tr w14:paraId="159FAD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3CC0882B">
            <w:r>
              <w:rPr>
                <w:rFonts w:ascii="Arial" w:hAnsi="Arial" w:eastAsia="微软雅黑"/>
                <w:sz w:val="19"/>
              </w:rPr>
              <w:t>本体 vs 智能</w:t>
            </w:r>
          </w:p>
        </w:tc>
        <w:tc>
          <w:tcPr>
            <w:tcW w:w="3312" w:type="dxa"/>
          </w:tcPr>
          <w:p w14:paraId="4742A343">
            <w:r>
              <w:rPr>
                <w:rFonts w:ascii="Arial" w:hAnsi="Arial" w:eastAsia="微软雅黑"/>
                <w:sz w:val="19"/>
              </w:rPr>
              <w:t>手眼脑协同系统（灵巧末端+大脑）</w:t>
            </w:r>
          </w:p>
        </w:tc>
        <w:tc>
          <w:tcPr>
            <w:tcW w:w="4464" w:type="dxa"/>
          </w:tcPr>
          <w:p w14:paraId="0270B534">
            <w:r>
              <w:rPr>
                <w:rFonts w:ascii="Arial" w:hAnsi="Arial" w:eastAsia="微软雅黑"/>
                <w:sz w:val="19"/>
              </w:rPr>
              <w:t>Tesla/Figure AI偏通用人形；PI/SKILD偏通用大脑；Sharpa/灵心巧手偏灵巧手本体</w:t>
            </w:r>
          </w:p>
        </w:tc>
      </w:tr>
      <w:tr w14:paraId="6E948C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F5F5F5"/>
          </w:tcPr>
          <w:p w14:paraId="3F527CAE">
            <w:r>
              <w:rPr>
                <w:rFonts w:ascii="Arial" w:hAnsi="Arial" w:eastAsia="微软雅黑"/>
                <w:sz w:val="19"/>
              </w:rPr>
              <w:t>数据路线</w:t>
            </w:r>
          </w:p>
        </w:tc>
        <w:tc>
          <w:tcPr>
            <w:tcW w:w="3312" w:type="dxa"/>
            <w:shd w:val="clear" w:color="auto" w:fill="F5F5F5"/>
          </w:tcPr>
          <w:p w14:paraId="72A5960B">
            <w:r>
              <w:rPr>
                <w:rFonts w:ascii="Arial" w:hAnsi="Arial" w:eastAsia="微软雅黑"/>
                <w:sz w:val="19"/>
              </w:rPr>
              <w:t>Ego+触觉+真机回流，人类知识迁移</w:t>
            </w:r>
          </w:p>
        </w:tc>
        <w:tc>
          <w:tcPr>
            <w:tcW w:w="4464" w:type="dxa"/>
            <w:shd w:val="clear" w:color="auto" w:fill="F5F5F5"/>
          </w:tcPr>
          <w:p w14:paraId="554562DF">
            <w:r>
              <w:rPr>
                <w:rFonts w:ascii="Arial" w:hAnsi="Arial" w:eastAsia="微软雅黑"/>
                <w:sz w:val="19"/>
              </w:rPr>
              <w:t>多数依赖遥操机器人数据或仿真数据</w:t>
            </w:r>
          </w:p>
        </w:tc>
      </w:tr>
      <w:tr w14:paraId="00FE54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147E2345">
            <w:r>
              <w:rPr>
                <w:rFonts w:ascii="Arial" w:hAnsi="Arial" w:eastAsia="微软雅黑"/>
                <w:sz w:val="19"/>
              </w:rPr>
              <w:t>模型架构</w:t>
            </w:r>
          </w:p>
        </w:tc>
        <w:tc>
          <w:tcPr>
            <w:tcW w:w="3312" w:type="dxa"/>
          </w:tcPr>
          <w:p w14:paraId="6C3E32DA">
            <w:r>
              <w:rPr>
                <w:rFonts w:ascii="Arial" w:hAnsi="Arial" w:eastAsia="微软雅黑"/>
                <w:sz w:val="19"/>
              </w:rPr>
              <w:t>统一表征+全栈分层+触觉物理引擎</w:t>
            </w:r>
          </w:p>
        </w:tc>
        <w:tc>
          <w:tcPr>
            <w:tcW w:w="4464" w:type="dxa"/>
          </w:tcPr>
          <w:p w14:paraId="0ECD1D85">
            <w:r>
              <w:rPr>
                <w:rFonts w:ascii="Arial" w:hAnsi="Arial" w:eastAsia="微软雅黑"/>
                <w:sz w:val="19"/>
              </w:rPr>
              <w:t>多为单一大模型或端到端VLA</w:t>
            </w:r>
          </w:p>
        </w:tc>
      </w:tr>
      <w:tr w14:paraId="261E1F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F5F5F5"/>
          </w:tcPr>
          <w:p w14:paraId="1F3A509B">
            <w:r>
              <w:rPr>
                <w:rFonts w:ascii="Arial" w:hAnsi="Arial" w:eastAsia="微软雅黑"/>
                <w:sz w:val="19"/>
              </w:rPr>
              <w:t>场景策略</w:t>
            </w:r>
          </w:p>
        </w:tc>
        <w:tc>
          <w:tcPr>
            <w:tcW w:w="3312" w:type="dxa"/>
            <w:shd w:val="clear" w:color="auto" w:fill="F5F5F5"/>
          </w:tcPr>
          <w:p w14:paraId="56DC45B8">
            <w:r>
              <w:rPr>
                <w:rFonts w:ascii="Arial" w:hAnsi="Arial" w:eastAsia="微软雅黑"/>
                <w:sz w:val="19"/>
              </w:rPr>
              <w:t>先商服闭环再迁移家庭</w:t>
            </w:r>
          </w:p>
        </w:tc>
        <w:tc>
          <w:tcPr>
            <w:tcW w:w="4464" w:type="dxa"/>
            <w:shd w:val="clear" w:color="auto" w:fill="F5F5F5"/>
          </w:tcPr>
          <w:p w14:paraId="5B0C030C">
            <w:r>
              <w:rPr>
                <w:rFonts w:ascii="Arial" w:hAnsi="Arial" w:eastAsia="微软雅黑"/>
                <w:sz w:val="19"/>
              </w:rPr>
              <w:t>工业优先（宇树、智元）或纯研发（SKILD）</w:t>
            </w:r>
          </w:p>
        </w:tc>
      </w:tr>
    </w:tbl>
    <w:p w14:paraId="1804084A"/>
    <w:p w14:paraId="2F63BFA3">
      <w:r>
        <w:t>关键差异点在于：RoboX不做通用人形本体，而是做"可被现有本体直接吸收的移动操作增量包"，这意味着其产品可以作为能力层赋能多种本体，降低了对单一硬件路线的依赖。</w:t>
      </w:r>
    </w:p>
    <w:p w14:paraId="0D0799EB">
      <w:pPr>
        <w:pStyle w:val="4"/>
      </w:pPr>
      <w:r>
        <w:t>四、商业模式与商业前景</w:t>
      </w:r>
    </w:p>
    <w:p w14:paraId="525C1F14">
      <w:r>
        <w:rPr>
          <w:rFonts w:ascii="Arial" w:hAnsi="Arial" w:eastAsia="微软雅黑"/>
          <w:b/>
          <w:color w:val="0F3460"/>
        </w:rPr>
        <w:t>商业模式分析：</w:t>
      </w:r>
    </w:p>
    <w:p w14:paraId="58C07348">
      <w:r>
        <w:t>Deck呈现了清晰的三阶段路径，但商业模式的具体机制仍较模糊。0-12个月为能力验证阶段，数据积累100万小时，完成RX-0.2模型，2种双臂本体完成2-3个场景验证，此阶段为纯研发投入。12-24个月为B端标杆阶段，千万小时数据，RX-1.0模型，MTBF不低于100小时，2-3个商服场景定点突破，此阶段预期产生B端项目收入，但未说明定价和收费模式。24-36个月为C端破局阶段，10-50个种子家庭部署，8小时无干预运行，此阶段仍是验证阶段。</w:t>
      </w:r>
    </w:p>
    <w:p w14:paraId="0C37AE02">
      <w:r>
        <w:rPr>
          <w:rFonts w:ascii="Arial" w:hAnsi="Arial" w:eastAsia="微软雅黑"/>
          <w:b/>
          <w:color w:val="0F3460"/>
        </w:rPr>
        <w:t>商业前景评估：</w:t>
      </w:r>
    </w:p>
    <w:p w14:paraId="4263D515">
      <w:r>
        <w:t>有利因素：具身智能赛道2026年融资已突破345亿元（中国市场），头部企业估值飙升至数十亿到数百亿美元（Figure AI估值390亿美元、SKILD AI估值140亿美元、Physical Intelligence估值56亿美元）。RoboX切入的商业服务场景容错性与泛化性交集最佳，是"桥梁市场"。</w:t>
      </w:r>
    </w:p>
    <w:p w14:paraId="6B812AC8">
      <w:r>
        <w:t>风险因素：36个月路线图结束时仍处于"种子家庭"阶段，距离规模化收入尚远。B端客户"不为Demo买单"的行业痛点虽有认知，但自身如何跨越从Demo到合同的鸿沟缺乏具体方案。</w:t>
      </w:r>
    </w:p>
    <w:p w14:paraId="1D0F4F18">
      <w:pPr>
        <w:pStyle w:val="4"/>
      </w:pPr>
      <w:r>
        <w:t>五、团队特征</w:t>
      </w:r>
    </w:p>
    <w:p w14:paraId="209C5051">
      <w:r>
        <w:rPr>
          <w:rFonts w:ascii="Arial" w:hAnsi="Arial" w:eastAsia="微软雅黑"/>
          <w:b/>
          <w:color w:val="0F3460"/>
        </w:rPr>
        <w:t>创始人A：</w:t>
      </w:r>
      <w:r>
        <w:t>14年前沿AI经验，现顶级大厂具身智能实验室技术负责人，统筹手眼脑全栈算法，多个被行业引用的具身基础模型核心作者。技术深度和学术credibility突出。</w:t>
      </w:r>
    </w:p>
    <w:p w14:paraId="1A4AE1E8">
      <w:r>
        <w:rPr>
          <w:rFonts w:ascii="Arial" w:hAnsi="Arial" w:eastAsia="微软雅黑"/>
          <w:b/>
          <w:color w:val="0F3460"/>
        </w:rPr>
        <w:t>产品负责人B：</w:t>
      </w:r>
      <w:r>
        <w:t>近10年AI产品商业化经验，主导海康城市大脑、通义魔搭与万相从0到数千万用户。有将技术产品化的实战能力。</w:t>
      </w:r>
    </w:p>
    <w:p w14:paraId="6D6E484B">
      <w:r>
        <w:rPr>
          <w:rFonts w:ascii="Arial" w:hAnsi="Arial" w:eastAsia="微软雅黑"/>
          <w:b/>
          <w:color w:val="0F3460"/>
        </w:rPr>
        <w:t>算法核心C：</w:t>
      </w:r>
      <w:r>
        <w:t>具身大模型System 2/1/0和数据管线核心，直接承担技术攻坚。</w:t>
      </w:r>
    </w:p>
    <w:p w14:paraId="6FE22453">
      <w:r>
        <w:rPr>
          <w:rFonts w:ascii="Arial" w:hAnsi="Arial" w:eastAsia="微软雅黑"/>
          <w:b/>
          <w:color w:val="0F3460"/>
        </w:rPr>
        <w:t>数据飞轮D：</w:t>
      </w:r>
      <w:r>
        <w:t>香港中文大学毕业，主导大规模具身算法数据管线，支撑Ego数据飞轮与规模化质检闭环。</w:t>
      </w:r>
    </w:p>
    <w:p w14:paraId="15EEB82D">
      <w:r>
        <w:rPr>
          <w:rFonts w:ascii="Arial" w:hAnsi="Arial" w:eastAsia="微软雅黑"/>
          <w:b/>
          <w:color w:val="CC0000"/>
        </w:rPr>
        <w:t>关键风险：</w:t>
      </w:r>
      <w:r>
        <w:t>首席科学家仍在"流程中"；团队仅4人，对于全栈野心而言人力严重不足；过往验证为"顶级大厂脱敏呈现"，具体项目名需NDA后可查。</w:t>
      </w:r>
    </w:p>
    <w:p w14:paraId="62BD8045">
      <w:pPr>
        <w:pStyle w:val="4"/>
      </w:pPr>
      <w:r>
        <w:t>六、LOBSTR 创业评分扫描</w:t>
      </w:r>
    </w:p>
    <w:p w14:paraId="545F3780">
      <w:pPr>
        <w:jc w:val="center"/>
      </w:pPr>
      <w:r>
        <w:rPr>
          <w:rFonts w:ascii="Arial" w:hAnsi="Arial" w:eastAsia="微软雅黑"/>
          <w:b/>
          <w:color w:val="1A1A2E"/>
          <w:sz w:val="32"/>
        </w:rPr>
        <w:t>LOBSTR SCORE: 71 / 100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39"/>
        <w:gridCol w:w="1114"/>
        <w:gridCol w:w="4409"/>
      </w:tblGrid>
      <w:tr w14:paraId="7AC4CE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600" w:type="dxa"/>
            <w:shd w:val="clear" w:color="auto" w:fill="1A1A2E"/>
          </w:tcPr>
          <w:p w14:paraId="6F877A93"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20"/>
              </w:rPr>
              <w:t>维度</w:t>
            </w:r>
          </w:p>
        </w:tc>
        <w:tc>
          <w:tcPr>
            <w:tcW w:w="1152" w:type="dxa"/>
            <w:shd w:val="clear" w:color="auto" w:fill="1A1A2E"/>
          </w:tcPr>
          <w:p w14:paraId="54678B2C"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20"/>
              </w:rPr>
              <w:t>评分</w:t>
            </w:r>
          </w:p>
        </w:tc>
        <w:tc>
          <w:tcPr>
            <w:tcW w:w="4752" w:type="dxa"/>
            <w:shd w:val="clear" w:color="auto" w:fill="1A1A2E"/>
          </w:tcPr>
          <w:p w14:paraId="6F3D4706"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20"/>
              </w:rPr>
              <w:t>判断</w:t>
            </w:r>
          </w:p>
        </w:tc>
      </w:tr>
      <w:tr w14:paraId="6384EB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600" w:type="dxa"/>
          </w:tcPr>
          <w:p w14:paraId="7F176BB6">
            <w:r>
              <w:rPr>
                <w:rFonts w:ascii="Arial" w:hAnsi="Arial" w:eastAsia="微软雅黑"/>
                <w:sz w:val="19"/>
              </w:rPr>
              <w:t>L  Landscape（竞争格局）</w:t>
            </w:r>
          </w:p>
        </w:tc>
        <w:tc>
          <w:tcPr>
            <w:tcW w:w="1152" w:type="dxa"/>
          </w:tcPr>
          <w:p w14:paraId="2923CAC0">
            <w:r>
              <w:rPr>
                <w:rFonts w:ascii="Arial" w:hAnsi="Arial" w:eastAsia="微软雅黑"/>
                <w:sz w:val="19"/>
              </w:rPr>
              <w:t>55/100</w:t>
            </w:r>
          </w:p>
        </w:tc>
        <w:tc>
          <w:tcPr>
            <w:tcW w:w="4752" w:type="dxa"/>
          </w:tcPr>
          <w:p w14:paraId="678B99FC">
            <w:r>
              <w:rPr>
                <w:rFonts w:ascii="Arial" w:hAnsi="Arial" w:eastAsia="微软雅黑"/>
                <w:sz w:val="19"/>
              </w:rPr>
              <w:t>赛道极度拥挤：PI/SKILD/Figure AI/Tesla/宇树/智元/灵心巧手，巨头和明星创业公司密集</w:t>
            </w:r>
          </w:p>
        </w:tc>
      </w:tr>
      <w:tr w14:paraId="419F3B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600" w:type="dxa"/>
            <w:shd w:val="clear" w:color="auto" w:fill="F5F5F5"/>
          </w:tcPr>
          <w:p w14:paraId="25C8A6E6">
            <w:r>
              <w:rPr>
                <w:rFonts w:ascii="Arial" w:hAnsi="Arial" w:eastAsia="微软雅黑"/>
                <w:sz w:val="19"/>
              </w:rPr>
              <w:t>O  Opportunity（市场机会）</w:t>
            </w:r>
          </w:p>
        </w:tc>
        <w:tc>
          <w:tcPr>
            <w:tcW w:w="1152" w:type="dxa"/>
            <w:shd w:val="clear" w:color="auto" w:fill="F5F5F5"/>
          </w:tcPr>
          <w:p w14:paraId="65D7818B">
            <w:r>
              <w:rPr>
                <w:rFonts w:ascii="Arial" w:hAnsi="Arial" w:eastAsia="微软雅黑"/>
                <w:sz w:val="19"/>
              </w:rPr>
              <w:t>88/100</w:t>
            </w:r>
          </w:p>
        </w:tc>
        <w:tc>
          <w:tcPr>
            <w:tcW w:w="4752" w:type="dxa"/>
            <w:shd w:val="clear" w:color="auto" w:fill="F5F5F5"/>
          </w:tcPr>
          <w:p w14:paraId="30E3039D">
            <w:r>
              <w:rPr>
                <w:rFonts w:ascii="Arial" w:hAnsi="Arial" w:eastAsia="微软雅黑"/>
                <w:sz w:val="19"/>
              </w:rPr>
              <w:t>具身智能是万亿级赛道，2026融资超345亿元，家庭机器人是终极TAM</w:t>
            </w:r>
          </w:p>
        </w:tc>
      </w:tr>
      <w:tr w14:paraId="301600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600" w:type="dxa"/>
          </w:tcPr>
          <w:p w14:paraId="6468F3D3">
            <w:r>
              <w:rPr>
                <w:rFonts w:ascii="Arial" w:hAnsi="Arial" w:eastAsia="微软雅黑"/>
                <w:sz w:val="19"/>
              </w:rPr>
              <w:t>B  Biz model（商业模式）</w:t>
            </w:r>
          </w:p>
        </w:tc>
        <w:tc>
          <w:tcPr>
            <w:tcW w:w="1152" w:type="dxa"/>
          </w:tcPr>
          <w:p w14:paraId="490FCA20">
            <w:r>
              <w:rPr>
                <w:rFonts w:ascii="Arial" w:hAnsi="Arial" w:eastAsia="微软雅黑"/>
                <w:sz w:val="19"/>
              </w:rPr>
              <w:t>52/100</w:t>
            </w:r>
          </w:p>
        </w:tc>
        <w:tc>
          <w:tcPr>
            <w:tcW w:w="4752" w:type="dxa"/>
          </w:tcPr>
          <w:p w14:paraId="0B11BC3A">
            <w:r>
              <w:rPr>
                <w:rFonts w:ascii="Arial" w:hAnsi="Arial" w:eastAsia="微软雅黑"/>
                <w:sz w:val="19"/>
              </w:rPr>
              <w:t>三阶段路径清晰但收入模型模糊，B端付费策略和定价机制缺失</w:t>
            </w:r>
          </w:p>
        </w:tc>
      </w:tr>
      <w:tr w14:paraId="6CE1A7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600" w:type="dxa"/>
            <w:shd w:val="clear" w:color="auto" w:fill="F5F5F5"/>
          </w:tcPr>
          <w:p w14:paraId="5AC3EF21">
            <w:r>
              <w:rPr>
                <w:rFonts w:ascii="Arial" w:hAnsi="Arial" w:eastAsia="微软雅黑"/>
                <w:sz w:val="19"/>
              </w:rPr>
              <w:t>S  Sharpness（锐度/差异化）</w:t>
            </w:r>
          </w:p>
        </w:tc>
        <w:tc>
          <w:tcPr>
            <w:tcW w:w="1152" w:type="dxa"/>
            <w:shd w:val="clear" w:color="auto" w:fill="F5F5F5"/>
          </w:tcPr>
          <w:p w14:paraId="14C47DB6">
            <w:r>
              <w:rPr>
                <w:rFonts w:ascii="Arial" w:hAnsi="Arial" w:eastAsia="微软雅黑"/>
                <w:sz w:val="19"/>
              </w:rPr>
              <w:t>78/100</w:t>
            </w:r>
          </w:p>
        </w:tc>
        <w:tc>
          <w:tcPr>
            <w:tcW w:w="4752" w:type="dxa"/>
            <w:shd w:val="clear" w:color="auto" w:fill="F5F5F5"/>
          </w:tcPr>
          <w:p w14:paraId="7CA5258B">
            <w:r>
              <w:rPr>
                <w:rFonts w:ascii="Arial" w:hAnsi="Arial" w:eastAsia="微软雅黑"/>
                <w:sz w:val="19"/>
              </w:rPr>
              <w:t>"灵巧x智能"交集定位独特，触觉世界模型独占象限，VLA成功率90.6%硬核数据</w:t>
            </w:r>
          </w:p>
        </w:tc>
      </w:tr>
      <w:tr w14:paraId="2F5AA6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600" w:type="dxa"/>
          </w:tcPr>
          <w:p w14:paraId="4D26C767">
            <w:r>
              <w:rPr>
                <w:rFonts w:ascii="Arial" w:hAnsi="Arial" w:eastAsia="微软雅黑"/>
                <w:sz w:val="19"/>
              </w:rPr>
              <w:t>T  Timing（时机）</w:t>
            </w:r>
          </w:p>
        </w:tc>
        <w:tc>
          <w:tcPr>
            <w:tcW w:w="1152" w:type="dxa"/>
          </w:tcPr>
          <w:p w14:paraId="3D0EBCDC">
            <w:r>
              <w:rPr>
                <w:rFonts w:ascii="Arial" w:hAnsi="Arial" w:eastAsia="微软雅黑"/>
                <w:sz w:val="19"/>
              </w:rPr>
              <w:t>85/100</w:t>
            </w:r>
          </w:p>
        </w:tc>
        <w:tc>
          <w:tcPr>
            <w:tcW w:w="4752" w:type="dxa"/>
          </w:tcPr>
          <w:p w14:paraId="5E6FBDA6">
            <w:r>
              <w:rPr>
                <w:rFonts w:ascii="Arial" w:hAnsi="Arial" w:eastAsia="微软雅黑"/>
                <w:sz w:val="19"/>
              </w:rPr>
              <w:t>2026-2028是具身GPT-3窗口期，数据路线正被巨头验证，时机精准</w:t>
            </w:r>
          </w:p>
        </w:tc>
      </w:tr>
      <w:tr w14:paraId="4DCF87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600" w:type="dxa"/>
            <w:shd w:val="clear" w:color="auto" w:fill="F5F5F5"/>
          </w:tcPr>
          <w:p w14:paraId="715CA2A1">
            <w:r>
              <w:rPr>
                <w:rFonts w:ascii="Arial" w:hAnsi="Arial" w:eastAsia="微软雅黑"/>
                <w:sz w:val="19"/>
              </w:rPr>
              <w:t>R  Reach（可扩展性）</w:t>
            </w:r>
          </w:p>
        </w:tc>
        <w:tc>
          <w:tcPr>
            <w:tcW w:w="1152" w:type="dxa"/>
            <w:shd w:val="clear" w:color="auto" w:fill="F5F5F5"/>
          </w:tcPr>
          <w:p w14:paraId="0E0DFEBB">
            <w:r>
              <w:rPr>
                <w:rFonts w:ascii="Arial" w:hAnsi="Arial" w:eastAsia="微软雅黑"/>
                <w:sz w:val="19"/>
              </w:rPr>
              <w:t>65/100</w:t>
            </w:r>
          </w:p>
        </w:tc>
        <w:tc>
          <w:tcPr>
            <w:tcW w:w="4752" w:type="dxa"/>
            <w:shd w:val="clear" w:color="auto" w:fill="F5F5F5"/>
          </w:tcPr>
          <w:p w14:paraId="51EDB040">
            <w:r>
              <w:rPr>
                <w:rFonts w:ascii="Arial" w:hAnsi="Arial" w:eastAsia="微软雅黑"/>
                <w:sz w:val="19"/>
              </w:rPr>
              <w:t>商服到家庭迁移路径合理，但硬件依赖和部署复杂度限制了早期扩张速度</w:t>
            </w:r>
          </w:p>
        </w:tc>
      </w:tr>
    </w:tbl>
    <w:p w14:paraId="1DFDE90B"/>
    <w:p w14:paraId="3625934C">
      <w:r>
        <w:rPr>
          <w:rFonts w:ascii="Arial" w:hAnsi="Arial" w:eastAsia="微软雅黑"/>
          <w:b/>
          <w:color w:val="0F3460"/>
        </w:rPr>
        <w:t>Verdict：</w:t>
      </w:r>
      <w:r>
        <w:t>RoboX在技术深度和差异化定位上令人印象深刻，触觉世界模型和VLA成功率数据是真正的硬核壁垒。但商业模式模糊、团队规模极小、缺少财务和融资信息，使其更像一份出色的技术白皮书而非投资备忘录。</w:t>
      </w:r>
    </w:p>
    <w:p w14:paraId="78587909">
      <w:r>
        <w:br w:type="page"/>
      </w:r>
    </w:p>
    <w:p w14:paraId="642D1711">
      <w:pPr>
        <w:pStyle w:val="3"/>
      </w:pPr>
      <w:r>
        <w:t>第二部分：商业服务场景深度质疑</w:t>
      </w:r>
    </w:p>
    <w:p w14:paraId="5AC8C628">
      <w:r>
        <w:t>针对投资人的四大核心担忧，逐项拆解RoboX选择"商业服务"作为首个切入场景的合理性。</w:t>
      </w:r>
    </w:p>
    <w:p w14:paraId="1DE321BA">
      <w:pPr>
        <w:pStyle w:val="4"/>
      </w:pPr>
      <w:r>
        <w:t>核心问题一：煎牛排、做咖啡真的需要人形机器人吗？</w:t>
      </w:r>
    </w:p>
    <w:p w14:paraId="58C6F5B5">
      <w:r>
        <w:rPr>
          <w:rFonts w:ascii="Arial" w:hAnsi="Arial" w:eastAsia="微软雅黑"/>
          <w:b/>
          <w:color w:val="CC0000"/>
        </w:rPr>
        <w:t>结论：你的直觉是对的。</w:t>
      </w:r>
      <w:r>
        <w:t>当前商业服务场景下，专用机器人远比人形机器人更实用、更经济。RoboX的"商业服务"叙事需要被重新审视。</w:t>
      </w:r>
    </w:p>
    <w:p w14:paraId="38DAE85D">
      <w:r>
        <w:t>先看一组硬数据。目前市面上成熟的商用炒菜机器人价格在3-8万元，一台咖啡机械臂系统约10-20万元，而人形机器人（含双臂移动平台+灵巧手+大脑系统）当前成本约50-60万元，即便规模化量产后也预计在15-25万元区间。一台专用炒菜机器人已经可以做到标准化出品、24小时不停机、占地不到2平米，投资回收期约12-18个月。而人形机器人做同样的事情——煎一块牛排——需要完成移动取料、开火、翻面、摆盘、清洁等一系列动作，每一个环节的失败率都会累积，整体任务成功率远低于专用设备。</w:t>
      </w:r>
    </w:p>
    <w:p w14:paraId="6E891EF0">
      <w:r>
        <w:t>这不是一个假设性问题，而是已经在发生的现实。2024-2025年间，多家"机器人餐厅"因体验大于实用、效率不及人工而关门。IDC 2025年数据显示，全球商用服务机器人出货约15.5万台，市场规模13.7亿美元——但其中绝大多数是送餐配送机器人（如普渡科技、擎朗智能的轮式配送车）和清洁机器人，它们恰恰都不是人形机器人，也不具备灵巧操作能力。</w:t>
      </w:r>
    </w:p>
    <w:p w14:paraId="31D835ED">
      <w:r>
        <w:rPr>
          <w:rFonts w:ascii="Arial" w:hAnsi="Arial" w:eastAsia="微软雅黑"/>
          <w:b/>
          <w:color w:val="0F3460"/>
        </w:rPr>
        <w:t>那RoboX为什么还选这个场景？</w:t>
      </w:r>
      <w:bookmarkStart w:id="0" w:name="_GoBack"/>
      <w:bookmarkEnd w:id="0"/>
    </w:p>
    <w:p w14:paraId="4849D834">
      <w:r>
        <w:t>从deck中可以推断出RoboX的真实逻辑链条：商业服务场景的价值不在于"煎牛排本身"，而在于它是一个数据采集的最佳训练场——任务高频、环境相对可控、数据可标准化回流。煎牛排只是验证灵巧操作能力的"测试用例"，不是产品本身。但这个逻辑在deck中没有被充分表达，投资人很容易将其误解为"我们要卖一台50万的机器人去咖啡店打工"。</w:t>
      </w:r>
    </w:p>
    <w:p w14:paraId="6414A830">
      <w:r>
        <w:rPr>
          <w:rFonts w:ascii="Arial" w:hAnsi="Arial" w:eastAsia="微软雅黑"/>
          <w:b/>
          <w:color w:val="CC0000"/>
        </w:rPr>
        <w:t>投资人的正确追问应该是：</w:t>
      </w:r>
      <w:r>
        <w:t>如果商业服务只是数据训练场，那真正的产品收入从哪里来？在"训练"期间，谁为这些机器人买单？</w:t>
      </w:r>
    </w:p>
    <w:p w14:paraId="2DC74800">
      <w:pPr>
        <w:pStyle w:val="4"/>
      </w:pPr>
      <w:r>
        <w:t>核心问题二：RoboX的产品到底是什么？客户画像是谁？</w:t>
      </w:r>
    </w:p>
    <w:p w14:paraId="126E017D">
      <w:r>
        <w:t>这是整份deck最大的模糊地带。RoboX的"产品"至少可以被理解为四种完全不同的东西，而每一种对应截然不同的商业逻辑：</w:t>
      </w:r>
    </w:p>
    <w:p w14:paraId="6BC149BC">
      <w:r>
        <w:rPr>
          <w:rFonts w:ascii="Arial" w:hAnsi="Arial" w:eastAsia="微软雅黑"/>
          <w:b/>
          <w:color w:val="0F3460"/>
        </w:rPr>
        <w:t>可能性A：具身大脑软件平台（To B SaaS/License）</w:t>
      </w:r>
    </w:p>
    <w:p w14:paraId="1EB9173F">
      <w:r>
        <w:t>将System 2/1/0模型栈打包为软件SDK或API，授权给机器人本体厂商使用。客户画像：宇树、智元、Figure AI等机器人本体厂商或集成商。定价模式：按台授权费+年度维护费。对标：NVIDIA Isaac、Google DeepMind RT系列。如果是这条路，RoboX的竞争对手就是NVIDIA、Google、Physical Intelligence（pi0）这些巨头，资金劣势将被放大。</w:t>
      </w:r>
    </w:p>
    <w:p w14:paraId="61FFE34D">
      <w:r>
        <w:rPr>
          <w:rFonts w:ascii="Arial" w:hAnsi="Arial" w:eastAsia="微软雅黑"/>
          <w:b/>
          <w:color w:val="0F3460"/>
        </w:rPr>
        <w:t>可能性B：灵巧手+大脑的集成模组（To B 硬件+软件）</w:t>
      </w:r>
    </w:p>
    <w:p w14:paraId="041F512D">
      <w:r>
        <w:t>自研灵巧手末端+预训练模型，作为"移动操作增量包"卖给本体厂商。客户画像同上，但交付的是硬件+软件的集成件。定价模式：按套售价。对标：灵心巧手、Sharpa等灵巧手厂商。如果是这条路，RoboX需要面对硬件供应链管理的巨大挑战，4人团队几乎不可能同时做好软件研发和硬件量产。</w:t>
      </w:r>
    </w:p>
    <w:p w14:paraId="062AE786">
      <w:r>
        <w:rPr>
          <w:rFonts w:ascii="Arial" w:hAnsi="Arial" w:eastAsia="微软雅黑"/>
          <w:b/>
          <w:color w:val="0F3460"/>
        </w:rPr>
        <w:t>可能性C：场景解决方案（To B 项目制）</w:t>
      </w:r>
    </w:p>
    <w:p w14:paraId="5612DC5C">
      <w:r>
        <w:t>针对特定商业服务场景（如咖啡制作、餐厅配餐），提供包含机器人本体+大脑+部署+运维的整体解决方案。客户画像：连锁餐饮集团、酒店集团、物业公司。定价模式：项目制收费或RaaS月租。对标：擎朗智能、普渡科技。如果是这条路，RoboX面对的是一个已有成熟玩家的红海市场，且这些竞对的单台成本远低于人形机器人方案。</w:t>
      </w:r>
    </w:p>
    <w:p w14:paraId="4BDFF6BB">
      <w:r>
        <w:rPr>
          <w:rFonts w:ascii="Arial" w:hAnsi="Arial" w:eastAsia="微软雅黑"/>
          <w:b/>
          <w:color w:val="0F3460"/>
        </w:rPr>
        <w:t>可能性D：数据服务（To B 数据产品）</w:t>
      </w:r>
    </w:p>
    <w:p w14:paraId="35FF1506">
      <w:r>
        <w:t>规模化采集的高质量人类操作数据+预训练模型权重，卖给其他具身智能公司。客户画像：具身智能创业公司、大厂机器人团队。定价模式：按数据集/模型License收费。对标：Scale AI（但面向具身智能领域）。如果是这条路，Deck中"全栈数据解决方案"和"低成本众包"确实有潜力，但需要证明数据质量和规模能达到客户要求。</w:t>
      </w:r>
    </w:p>
    <w:p w14:paraId="0759BD98">
      <w:r>
        <w:rPr>
          <w:rFonts w:ascii="Arial" w:hAnsi="Arial" w:eastAsia="微软雅黑"/>
          <w:b/>
          <w:color w:val="CC0000"/>
        </w:rPr>
        <w:t>核心建议：</w:t>
      </w:r>
      <w:r>
        <w:t>Deck没有明确区分这四种产品形态，这对投资人而言是一个重大红旗。建议在尽调中直接追问："你们的第一个付费客户是谁？他们买的是什么？"</w:t>
      </w:r>
    </w:p>
    <w:p w14:paraId="2DF3BFD0">
      <w:pPr>
        <w:pStyle w:val="4"/>
      </w:pPr>
      <w:r>
        <w:t>核心问题三：这个市场需求有多大？增长潜力如何？</w:t>
      </w:r>
    </w:p>
    <w:p w14:paraId="6F0EBECF">
      <w:r>
        <w:t>如果RoboX做的是"商用服务机器人"（可能性C）：IDC最新数据显示，2025年全球商用服务机器人出货约15.5万台，市场规模13.7亿美元；预计到2030年出货45.4万台，市场规模31.7亿美元，CAGR约18%。但这个市场目前被配送机器人（普渡、擎朗）和清洁机器人主导，人形/双臂操作机器人在这个品类中几乎没有实际出货。而且这个市场本身的天花板不算高——31.7亿美元的2030年预测规模，即使RoboX做到10%份额，也只有约3亿美元，不足以支撑独角兽估值。</w:t>
      </w:r>
    </w:p>
    <w:p w14:paraId="1DAA2A46">
      <w:r>
        <w:t>如果RoboX做的是"具身智能基础模型/平台"（可能性A/B）：这个市场的TAM要大得多。广义的具身智能市场（含工业机器人智能化升级、服务机器人、人形机器人）被预测在2030年达到千亿美元级别。但RoboX面对的是Physical Intelligence（pi0，估值56亿美元、已获42亿+融资）、SKILD AI（估值140亿美元、14亿美元C轮）、NVIDIA（Isaac平台）、Google DeepMind（RT-2/RT-X）这些巨头的正面竞争。一个4人团队、天使轮融资的公司，在这个层级竞争的可行性需要被打上大大的问号。</w:t>
      </w:r>
    </w:p>
    <w:p w14:paraId="272D16A6">
      <w:r>
        <w:t>如果RoboX做的是"数据服务"（可能性D）：具身智能数据市场目前仍在极早期。公开数据集规模最大的不到5万小时（NVIDIA EgoScale约2万小时、智元AgiBot World约3000小时），RoboX目标是100万小时。如果真能做到这个量级且质量过关，数据本身就有巨大的稀缺价值。但数据采集的单位经济在deck中完全没有披露。</w:t>
      </w:r>
    </w:p>
    <w:p w14:paraId="5879C29D">
      <w:pPr>
        <w:pStyle w:val="4"/>
      </w:pPr>
      <w:r>
        <w:t>核心问题四：竞争对手进展如何？RoboX的相对竞争力在哪？</w:t>
      </w:r>
    </w:p>
    <w:p w14:paraId="7562CF18">
      <w:r>
        <w:t>全球竞争格局正在快速分化，RoboX面对的是一场资金量级不对等的战争：</w:t>
      </w:r>
    </w:p>
    <w:p w14:paraId="2E290A1A">
      <w:pPr>
        <w:pStyle w:val="5"/>
      </w:pPr>
      <w:r>
        <w:t>Tier 1 - 巨头级竞争者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92"/>
        <w:gridCol w:w="2683"/>
        <w:gridCol w:w="2371"/>
        <w:gridCol w:w="2016"/>
      </w:tblGrid>
      <w:tr w14:paraId="58C42E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  <w:shd w:val="clear" w:color="auto" w:fill="1A1A2E"/>
          </w:tcPr>
          <w:p w14:paraId="06318DDE"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20"/>
              </w:rPr>
              <w:t>公司</w:t>
            </w:r>
          </w:p>
        </w:tc>
        <w:tc>
          <w:tcPr>
            <w:tcW w:w="2880" w:type="dxa"/>
            <w:shd w:val="clear" w:color="auto" w:fill="1A1A2E"/>
          </w:tcPr>
          <w:p w14:paraId="51516ABD"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20"/>
              </w:rPr>
              <w:t>最新进展</w:t>
            </w:r>
          </w:p>
        </w:tc>
        <w:tc>
          <w:tcPr>
            <w:tcW w:w="2592" w:type="dxa"/>
            <w:shd w:val="clear" w:color="auto" w:fill="1A1A2E"/>
          </w:tcPr>
          <w:p w14:paraId="554E0E25"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20"/>
              </w:rPr>
              <w:t>融资/估值</w:t>
            </w:r>
          </w:p>
        </w:tc>
        <w:tc>
          <w:tcPr>
            <w:tcW w:w="2160" w:type="dxa"/>
            <w:shd w:val="clear" w:color="auto" w:fill="1A1A2E"/>
          </w:tcPr>
          <w:p w14:paraId="2AA36827"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20"/>
              </w:rPr>
              <w:t>对RoboX的威胁</w:t>
            </w:r>
          </w:p>
        </w:tc>
      </w:tr>
      <w:tr w14:paraId="129FCD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</w:tcPr>
          <w:p w14:paraId="23287C8B">
            <w:r>
              <w:rPr>
                <w:rFonts w:ascii="Arial" w:hAnsi="Arial" w:eastAsia="微软雅黑"/>
                <w:sz w:val="19"/>
              </w:rPr>
              <w:t>Physical Intelligence (pi)</w:t>
            </w:r>
          </w:p>
        </w:tc>
        <w:tc>
          <w:tcPr>
            <w:tcW w:w="2880" w:type="dxa"/>
          </w:tcPr>
          <w:p w14:paraId="6522F959">
            <w:r>
              <w:rPr>
                <w:rFonts w:ascii="Arial" w:hAnsi="Arial" w:eastAsia="微软雅黑"/>
                <w:sz w:val="19"/>
              </w:rPr>
              <w:t>pi0到pi0.5，已实现家庭环境自主操作</w:t>
            </w:r>
          </w:p>
        </w:tc>
        <w:tc>
          <w:tcPr>
            <w:tcW w:w="2592" w:type="dxa"/>
          </w:tcPr>
          <w:p w14:paraId="2D8B0A93">
            <w:r>
              <w:rPr>
                <w:rFonts w:ascii="Arial" w:hAnsi="Arial" w:eastAsia="微软雅黑"/>
                <w:sz w:val="19"/>
              </w:rPr>
              <w:t>B轮6亿美元，累计42亿+，估值56亿美元</w:t>
            </w:r>
          </w:p>
        </w:tc>
        <w:tc>
          <w:tcPr>
            <w:tcW w:w="2160" w:type="dxa"/>
          </w:tcPr>
          <w:p w14:paraId="037F465D">
            <w:r>
              <w:rPr>
                <w:rFonts w:ascii="Arial" w:hAnsi="Arial" w:eastAsia="微软雅黑"/>
                <w:sz w:val="19"/>
              </w:rPr>
              <w:t>直接竞品，通用操作大模型路线高度重叠</w:t>
            </w:r>
          </w:p>
        </w:tc>
      </w:tr>
      <w:tr w14:paraId="6FB04E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  <w:shd w:val="clear" w:color="auto" w:fill="F5F5F5"/>
          </w:tcPr>
          <w:p w14:paraId="6417CE8C">
            <w:r>
              <w:rPr>
                <w:rFonts w:ascii="Arial" w:hAnsi="Arial" w:eastAsia="微软雅黑"/>
                <w:sz w:val="19"/>
              </w:rPr>
              <w:t>SKILD AI</w:t>
            </w:r>
          </w:p>
        </w:tc>
        <w:tc>
          <w:tcPr>
            <w:tcW w:w="2880" w:type="dxa"/>
            <w:shd w:val="clear" w:color="auto" w:fill="F5F5F5"/>
          </w:tcPr>
          <w:p w14:paraId="795DBA65">
            <w:r>
              <w:rPr>
                <w:rFonts w:ascii="Arial" w:hAnsi="Arial" w:eastAsia="微软雅黑"/>
                <w:sz w:val="19"/>
              </w:rPr>
              <w:t>机器人基础模型，剑指家庭机器人</w:t>
            </w:r>
          </w:p>
        </w:tc>
        <w:tc>
          <w:tcPr>
            <w:tcW w:w="2592" w:type="dxa"/>
            <w:shd w:val="clear" w:color="auto" w:fill="F5F5F5"/>
          </w:tcPr>
          <w:p w14:paraId="5A3E881D">
            <w:r>
              <w:rPr>
                <w:rFonts w:ascii="Arial" w:hAnsi="Arial" w:eastAsia="微软雅黑"/>
                <w:sz w:val="19"/>
              </w:rPr>
              <w:t>C轮14亿美元，估值140亿美元</w:t>
            </w:r>
          </w:p>
        </w:tc>
        <w:tc>
          <w:tcPr>
            <w:tcW w:w="2160" w:type="dxa"/>
            <w:shd w:val="clear" w:color="auto" w:fill="F5F5F5"/>
          </w:tcPr>
          <w:p w14:paraId="53127903">
            <w:r>
              <w:rPr>
                <w:rFonts w:ascii="Arial" w:hAnsi="Arial" w:eastAsia="微软雅黑"/>
                <w:sz w:val="19"/>
              </w:rPr>
              <w:t>通用机器人"大脑"定位，体量差距极大</w:t>
            </w:r>
          </w:p>
        </w:tc>
      </w:tr>
      <w:tr w14:paraId="17AC86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</w:tcPr>
          <w:p w14:paraId="5403A956">
            <w:r>
              <w:rPr>
                <w:rFonts w:ascii="Arial" w:hAnsi="Arial" w:eastAsia="微软雅黑"/>
                <w:sz w:val="19"/>
              </w:rPr>
              <w:t>Figure AI</w:t>
            </w:r>
          </w:p>
        </w:tc>
        <w:tc>
          <w:tcPr>
            <w:tcW w:w="2880" w:type="dxa"/>
          </w:tcPr>
          <w:p w14:paraId="6BEC959B">
            <w:r>
              <w:rPr>
                <w:rFonts w:ascii="Arial" w:hAnsi="Arial" w:eastAsia="微软雅黑"/>
                <w:sz w:val="19"/>
              </w:rPr>
              <w:t>Series C 10亿美元，已进入BMW工厂</w:t>
            </w:r>
          </w:p>
        </w:tc>
        <w:tc>
          <w:tcPr>
            <w:tcW w:w="2592" w:type="dxa"/>
          </w:tcPr>
          <w:p w14:paraId="0CF5D2E7">
            <w:r>
              <w:rPr>
                <w:rFonts w:ascii="Arial" w:hAnsi="Arial" w:eastAsia="微软雅黑"/>
                <w:sz w:val="19"/>
              </w:rPr>
              <w:t>累计26亿+，估值390亿美元</w:t>
            </w:r>
          </w:p>
        </w:tc>
        <w:tc>
          <w:tcPr>
            <w:tcW w:w="2160" w:type="dxa"/>
          </w:tcPr>
          <w:p w14:paraId="50EC5BF0">
            <w:r>
              <w:rPr>
                <w:rFonts w:ascii="Arial" w:hAnsi="Arial" w:eastAsia="微软雅黑"/>
                <w:sz w:val="19"/>
              </w:rPr>
              <w:t>通用人形路线，商业落地最快</w:t>
            </w:r>
          </w:p>
        </w:tc>
      </w:tr>
      <w:tr w14:paraId="36F8A3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  <w:shd w:val="clear" w:color="auto" w:fill="F5F5F5"/>
          </w:tcPr>
          <w:p w14:paraId="4BA8EC8F">
            <w:r>
              <w:rPr>
                <w:rFonts w:ascii="Arial" w:hAnsi="Arial" w:eastAsia="微软雅黑"/>
                <w:sz w:val="19"/>
              </w:rPr>
              <w:t>Tesla Optimus</w:t>
            </w:r>
          </w:p>
        </w:tc>
        <w:tc>
          <w:tcPr>
            <w:tcW w:w="2880" w:type="dxa"/>
            <w:shd w:val="clear" w:color="auto" w:fill="F5F5F5"/>
          </w:tcPr>
          <w:p w14:paraId="50C35412">
            <w:r>
              <w:rPr>
                <w:rFonts w:ascii="Arial" w:hAnsi="Arial" w:eastAsia="微软雅黑"/>
                <w:sz w:val="19"/>
              </w:rPr>
              <w:t>2026年底启动量产，已在工厂内部署</w:t>
            </w:r>
          </w:p>
        </w:tc>
        <w:tc>
          <w:tcPr>
            <w:tcW w:w="2592" w:type="dxa"/>
            <w:shd w:val="clear" w:color="auto" w:fill="F5F5F5"/>
          </w:tcPr>
          <w:p w14:paraId="0166A86C">
            <w:r>
              <w:rPr>
                <w:rFonts w:ascii="Arial" w:hAnsi="Arial" w:eastAsia="微软雅黑"/>
                <w:sz w:val="19"/>
              </w:rPr>
              <w:t>Tesla自研，资源无限</w:t>
            </w:r>
          </w:p>
        </w:tc>
        <w:tc>
          <w:tcPr>
            <w:tcW w:w="2160" w:type="dxa"/>
            <w:shd w:val="clear" w:color="auto" w:fill="F5F5F5"/>
          </w:tcPr>
          <w:p w14:paraId="3C3A755F">
            <w:r>
              <w:rPr>
                <w:rFonts w:ascii="Arial" w:hAnsi="Arial" w:eastAsia="微软雅黑"/>
                <w:sz w:val="19"/>
              </w:rPr>
              <w:t>规模化生产交付能力无人能敌</w:t>
            </w:r>
          </w:p>
        </w:tc>
      </w:tr>
      <w:tr w14:paraId="60E903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</w:tcPr>
          <w:p w14:paraId="34007B63">
            <w:r>
              <w:rPr>
                <w:rFonts w:ascii="Arial" w:hAnsi="Arial" w:eastAsia="微软雅黑"/>
                <w:sz w:val="19"/>
              </w:rPr>
              <w:t>NVIDIA</w:t>
            </w:r>
          </w:p>
        </w:tc>
        <w:tc>
          <w:tcPr>
            <w:tcW w:w="2880" w:type="dxa"/>
          </w:tcPr>
          <w:p w14:paraId="3D66BAA5">
            <w:r>
              <w:rPr>
                <w:rFonts w:ascii="Arial" w:hAnsi="Arial" w:eastAsia="微软雅黑"/>
                <w:sz w:val="19"/>
              </w:rPr>
              <w:t>Isaac平台+COSMOS世界模型</w:t>
            </w:r>
          </w:p>
        </w:tc>
        <w:tc>
          <w:tcPr>
            <w:tcW w:w="2592" w:type="dxa"/>
          </w:tcPr>
          <w:p w14:paraId="308DB42B">
            <w:r>
              <w:rPr>
                <w:rFonts w:ascii="Arial" w:hAnsi="Arial" w:eastAsia="微软雅黑"/>
                <w:sz w:val="19"/>
              </w:rPr>
              <w:t>上市公司，AI基础设施垄断者</w:t>
            </w:r>
          </w:p>
        </w:tc>
        <w:tc>
          <w:tcPr>
            <w:tcW w:w="2160" w:type="dxa"/>
          </w:tcPr>
          <w:p w14:paraId="1D0822F3">
            <w:r>
              <w:rPr>
                <w:rFonts w:ascii="Arial" w:hAnsi="Arial" w:eastAsia="微软雅黑"/>
                <w:sz w:val="19"/>
              </w:rPr>
              <w:t>Omni-Space直接与Cosmos对标</w:t>
            </w:r>
          </w:p>
        </w:tc>
      </w:tr>
      <w:tr w14:paraId="1BD2EE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  <w:shd w:val="clear" w:color="auto" w:fill="F5F5F5"/>
          </w:tcPr>
          <w:p w14:paraId="2EE6DA34">
            <w:r>
              <w:rPr>
                <w:rFonts w:ascii="Arial" w:hAnsi="Arial" w:eastAsia="微软雅黑"/>
                <w:sz w:val="19"/>
              </w:rPr>
              <w:t>达摩院 (阿里)</w:t>
            </w:r>
          </w:p>
        </w:tc>
        <w:tc>
          <w:tcPr>
            <w:tcW w:w="2880" w:type="dxa"/>
            <w:shd w:val="clear" w:color="auto" w:fill="F5F5F5"/>
          </w:tcPr>
          <w:p w14:paraId="0A14714D">
            <w:r>
              <w:rPr>
                <w:rFonts w:ascii="Arial" w:hAnsi="Arial" w:eastAsia="微软雅黑"/>
                <w:sz w:val="19"/>
              </w:rPr>
              <w:t>RynnVLA-001发布，大规模Ego数据+VLA</w:t>
            </w:r>
          </w:p>
        </w:tc>
        <w:tc>
          <w:tcPr>
            <w:tcW w:w="2592" w:type="dxa"/>
            <w:shd w:val="clear" w:color="auto" w:fill="F5F5F5"/>
          </w:tcPr>
          <w:p w14:paraId="1BD47FB4">
            <w:r>
              <w:rPr>
                <w:rFonts w:ascii="Arial" w:hAnsi="Arial" w:eastAsia="微软雅黑"/>
                <w:sz w:val="19"/>
              </w:rPr>
              <w:t>阿里集团支撑</w:t>
            </w:r>
          </w:p>
        </w:tc>
        <w:tc>
          <w:tcPr>
            <w:tcW w:w="2160" w:type="dxa"/>
            <w:shd w:val="clear" w:color="auto" w:fill="F5F5F5"/>
          </w:tcPr>
          <w:p w14:paraId="4A7A9779">
            <w:r>
              <w:rPr>
                <w:rFonts w:ascii="Arial" w:hAnsi="Arial" w:eastAsia="微软雅黑"/>
                <w:sz w:val="19"/>
              </w:rPr>
              <w:t>数据路线与RoboX高度一致</w:t>
            </w:r>
          </w:p>
        </w:tc>
      </w:tr>
    </w:tbl>
    <w:p w14:paraId="6A04A812"/>
    <w:p w14:paraId="1294537D">
      <w:pPr>
        <w:pStyle w:val="5"/>
      </w:pPr>
      <w:r>
        <w:t>RoboX的相对优势</w:t>
      </w:r>
    </w:p>
    <w:p w14:paraId="58F69043">
      <w:r>
        <w:rPr>
          <w:rFonts w:ascii="Arial" w:hAnsi="Arial" w:eastAsia="微软雅黑"/>
          <w:b/>
          <w:color w:val="0F3460"/>
        </w:rPr>
        <w:t>触觉世界模型的独占象限：</w:t>
      </w:r>
      <w:r>
        <w:t>目前没有看到PI、SKILD或NVIDIA在"触觉前瞻+物理引擎"方向有同等深度的工作。这是一个真实的技术壁垒。</w:t>
      </w:r>
    </w:p>
    <w:p w14:paraId="5BC975A4">
      <w:r>
        <w:rPr>
          <w:rFonts w:ascii="Arial" w:hAnsi="Arial" w:eastAsia="微软雅黑"/>
          <w:b/>
          <w:color w:val="0F3460"/>
        </w:rPr>
        <w:t>VLA成功率90.6% vs pi0的70.4%：</w:t>
      </w:r>
      <w:r>
        <w:t>如果在相同benchmark上确实领先20个百分点，这是非常有说服力的数据。但需要独立验证，自报数据的可信度在投资人眼中要打折扣。</w:t>
      </w:r>
    </w:p>
    <w:p w14:paraId="30B7680D">
      <w:r>
        <w:rPr>
          <w:rFonts w:ascii="Arial" w:hAnsi="Arial" w:eastAsia="微软雅黑"/>
          <w:b/>
          <w:color w:val="0F3460"/>
        </w:rPr>
        <w:t>"灵巧操作增量包"定位：</w:t>
      </w:r>
      <w:r>
        <w:t>不做通用人形本体，而是做赋能层。可以避开与Figure AI/Tesla的正面竞争，成为"卖铲子"的角色。但Deck同时又说自研灵巧手，这与"轻资产能力层"的定位自相矛盾。</w:t>
      </w:r>
    </w:p>
    <w:p w14:paraId="6E4E3B53">
      <w:r>
        <w:rPr>
          <w:rFonts w:ascii="Arial" w:hAnsi="Arial" w:eastAsia="微软雅黑"/>
          <w:b/>
          <w:color w:val="0F3460"/>
        </w:rPr>
        <w:t>数据效率：</w:t>
      </w:r>
      <w:r>
        <w:t>用1200万段人类视频预训练将VLA成功率从4%拉到90%，意味着RoboX在数据效率上可能优于依赖大规模真机数据的竞对。如果这个优势成立，对早期资金受限的团队而言是关键的竞争杠杆。</w:t>
      </w:r>
    </w:p>
    <w:p w14:paraId="3E7B4B55">
      <w:r>
        <w:br w:type="page"/>
      </w:r>
    </w:p>
    <w:p w14:paraId="72BAACAF">
      <w:pPr>
        <w:pStyle w:val="3"/>
      </w:pPr>
      <w:r>
        <w:t>综合判断与投资建议</w:t>
      </w:r>
    </w:p>
    <w:p w14:paraId="41DDFB65">
      <w:pPr>
        <w:pStyle w:val="4"/>
      </w:pPr>
      <w:r>
        <w:t>商业服务场景切入的可行性判断</w:t>
      </w:r>
    </w:p>
    <w:p w14:paraId="26AE53C5">
      <w:r>
        <w:t>支持方（Deck的论点）：容错性与泛化性的最佳交集——比工业容错高（允许出错），比家庭结构化（场景可控），数据可标准化采集，是"桥梁市场"。</w:t>
      </w:r>
    </w:p>
    <w:p w14:paraId="06EDB811">
      <w:r>
        <w:rPr>
          <w:rFonts w:ascii="Arial" w:hAnsi="Arial" w:eastAsia="微软雅黑"/>
          <w:b/>
          <w:color w:val="CC0000"/>
        </w:rPr>
        <w:t>反对方（投资人的质疑）：</w:t>
      </w:r>
    </w:p>
    <w:p w14:paraId="5D2722AB">
      <w:pPr>
        <w:pStyle w:val="16"/>
      </w:pPr>
      <w:r>
        <w:t>经济性不成立 — 50-60万的人形机器人去做3-8万专用机器人就能完成的煎牛排/做咖啡，客户没有经济动力采购。</w:t>
      </w:r>
    </w:p>
    <w:p w14:paraId="68715693">
      <w:pPr>
        <w:pStyle w:val="16"/>
      </w:pPr>
      <w:r>
        <w:t>场景与产品脱节 — 如果RoboX卖的是"具身大脑"或"操作增量包"，那"煎牛排"只是demo而非产品。demo做完了然后呢？</w:t>
      </w:r>
    </w:p>
    <w:p w14:paraId="2EF4EA8A">
      <w:pPr>
        <w:pStyle w:val="16"/>
      </w:pPr>
      <w:r>
        <w:t>已有成熟替代方案 — 普渡、擎朗的配送机器人，各种专用炒菜机/咖啡机，已经在规模化出货。RoboX用更贵的方案去做已经被专用设备解决的问题，不是好策略。</w:t>
      </w:r>
    </w:p>
    <w:p w14:paraId="157C598D">
      <w:pPr>
        <w:pStyle w:val="16"/>
      </w:pPr>
      <w:r>
        <w:t>数据价值vs商业价值混淆 — 商业服务场景对RoboX的真正价值是数据训练场，但这不等于它是一个好的商业化切入点。训练场可以没有收入，但商业场景必须有。</w:t>
      </w:r>
    </w:p>
    <w:p w14:paraId="16709960">
      <w:pPr>
        <w:pStyle w:val="4"/>
      </w:pPr>
      <w:r>
        <w:t>更优的替代路径建议</w:t>
      </w:r>
    </w:p>
    <w:p w14:paraId="6363E56C">
      <w:r>
        <w:rPr>
          <w:rFonts w:ascii="Arial" w:hAnsi="Arial" w:eastAsia="微软雅黑"/>
          <w:b/>
          <w:color w:val="0F3460"/>
        </w:rPr>
        <w:t>工业精密装配/质检：</w:t>
      </w:r>
      <w:r>
        <w:t>灵巧操作+触觉前瞻的真正高价值场景。半导体、3C电子的精密装配对灵巧性和力控有刚需，客户付费意愿强，且竞争对手（传统工业机器人）在柔性操作上有明显短板。</w:t>
      </w:r>
    </w:p>
    <w:p w14:paraId="3E26D7C4">
      <w:r>
        <w:rPr>
          <w:rFonts w:ascii="Arial" w:hAnsi="Arial" w:eastAsia="微软雅黑"/>
          <w:b/>
          <w:color w:val="0F3460"/>
        </w:rPr>
        <w:t>数据/模型即服务：</w:t>
      </w:r>
      <w:r>
        <w:t>直接做具身智能领域的"Scale AI"，卖高质量操作数据和预训练模型给其他机器人公司。这与RoboX的核心技术资产（数据管线+模型栈）最匹配，且是轻资产模式。</w:t>
      </w:r>
    </w:p>
    <w:p w14:paraId="290656A8">
      <w:r>
        <w:rPr>
          <w:rFonts w:ascii="Arial" w:hAnsi="Arial" w:eastAsia="微软雅黑"/>
          <w:b/>
          <w:color w:val="0F3460"/>
        </w:rPr>
        <w:t>与本体厂商联合方案：</w:t>
      </w:r>
      <w:r>
        <w:t>不自研灵巧手，而是与灵心巧手/Sharpa合作，RoboX出大脑+模型，对方出硬件，联合交付。降低硬件风险，聚焦软件壁垒。</w:t>
      </w:r>
    </w:p>
    <w:p w14:paraId="7392B0A2">
      <w:pPr>
        <w:pStyle w:val="4"/>
      </w:pPr>
      <w:r>
        <w:t>最终投资判断</w:t>
      </w:r>
    </w:p>
    <w:p w14:paraId="1662A832">
      <w:r>
        <w:t>RoboX Robotics拥有令人印象深刻的技术内核——触觉世界模型、VLA成功率、System 2/1/0架构都是硬功夫。但"商业服务场景率先切入"这个叙事存在严重的逻辑裂缝：煎牛排不需要人形机器人，50万的通用机器人做不过3万的专用设备，且这个场景本身无法支撑独角兽级别的收入预期。</w:t>
      </w:r>
    </w:p>
    <w:p w14:paraId="721FFBBC">
      <w:r>
        <w:t>RoboX真正值得投资的技术资产是灵巧操作基础模型和触觉世界模型——这些能力在精密工业装配、医疗手术辅助、危险环境操作等场景中有更高的付费意愿和更清晰的客户画像。如果团队愿意在融资后将场景聚焦从"商服demo"转向"高价值垂直场景"或"数据/模型平台"，投资价值将显著提升。</w:t>
      </w:r>
    </w:p>
    <w:p w14:paraId="6F94BBBC">
      <w:pPr>
        <w:jc w:val="center"/>
      </w:pPr>
      <w:r>
        <w:rPr>
          <w:rFonts w:ascii="Arial" w:hAnsi="Arial" w:eastAsia="微软雅黑"/>
          <w:b/>
          <w:color w:val="006600"/>
          <w:sz w:val="24"/>
        </w:rPr>
        <w:t>Technical Conviction: Strong</w:t>
      </w:r>
      <w:r>
        <w:t xml:space="preserve">  |  </w:t>
      </w:r>
      <w:r>
        <w:rPr>
          <w:rFonts w:ascii="Arial" w:hAnsi="Arial" w:eastAsia="微软雅黑"/>
          <w:b/>
          <w:color w:val="CC0000"/>
          <w:sz w:val="24"/>
        </w:rPr>
        <w:t>Commercial Conviction: Weak</w:t>
      </w:r>
    </w:p>
    <w:p w14:paraId="3B9E54EA"/>
    <w:p w14:paraId="72B97E3B"/>
    <w:p w14:paraId="478A4B65">
      <w:pPr>
        <w:jc w:val="center"/>
      </w:pPr>
      <w:r>
        <w:rPr>
          <w:rFonts w:ascii="Arial" w:hAnsi="Arial" w:eastAsia="微软雅黑"/>
          <w:b/>
          <w:color w:val="666666"/>
          <w:sz w:val="22"/>
        </w:rPr>
        <w:t>需要看到场景聚焦的重新定义才建议推进。</w:t>
      </w:r>
    </w:p>
    <w:sectPr>
      <w:pgSz w:w="12240" w:h="15840"/>
      <w:pgMar w:top="1440" w:right="1797" w:bottom="1440" w:left="179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24" w:lineRule="auto"/>
      </w:pPr>
      <w:r>
        <w:separator/>
      </w:r>
    </w:p>
  </w:footnote>
  <w:footnote w:type="continuationSeparator" w:id="1">
    <w:p>
      <w:pPr>
        <w:spacing w:before="0" w:after="0" w:line="324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A3D19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324" w:lineRule="auto"/>
    </w:pPr>
    <w:rPr>
      <w:rFonts w:ascii="Arial" w:hAnsi="Arial" w:eastAsia="微软雅黑" w:cstheme="minorBidi"/>
      <w:color w:val="333333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360" w:after="160"/>
      <w:outlineLvl w:val="0"/>
    </w:pPr>
    <w:rPr>
      <w:rFonts w:asciiTheme="majorHAnsi" w:hAnsiTheme="majorHAnsi" w:eastAsiaTheme="majorEastAsia" w:cstheme="majorBidi"/>
      <w:b/>
      <w:bCs/>
      <w:color w:val="1A1A2E"/>
      <w:sz w:val="44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40" w:after="160"/>
      <w:outlineLvl w:val="1"/>
    </w:pPr>
    <w:rPr>
      <w:rFonts w:asciiTheme="majorHAnsi" w:hAnsiTheme="majorHAnsi" w:eastAsiaTheme="majorEastAsia" w:cstheme="majorBidi"/>
      <w:b/>
      <w:bCs/>
      <w:color w:val="16213E"/>
      <w:sz w:val="32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40" w:after="160"/>
      <w:outlineLvl w:val="2"/>
    </w:pPr>
    <w:rPr>
      <w:rFonts w:asciiTheme="majorHAnsi" w:hAnsiTheme="majorHAnsi" w:eastAsiaTheme="majorEastAsia" w:cstheme="majorBidi"/>
      <w:b/>
      <w:bCs/>
      <w:color w:val="0F3460"/>
      <w:sz w:val="26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103</Words>
  <Characters>181</Characters>
  <Lines>0</Lines>
  <Paragraphs>0</Paragraphs>
  <TotalTime>5</TotalTime>
  <ScaleCrop>false</ScaleCrop>
  <LinksUpToDate>false</LinksUpToDate>
  <CharactersWithSpaces>196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Anson</cp:lastModifiedBy>
  <dcterms:modified xsi:type="dcterms:W3CDTF">2026-07-22T02:02:16Z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90256FBD9FFB4D5D8E367B5A32F4E009_13</vt:lpwstr>
  </property>
</Properties>
</file>